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fp-tools:</w:t>
      </w:r>
      <w:r>
        <w:t xml:space="preserve"> </w:t>
      </w:r>
      <w:r>
        <w:t xml:space="preserve">A</w:t>
      </w:r>
      <w:r>
        <w:t xml:space="preserve"> </w:t>
      </w:r>
      <w:r>
        <w:t xml:space="preserve">Reproducible</w:t>
      </w:r>
      <w:r>
        <w:t xml:space="preserve"> </w:t>
      </w:r>
      <w:r>
        <w:t xml:space="preserve">Platform</w:t>
      </w:r>
      <w:r>
        <w:t xml:space="preserve"> </w:t>
      </w:r>
      <w:r>
        <w:t xml:space="preserve">for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and</w:t>
      </w:r>
      <w:r>
        <w:t xml:space="preserve"> </w:t>
      </w:r>
      <w:r>
        <w:t xml:space="preserve">Regulatory</w:t>
      </w:r>
      <w:r>
        <w:t xml:space="preserve"> </w:t>
      </w:r>
      <w:r>
        <w:t xml:space="preserve">Motif</w:t>
      </w:r>
      <w:r>
        <w:t xml:space="preserve"> </w:t>
      </w:r>
      <w:r>
        <w:t xml:space="preserve">Analysis</w:t>
      </w:r>
    </w:p>
    <w:p>
      <w:pPr>
        <w:pStyle w:val="Author"/>
      </w:pPr>
      <w:r>
        <w:t xml:space="preserve">Yaoxiang</w:t>
      </w:r>
      <w:r>
        <w:t xml:space="preserve"> </w:t>
      </w:r>
      <w:r>
        <w:t xml:space="preserve">Li</w:t>
      </w:r>
      <w:r>
        <w:t xml:space="preserve"> </w:t>
      </w:r>
      <w:r>
        <w:t xml:space="preserve">and</w:t>
      </w:r>
      <w:r>
        <w:t xml:space="preserve"> </w:t>
      </w:r>
      <w:r>
        <w:t xml:space="preserve">Chunling</w:t>
      </w:r>
      <w:r>
        <w:t xml:space="preserve"> </w:t>
      </w:r>
      <w:r>
        <w:t xml:space="preserve">Yi</w:t>
      </w:r>
      <w:r>
        <w:br/>
      </w:r>
      <w:r>
        <w:t xml:space="preserve">Department</w:t>
      </w:r>
      <w:r>
        <w:t xml:space="preserve"> </w:t>
      </w:r>
      <w:r>
        <w:t xml:space="preserve">of</w:t>
      </w:r>
      <w:r>
        <w:t xml:space="preserve"> </w:t>
      </w:r>
      <w:r>
        <w:t xml:space="preserve">Oncology,</w:t>
      </w:r>
      <w:r>
        <w:t xml:space="preserve"> </w:t>
      </w:r>
      <w:r>
        <w:t xml:space="preserve">Lombardi</w:t>
      </w:r>
      <w:r>
        <w:t xml:space="preserve"> </w:t>
      </w:r>
      <w:r>
        <w:t xml:space="preserve">Comprehensive</w:t>
      </w:r>
      <w:r>
        <w:t xml:space="preserve"> </w:t>
      </w:r>
      <w:r>
        <w:t xml:space="preserve">Cancer</w:t>
      </w:r>
      <w:r>
        <w:t xml:space="preserve"> </w:t>
      </w:r>
      <w:r>
        <w:t xml:space="preserve">Center,</w:t>
      </w:r>
      <w:r>
        <w:t xml:space="preserve"> </w:t>
      </w:r>
      <w:r>
        <w:t xml:space="preserve">Georgetown</w:t>
      </w:r>
      <w:r>
        <w:t xml:space="preserve"> </w:t>
      </w:r>
      <w:r>
        <w:t xml:space="preserve">University</w:t>
      </w:r>
      <w:r>
        <w:t xml:space="preserve"> </w:t>
      </w:r>
      <w:r>
        <w:t xml:space="preserve">Medical</w:t>
      </w:r>
      <w:r>
        <w:t xml:space="preserve"> </w:t>
      </w:r>
      <w:r>
        <w:t xml:space="preserve">Center,</w:t>
      </w:r>
      <w:r>
        <w:t xml:space="preserve"> </w:t>
      </w:r>
      <w:r>
        <w:t xml:space="preserve">Georgetown</w:t>
      </w:r>
      <w:r>
        <w:t xml:space="preserve"> </w:t>
      </w:r>
      <w:r>
        <w:t xml:space="preserve">University,</w:t>
      </w:r>
      <w:r>
        <w:t xml:space="preserve"> </w:t>
      </w:r>
      <w:r>
        <w:t xml:space="preserve">Washington,</w:t>
      </w:r>
      <w:r>
        <w:t xml:space="preserve"> </w:t>
      </w:r>
      <w:r>
        <w:t xml:space="preserve">DC,</w:t>
      </w:r>
      <w:r>
        <w:t xml:space="preserve"> </w:t>
      </w:r>
      <w:r>
        <w:t xml:space="preserve">USA;</w:t>
      </w:r>
      <w:r>
        <w:t xml:space="preserve"> </w:t>
      </w:r>
      <w:r>
        <w:t xml:space="preserve">yl814@georgetown.edu</w:t>
      </w:r>
      <w:r>
        <w:t xml:space="preserve"> </w:t>
      </w:r>
      <w:r>
        <w:t xml:space="preserve">(Y.L.);</w:t>
      </w:r>
      <w:r>
        <w:t xml:space="preserve"> </w:t>
      </w:r>
      <w:r>
        <w:t xml:space="preserve">cy232@georgetown.edu</w:t>
      </w:r>
      <w:r>
        <w:t xml:space="preserve"> </w:t>
      </w:r>
      <w:r>
        <w:t xml:space="preserve">(C.Y.)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enables</w:t>
      </w:r>
      <w:r>
        <w:t xml:space="preserve"> </w:t>
      </w:r>
      <w:r>
        <w:t xml:space="preserve">near-base-resolution</w:t>
      </w:r>
      <w:r>
        <w:t xml:space="preserve"> </w:t>
      </w:r>
      <w:r>
        <w:t xml:space="preserve">inference</w:t>
      </w:r>
      <w:r>
        <w:t xml:space="preserve"> </w:t>
      </w:r>
      <w:r>
        <w:t xml:space="preserve">of</w:t>
      </w:r>
      <w:r>
        <w:t xml:space="preserve"> </w:t>
      </w:r>
      <w:r>
        <w:t xml:space="preserve">transcription-factor</w:t>
      </w:r>
      <w:r>
        <w:t xml:space="preserve"> </w:t>
      </w:r>
      <w:r>
        <w:t xml:space="preserve">(TF)</w:t>
      </w:r>
      <w:r>
        <w:t xml:space="preserve"> </w:t>
      </w:r>
      <w:r>
        <w:t xml:space="preserve">occupancy</w:t>
      </w:r>
      <w:r>
        <w:t xml:space="preserve"> </w:t>
      </w:r>
      <w:r>
        <w:t xml:space="preserve">across</w:t>
      </w:r>
      <w:r>
        <w:t xml:space="preserve"> </w:t>
      </w:r>
      <w:r>
        <w:t xml:space="preserve">the</w:t>
      </w:r>
      <w:r>
        <w:t xml:space="preserve"> </w:t>
      </w:r>
      <w:r>
        <w:t xml:space="preserve">genome.</w:t>
      </w:r>
      <w:r>
        <w:t xml:space="preserve"> </w:t>
      </w:r>
      <w:r>
        <w:t xml:space="preserve">However,</w:t>
      </w:r>
      <w:r>
        <w:t xml:space="preserve"> </w:t>
      </w:r>
      <w:r>
        <w:t xml:space="preserve">the</w:t>
      </w:r>
      <w:r>
        <w:t xml:space="preserve"> </w:t>
      </w:r>
      <w:r>
        <w:t xml:space="preserve">field</w:t>
      </w:r>
      <w:r>
        <w:t xml:space="preserve"> </w:t>
      </w:r>
      <w:r>
        <w:t xml:space="preserve">lacks</w:t>
      </w:r>
      <w:r>
        <w:t xml:space="preserve"> </w:t>
      </w:r>
      <w:r>
        <w:t xml:space="preserve">a</w:t>
      </w:r>
      <w:r>
        <w:t xml:space="preserve"> </w:t>
      </w:r>
      <w:r>
        <w:t xml:space="preserve">computationally</w:t>
      </w:r>
      <w:r>
        <w:t xml:space="preserve"> </w:t>
      </w:r>
      <w:r>
        <w:t xml:space="preserve">efficient,</w:t>
      </w:r>
      <w:r>
        <w:t xml:space="preserve"> </w:t>
      </w:r>
      <w:r>
        <w:t xml:space="preserve">user-friendly,</w:t>
      </w:r>
      <w:r>
        <w:t xml:space="preserve"> </w:t>
      </w:r>
      <w:r>
        <w:t xml:space="preserve">and</w:t>
      </w:r>
      <w:r>
        <w:t xml:space="preserve"> </w:t>
      </w:r>
      <w:r>
        <w:t xml:space="preserve">integrated</w:t>
      </w:r>
      <w:r>
        <w:t xml:space="preserve"> </w:t>
      </w:r>
      <w:r>
        <w:t xml:space="preserve">platform</w:t>
      </w:r>
      <w:r>
        <w:t xml:space="preserve"> </w:t>
      </w:r>
      <w:r>
        <w:t xml:space="preserve">that</w:t>
      </w:r>
      <w:r>
        <w:t xml:space="preserve"> </w:t>
      </w:r>
      <w:r>
        <w:t xml:space="preserve">accepts</w:t>
      </w:r>
      <w:r>
        <w:t xml:space="preserve"> </w:t>
      </w:r>
      <w:r>
        <w:t xml:space="preserve">both</w:t>
      </w:r>
      <w:r>
        <w:t xml:space="preserve"> </w:t>
      </w:r>
      <w:r>
        <w:t xml:space="preserve">bulk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data,</w:t>
      </w:r>
      <w:r>
        <w:t xml:space="preserve"> </w:t>
      </w:r>
      <w:r>
        <w:t xml:space="preserve">supports</w:t>
      </w:r>
      <w:r>
        <w:t xml:space="preserve"> </w:t>
      </w:r>
      <w:r>
        <w:t xml:space="preserve">both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motif</w:t>
      </w:r>
      <w:r>
        <w:t xml:space="preserve"> </w:t>
      </w:r>
      <w:r>
        <w:t xml:space="preserve">discovery</w:t>
      </w:r>
      <w:r>
        <w:t xml:space="preserve"> </w:t>
      </w:r>
      <w: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t xml:space="preserve">to</w:t>
      </w:r>
      <w:r>
        <w:t xml:space="preserve"> </w:t>
      </w:r>
      <w:r>
        <w:t xml:space="preserve">public</w:t>
      </w:r>
      <w:r>
        <w:t xml:space="preserve"> </w:t>
      </w:r>
      <w:r>
        <w:t xml:space="preserve">motif</w:t>
      </w:r>
      <w:r>
        <w:t xml:space="preserve"> </w:t>
      </w:r>
      <w:r>
        <w:t xml:space="preserve">databases,</w:t>
      </w:r>
      <w:r>
        <w:t xml:space="preserve"> </w:t>
      </w:r>
      <w:r>
        <w:t xml:space="preserve">and</w:t>
      </w:r>
      <w:r>
        <w:t xml:space="preserve"> </w:t>
      </w:r>
      <w:r>
        <w:t xml:space="preserve">generates</w:t>
      </w:r>
      <w:r>
        <w:t xml:space="preserve"> </w:t>
      </w:r>
      <w:r>
        <w:t xml:space="preserve">interactive</w:t>
      </w:r>
      <w:r>
        <w:t xml:space="preserve"> </w:t>
      </w:r>
      <w:r>
        <w:t xml:space="preserve">and</w:t>
      </w:r>
      <w:r>
        <w:t xml:space="preserve"> </w:t>
      </w:r>
      <w:r>
        <w:t xml:space="preserve">publication-ready</w:t>
      </w:r>
      <w:r>
        <w:t xml:space="preserve"> </w:t>
      </w:r>
      <w:r>
        <w:t xml:space="preserve">visual</w:t>
      </w:r>
      <w:r>
        <w:t xml:space="preserve"> </w:t>
      </w:r>
      <w:r>
        <w:t xml:space="preserve">outputs.</w:t>
      </w:r>
      <w:r>
        <w:t xml:space="preserve"> </w:t>
      </w:r>
      <w:r>
        <w:t xml:space="preserve">Here,</w:t>
      </w:r>
      <w:r>
        <w:t xml:space="preserve"> </w:t>
      </w:r>
      <w:r>
        <w:t xml:space="preserve">we</w:t>
      </w:r>
      <w:r>
        <w:t xml:space="preserve"> </w:t>
      </w:r>
      <w:r>
        <w:t xml:space="preserve">present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t xml:space="preserve">Python</w:t>
      </w:r>
      <w:r>
        <w:t xml:space="preserve"> </w:t>
      </w:r>
      <w:r>
        <w:t xml:space="preserve">package</w:t>
      </w:r>
      <w:r>
        <w:t xml:space="preserve"> </w:t>
      </w:r>
      <w:r>
        <w:t xml:space="preserve">that</w:t>
      </w:r>
      <w:r>
        <w:t xml:space="preserve"> </w:t>
      </w:r>
      <w:r>
        <w:t xml:space="preserve">builds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widely</w:t>
      </w:r>
      <w:r>
        <w:t xml:space="preserve"> </w:t>
      </w:r>
      <w:r>
        <w:t xml:space="preserve">used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framework</w:t>
      </w:r>
      <w:r>
        <w:t xml:space="preserve"> </w:t>
      </w:r>
      <w:r>
        <w:t xml:space="preserve">TOBIAS.</w:t>
      </w:r>
      <w:r>
        <w:t xml:space="preserve"> </w:t>
      </w:r>
      <w:r>
        <w:t xml:space="preserve">We</w:t>
      </w:r>
      <w:r>
        <w:t xml:space="preserve"> </w:t>
      </w:r>
      <w:r>
        <w:t xml:space="preserve">substantially</w:t>
      </w:r>
      <w:r>
        <w:t xml:space="preserve"> </w:t>
      </w:r>
      <w:r>
        <w:t xml:space="preserve">improve</w:t>
      </w:r>
      <w:r>
        <w:t xml:space="preserve"> </w:t>
      </w:r>
      <w:r>
        <w:t xml:space="preserve">computational</w:t>
      </w:r>
      <w:r>
        <w:t xml:space="preserve"> </w:t>
      </w:r>
      <w:r>
        <w:t xml:space="preserve">efficiency</w:t>
      </w:r>
      <w:r>
        <w:t xml:space="preserve"> </w:t>
      </w:r>
      <w:r>
        <w:t xml:space="preserve">across</w:t>
      </w:r>
      <w:r>
        <w:t xml:space="preserve"> </w:t>
      </w:r>
      <w:r>
        <w:t xml:space="preserve">key</w:t>
      </w:r>
      <w:r>
        <w:t xml:space="preserve"> </w:t>
      </w:r>
      <w:r>
        <w:t xml:space="preserve">steps,</w:t>
      </w:r>
      <w:r>
        <w:t xml:space="preserve"> </w:t>
      </w:r>
      <w:r>
        <w:t xml:space="preserve">including</w:t>
      </w:r>
      <w:r>
        <w:t xml:space="preserve"> </w:t>
      </w:r>
      <w:r>
        <w:t xml:space="preserve">Tn5</w:t>
      </w:r>
      <w:r>
        <w:t xml:space="preserve"> </w:t>
      </w:r>
      <w:r>
        <w:t xml:space="preserve">bias</w:t>
      </w:r>
      <w:r>
        <w:t xml:space="preserve"> </w:t>
      </w:r>
      <w:r>
        <w:t xml:space="preserve">correction,</w:t>
      </w:r>
      <w:r>
        <w:t xml:space="preserve"> </w:t>
      </w:r>
      <w:r>
        <w:t xml:space="preserve">footprint</w:t>
      </w:r>
      <w:r>
        <w:t xml:space="preserve"> </w:t>
      </w:r>
      <w:r>
        <w:t xml:space="preserve">calling,</w:t>
      </w:r>
      <w:r>
        <w:t xml:space="preserve"> </w:t>
      </w:r>
      <w:r>
        <w:t xml:space="preserve">and</w:t>
      </w:r>
      <w:r>
        <w:t xml:space="preserve"> </w:t>
      </w:r>
      <w:r>
        <w:t xml:space="preserve">motif</w:t>
      </w:r>
      <w:r>
        <w:t xml:space="preserve"> </w:t>
      </w:r>
      <w:r>
        <w:t xml:space="preserve">matching.</w:t>
      </w:r>
      <w:r>
        <w:t xml:space="preserve"> </w:t>
      </w:r>
      <w:r>
        <w:t xml:space="preserve">In</w:t>
      </w:r>
      <w:r>
        <w:t xml:space="preserve"> </w:t>
      </w:r>
      <w:r>
        <w:t xml:space="preserve">addition,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introduces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motif</w:t>
      </w:r>
      <w:r>
        <w:t xml:space="preserve"> </w:t>
      </w:r>
      <w:r>
        <w:t xml:space="preserve">discovery,</w:t>
      </w:r>
      <w:r>
        <w:t xml:space="preserve"> </w:t>
      </w:r>
      <w:r>
        <w:t xml:space="preserve">replicate-aware</w:t>
      </w:r>
      <w:r>
        <w:t xml:space="preserve"> </w:t>
      </w:r>
      <w:r>
        <w:t xml:space="preserve">differential</w:t>
      </w:r>
      <w:r>
        <w:t xml:space="preserve"> </w:t>
      </w:r>
      <w:r>
        <w:t xml:space="preserve">footprinting,</w:t>
      </w:r>
      <w:r>
        <w:t xml:space="preserve"> </w:t>
      </w:r>
      <w:r>
        <w:t xml:space="preserve">and</w:t>
      </w:r>
      <w:r>
        <w:t xml:space="preserve"> </w:t>
      </w:r>
      <w:r>
        <w:t xml:space="preserve">aggregation</w:t>
      </w:r>
      <w:r>
        <w:t xml:space="preserve"> </w:t>
      </w:r>
      <w:r>
        <w:t xml:space="preserve">analysis,</w:t>
      </w:r>
      <w:r>
        <w:t xml:space="preserve"> </w:t>
      </w:r>
      <w:r>
        <w:t xml:space="preserve">features</w:t>
      </w:r>
      <w:r>
        <w:t xml:space="preserve"> </w:t>
      </w:r>
      <w:r>
        <w:t xml:space="preserve">not</w:t>
      </w:r>
      <w:r>
        <w:t xml:space="preserve"> </w:t>
      </w:r>
      <w:r>
        <w:t xml:space="preserve">provided</w:t>
      </w:r>
      <w:r>
        <w:t xml:space="preserve"> </w:t>
      </w:r>
      <w:r>
        <w:t xml:space="preserve">as</w:t>
      </w:r>
      <w:r>
        <w:t xml:space="preserve"> </w:t>
      </w:r>
      <w:r>
        <w:t xml:space="preserve">native</w:t>
      </w:r>
      <w:r>
        <w:t xml:space="preserve"> </w:t>
      </w:r>
      <w:r>
        <w:t xml:space="preserve">TOBIAS</w:t>
      </w:r>
      <w:r>
        <w:t xml:space="preserve"> </w:t>
      </w:r>
      <w:r>
        <w:t xml:space="preserve">workflows.</w:t>
      </w:r>
      <w:r>
        <w:t xml:space="preserve"> </w:t>
      </w:r>
      <w:r>
        <w:t xml:space="preserve">We</w:t>
      </w:r>
      <w:r>
        <w:t xml:space="preserve"> </w:t>
      </w:r>
      <w:r>
        <w:t xml:space="preserve">further</w:t>
      </w:r>
      <w:r>
        <w:t xml:space="preserve"> </w:t>
      </w:r>
      <w:r>
        <w:t xml:space="preserve">streamline</w:t>
      </w:r>
      <w:r>
        <w:t xml:space="preserve"> </w:t>
      </w:r>
      <w:r>
        <w:t xml:space="preserve">a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footprinting</w:t>
      </w:r>
      <w:r>
        <w:t xml:space="preserve"> </w:t>
      </w:r>
      <w:r>
        <w:t xml:space="preserve">workflow,</w:t>
      </w:r>
      <w:r>
        <w:t xml:space="preserve"> </w:t>
      </w:r>
      <w:r>
        <w:t xml:space="preserve">provide</w:t>
      </w:r>
      <w:r>
        <w:t xml:space="preserve"> </w:t>
      </w:r>
      <w:r>
        <w:t xml:space="preserve">interactive</w:t>
      </w:r>
      <w:r>
        <w:t xml:space="preserve"> </w:t>
      </w:r>
      <w:r>
        <w:t xml:space="preserve">visualization</w:t>
      </w:r>
      <w:r>
        <w:t xml:space="preserve"> </w:t>
      </w:r>
      <w:r>
        <w:t xml:space="preserve">of</w:t>
      </w:r>
      <w:r>
        <w:t xml:space="preserve"> </w:t>
      </w:r>
      <w:r>
        <w:t xml:space="preserve">analysis</w:t>
      </w:r>
      <w:r>
        <w:t xml:space="preserve"> </w:t>
      </w:r>
      <w:r>
        <w:t xml:space="preserve">results,</w:t>
      </w:r>
      <w:r>
        <w:t xml:space="preserve"> </w:t>
      </w:r>
      <w:r>
        <w:t xml:space="preserve">and</w:t>
      </w:r>
      <w:r>
        <w:t xml:space="preserve"> </w:t>
      </w:r>
      <w:r>
        <w:t xml:space="preserve">implement</w:t>
      </w:r>
      <w:r>
        <w:t xml:space="preserve"> </w:t>
      </w:r>
      <w:r>
        <w:t xml:space="preserve">a</w:t>
      </w:r>
      <w:r>
        <w:t xml:space="preserve"> </w:t>
      </w:r>
      <w:r>
        <w:t xml:space="preserve">graphical</w:t>
      </w:r>
      <w:r>
        <w:t xml:space="preserve"> </w:t>
      </w:r>
      <w:r>
        <w:t xml:space="preserve">user</w:t>
      </w:r>
      <w:r>
        <w:t xml:space="preserve"> </w:t>
      </w:r>
      <w:r>
        <w:t xml:space="preserve">interface</w:t>
      </w:r>
      <w:r>
        <w:t xml:space="preserve"> </w:t>
      </w:r>
      <w:r>
        <w:t xml:space="preserve">(GUI)</w:t>
      </w:r>
      <w:r>
        <w:t xml:space="preserve"> </w:t>
      </w:r>
      <w:r>
        <w:t xml:space="preserve">that</w:t>
      </w:r>
      <w:r>
        <w:t xml:space="preserve"> </w:t>
      </w:r>
      <w:r>
        <w:t xml:space="preserve">enables</w:t>
      </w:r>
      <w:r>
        <w:t xml:space="preserve"> </w:t>
      </w:r>
      <w:r>
        <w:t xml:space="preserve">code-free</w:t>
      </w:r>
      <w:r>
        <w:t xml:space="preserve"> </w:t>
      </w:r>
      <w:r>
        <w:t xml:space="preserve">execution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package</w:t>
      </w:r>
      <w:r>
        <w:t xml:space="preserve"> </w:t>
      </w:r>
      <w:r>
        <w:t xml:space="preserve">commands.</w:t>
      </w:r>
      <w:r>
        <w:t xml:space="preserve"> </w:t>
      </w:r>
      <w:r>
        <w:t xml:space="preserve">Using</w:t>
      </w:r>
      <w:r>
        <w:t xml:space="preserve"> </w:t>
      </w:r>
      <w:r>
        <w:t xml:space="preserve">public</w:t>
      </w:r>
      <w:r>
        <w:t xml:space="preserve"> </w:t>
      </w:r>
      <w:r>
        <w:t xml:space="preserve">bulk</w:t>
      </w:r>
      <w:r>
        <w:t xml:space="preserve"> </w:t>
      </w:r>
      <w:r>
        <w:t xml:space="preserve">ATAC-seq</w:t>
      </w:r>
      <w:r>
        <w:t xml:space="preserve"> </w:t>
      </w:r>
      <w:r>
        <w:t xml:space="preserve">replicates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datasets,</w:t>
      </w:r>
      <w:r>
        <w:t xml:space="preserve"> </w:t>
      </w:r>
      <w:r>
        <w:t xml:space="preserve">we</w:t>
      </w:r>
      <w:r>
        <w:t xml:space="preserve"> </w:t>
      </w:r>
      <w:r>
        <w:t xml:space="preserve">demonstrate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quantitatively</w:t>
      </w:r>
      <w:r>
        <w:t xml:space="preserve"> </w:t>
      </w:r>
      <w:r>
        <w:t xml:space="preserve">recovers</w:t>
      </w:r>
      <w:r>
        <w:t xml:space="preserve"> </w:t>
      </w:r>
      <w:r>
        <w:t xml:space="preserve">cell-type-specific</w:t>
      </w:r>
      <w:r>
        <w:t xml:space="preserve"> </w:t>
      </w:r>
      <w:r>
        <w:t xml:space="preserve">TF-binding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identifies</w:t>
      </w:r>
      <w:r>
        <w:t xml:space="preserve"> </w:t>
      </w:r>
      <w:r>
        <w:t xml:space="preserve">de</w:t>
      </w:r>
      <w:r>
        <w:t xml:space="preserve"> </w:t>
      </w:r>
      <w:r>
        <w:t xml:space="preserve">novo</w:t>
      </w:r>
      <w:r>
        <w:t xml:space="preserve"> </w:t>
      </w:r>
      <w:r>
        <w:t xml:space="preserve">binding</w:t>
      </w:r>
      <w:r>
        <w:t xml:space="preserve"> </w:t>
      </w:r>
      <w:r>
        <w:t xml:space="preserve">motifs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captured</w:t>
      </w:r>
      <w:r>
        <w:t xml:space="preserve"> </w:t>
      </w:r>
      <w:r>
        <w:t xml:space="preserve">by</w:t>
      </w:r>
      <w:r>
        <w:t xml:space="preserve"> </w:t>
      </w:r>
      <w:r>
        <w:t xml:space="preserve">existing</w:t>
      </w:r>
      <w:r>
        <w:t xml:space="preserve"> </w:t>
      </w:r>
      <w:r>
        <w:t xml:space="preserve">public</w:t>
      </w:r>
      <w:r>
        <w:t xml:space="preserve"> </w:t>
      </w:r>
      <w:r>
        <w:t xml:space="preserve">motif</w:t>
      </w:r>
      <w:r>
        <w:t xml:space="preserve"> </w:t>
      </w:r>
      <w:r>
        <w:t xml:space="preserve">databases.</w:t>
      </w:r>
      <w:r>
        <w:t xml:space="preserve"> </w:t>
      </w:r>
      <w:r>
        <w:t xml:space="preserve">Together,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an</w:t>
      </w:r>
      <w:r>
        <w:t xml:space="preserve"> </w:t>
      </w:r>
      <w:r>
        <w:t xml:space="preserve">efficient,</w:t>
      </w:r>
      <w:r>
        <w:t xml:space="preserve"> </w:t>
      </w:r>
      <w:r>
        <w:t xml:space="preserve">accessible,</w:t>
      </w:r>
      <w:r>
        <w:t xml:space="preserve"> </w:t>
      </w:r>
      <w:r>
        <w:t xml:space="preserve">and</w:t>
      </w:r>
      <w:r>
        <w:t xml:space="preserve"> </w:t>
      </w:r>
      <w:r>
        <w:t xml:space="preserve">comprehensive</w:t>
      </w:r>
      <w:r>
        <w:t xml:space="preserve"> </w:t>
      </w:r>
      <w:r>
        <w:t xml:space="preserve">platform</w:t>
      </w:r>
      <w:r>
        <w:t xml:space="preserve"> </w:t>
      </w:r>
      <w:r>
        <w:t xml:space="preserve">for</w:t>
      </w:r>
      <w:r>
        <w:t xml:space="preserve"> </w:t>
      </w:r>
      <w:r>
        <w:t xml:space="preserve">TF</w:t>
      </w:r>
      <w:r>
        <w:t xml:space="preserve"> </w:t>
      </w:r>
      <w:r>
        <w:t xml:space="preserve">footprint</w:t>
      </w:r>
      <w:r>
        <w:t xml:space="preserve"> </w:t>
      </w:r>
      <w:r>
        <w:t xml:space="preserve">analysis</w:t>
      </w:r>
      <w:r>
        <w:t xml:space="preserve"> </w:t>
      </w:r>
      <w:r>
        <w:t xml:space="preserve">across</w:t>
      </w:r>
      <w:r>
        <w:t xml:space="preserve"> </w:t>
      </w:r>
      <w:r>
        <w:t xml:space="preserve">bulk</w:t>
      </w:r>
      <w:r>
        <w:t xml:space="preserve"> </w:t>
      </w:r>
      <w:r>
        <w:t xml:space="preserve">and</w:t>
      </w:r>
      <w:r>
        <w:t xml:space="preserve"> </w:t>
      </w:r>
      <w:r>
        <w:t xml:space="preserve">single-cell</w:t>
      </w:r>
      <w:r>
        <w:t xml:space="preserve"> </w:t>
      </w:r>
      <w:r>
        <w:t xml:space="preserve">ATAC-seq</w:t>
      </w:r>
      <w:r>
        <w:t xml:space="preserve"> </w:t>
      </w:r>
      <w:r>
        <w:t xml:space="preserve">studies.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ATAC-seq; transcription factor footprinting; chromatin accessibility;</w:t>
      </w:r>
      <w:r>
        <w:t xml:space="preserve"> </w:t>
      </w:r>
      <w:r>
        <w:t xml:space="preserve">motif analysis; pseudobulk ATAC-seq;</w:t>
      </w:r>
      <w:r>
        <w:t xml:space="preserve"> </w:t>
      </w:r>
      <w:r>
        <w:t xml:space="preserve">replicate-aware reporting; reproducibility; command-line bioinformatics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Chromatin accessibility profiling by the assay for transposase-accessible</w:t>
      </w:r>
      <w:r>
        <w:t xml:space="preserve"> </w:t>
      </w:r>
      <w:r>
        <w:t xml:space="preserve">chromatin using sequencing (ATAC-seq) has become a standard readout of active</w:t>
      </w:r>
      <w:r>
        <w:t xml:space="preserve"> </w:t>
      </w:r>
      <w:r>
        <w:t xml:space="preserve">regulatory DNA </w:t>
      </w:r>
      <w:r>
        <w:t xml:space="preserve">(</w:t>
      </w:r>
      <w:hyperlink w:anchor="ref-buenrostro2013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. Within accessible regions,</w:t>
      </w:r>
      <w:r>
        <w:t xml:space="preserve"> </w:t>
      </w:r>
      <w:r>
        <w:t xml:space="preserve">sequence-specific transcription factors (TFs) can protect bound DNA from</w:t>
      </w:r>
      <w:r>
        <w:t xml:space="preserve"> </w:t>
      </w:r>
      <w:r>
        <w:t xml:space="preserve">transposition, producing local cut-site depletions, or</w:t>
      </w:r>
      <w:r>
        <w:t xml:space="preserve"> </w:t>
      </w:r>
      <w:r>
        <w:t xml:space="preserve">“</w:t>
      </w:r>
      <w:r>
        <w:t xml:space="preserve">footprints,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increased accessibility in nearby flanks. Detecting these motif-centered cut-site</w:t>
      </w:r>
      <w:r>
        <w:t xml:space="preserve"> </w:t>
      </w:r>
      <w:r>
        <w:t xml:space="preserve">patterns supports inference of TF occupancy, differential regulatory activity</w:t>
      </w:r>
      <w:r>
        <w:t xml:space="preserve"> </w:t>
      </w:r>
      <w:r>
        <w:t xml:space="preserve">between conditions, and interpretation of non-coding regulatory variants. Earlier</w:t>
      </w:r>
      <w:r>
        <w:t xml:space="preserve"> </w:t>
      </w:r>
      <w:r>
        <w:t xml:space="preserve">footprinting and occupancy models, including CENTIPEDE, Wellington, PIQ, and</w:t>
      </w:r>
      <w:r>
        <w:t xml:space="preserve"> </w:t>
      </w:r>
      <w:r>
        <w:t xml:space="preserve">DeFCoM, established the value of combining sequence information with chromatin</w:t>
      </w:r>
      <w:r>
        <w:t xml:space="preserve"> </w:t>
      </w:r>
      <w:r>
        <w:t xml:space="preserve">accessibility profile shape for TF-binding-site inference </w:t>
      </w:r>
      <w:r>
        <w:t xml:space="preserve">(</w:t>
      </w:r>
      <w:hyperlink w:anchor="ref-pique2011centipede">
        <w:r>
          <w:rPr>
            <w:rStyle w:val="Hyperlink"/>
          </w:rPr>
          <w:t xml:space="preserve">2</w:t>
        </w:r>
      </w:hyperlink>
      <w:r>
        <w:t xml:space="preserve">–</w:t>
      </w:r>
      <w:hyperlink w:anchor="ref-quach2017defcom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Despite this progress, practical ATAC-seq footprinting remains difficult to run</w:t>
      </w:r>
      <w:r>
        <w:t xml:space="preserve"> </w:t>
      </w:r>
      <w:r>
        <w:t xml:space="preserve">as a complete and reproducible analysis. Widely used tools such as</w:t>
      </w:r>
      <w:r>
        <w:t xml:space="preserve"> </w:t>
      </w:r>
      <w:r>
        <w:t xml:space="preserve">TOBIAS </w:t>
      </w:r>
      <w:r>
        <w:t xml:space="preserve">(</w:t>
      </w:r>
      <w:hyperlink w:anchor="ref-bentsen2020">
        <w:r>
          <w:rPr>
            <w:rStyle w:val="Hyperlink"/>
          </w:rPr>
          <w:t xml:space="preserve">6</w:t>
        </w:r>
      </w:hyperlink>
      <w:r>
        <w:t xml:space="preserve">)</w:t>
      </w:r>
      <w:r>
        <w:t xml:space="preserve"> </w:t>
      </w:r>
      <w:r>
        <w:t xml:space="preserve">and HINT-ATAC </w:t>
      </w:r>
      <w:r>
        <w:t xml:space="preserve">(</w:t>
      </w:r>
      <w:hyperlink w:anchor="ref-li2019hint">
        <w:r>
          <w:rPr>
            <w:rStyle w:val="Hyperlink"/>
          </w:rPr>
          <w:t xml:space="preserve">7</w:t>
        </w:r>
      </w:hyperlink>
      <w:r>
        <w:t xml:space="preserve">)</w:t>
      </w:r>
      <w:r>
        <w:t xml:space="preserve"> </w:t>
      </w:r>
      <w:r>
        <w:t xml:space="preserve">provide enzymatic bias</w:t>
      </w:r>
      <w:r>
        <w:t xml:space="preserve"> </w:t>
      </w:r>
      <w:r>
        <w:t xml:space="preserve">correction and footprint scoring for bulk ATAC-seq data. Multiscale and</w:t>
      </w:r>
      <w:r>
        <w:t xml:space="preserve"> </w:t>
      </w:r>
      <w:r>
        <w:t xml:space="preserve">nucleosome-aware approaches, including the PRINT/scPrinter</w:t>
      </w:r>
      <w:r>
        <w:t xml:space="preserve"> </w:t>
      </w:r>
      <w:r>
        <w:t xml:space="preserve">family </w:t>
      </w:r>
      <w:r>
        <w:t xml:space="preserve">(</w:t>
      </w:r>
      <w:hyperlink w:anchor="ref-hu2024print">
        <w:r>
          <w:rPr>
            <w:rStyle w:val="Hyperlink"/>
          </w:rPr>
          <w:t xml:space="preserve">8</w:t>
        </w:r>
      </w:hyperlink>
      <w:r>
        <w:t xml:space="preserve">)</w:t>
      </w:r>
      <w:r>
        <w:t xml:space="preserve">, extend footprint modeling across different scales of</w:t>
      </w:r>
      <w:r>
        <w:t xml:space="preserve"> </w:t>
      </w:r>
      <w:r>
        <w:t xml:space="preserve">chromatin protection. Supervised TF-binding-site predictors such as</w:t>
      </w:r>
      <w:r>
        <w:t xml:space="preserve"> </w:t>
      </w:r>
      <w:r>
        <w:t xml:space="preserve">maxATAC </w:t>
      </w:r>
      <w:r>
        <w:t xml:space="preserve">(</w:t>
      </w:r>
      <w:hyperlink w:anchor="ref-cazares2023maxatac">
        <w:r>
          <w:rPr>
            <w:rStyle w:val="Hyperlink"/>
          </w:rPr>
          <w:t xml:space="preserve">9</w:t>
        </w:r>
      </w:hyperlink>
      <w:r>
        <w:t xml:space="preserve">)</w:t>
      </w:r>
      <w:r>
        <w:t xml:space="preserve"> </w:t>
      </w:r>
      <w:r>
        <w:t xml:space="preserve">and sequence-to-profile models such as</w:t>
      </w:r>
      <w:r>
        <w:t xml:space="preserve"> </w:t>
      </w:r>
      <w:r>
        <w:t xml:space="preserve">ChromBPNet </w:t>
      </w:r>
      <w:r>
        <w:t xml:space="preserve">(</w:t>
      </w:r>
      <w:hyperlink w:anchor="ref-chrombpnet2024">
        <w:r>
          <w:rPr>
            <w:rStyle w:val="Hyperlink"/>
          </w:rPr>
          <w:t xml:space="preserve">10</w:t>
        </w:r>
      </w:hyperlink>
      <w:r>
        <w:t xml:space="preserve">)</w:t>
      </w:r>
      <w:r>
        <w:t xml:space="preserve"> </w:t>
      </w:r>
      <w:r>
        <w:t xml:space="preserve">provide complementary prediction frameworks.</w:t>
      </w:r>
      <w:r>
        <w:t xml:space="preserve"> </w:t>
      </w:r>
      <w:r>
        <w:t xml:space="preserve">Motif-discovery and motif-comparison tools, including MEME/STREME </w:t>
      </w:r>
      <w:r>
        <w:t xml:space="preserve">(</w:t>
      </w:r>
      <w:hyperlink w:anchor="ref-bailey2015meme">
        <w:r>
          <w:rPr>
            <w:rStyle w:val="Hyperlink"/>
          </w:rPr>
          <w:t xml:space="preserve">11</w:t>
        </w:r>
      </w:hyperlink>
      <w:r>
        <w:t xml:space="preserve">,</w:t>
      </w:r>
      <w:hyperlink w:anchor="ref-Bailey2021_STREME">
        <w:r>
          <w:rPr>
            <w:rStyle w:val="Hyperlink"/>
          </w:rPr>
          <w:t xml:space="preserve">12</w:t>
        </w:r>
      </w:hyperlink>
      <w:r>
        <w:t xml:space="preserve">)</w:t>
      </w:r>
      <w:r>
        <w:t xml:space="preserve"> </w:t>
      </w:r>
      <w:r>
        <w:t xml:space="preserve">and Tomtom </w:t>
      </w:r>
      <w:r>
        <w:t xml:space="preserve">(</w:t>
      </w:r>
      <w:hyperlink w:anchor="ref-gupta2007tomtom">
        <w:r>
          <w:rPr>
            <w:rStyle w:val="Hyperlink"/>
          </w:rPr>
          <w:t xml:space="preserve">13</w:t>
        </w:r>
      </w:hyperlink>
      <w:r>
        <w:t xml:space="preserve">)</w:t>
      </w:r>
      <w:r>
        <w:t xml:space="preserve">, are commonly used after peak or footprint</w:t>
      </w:r>
      <w:r>
        <w:t xml:space="preserve"> </w:t>
      </w:r>
      <w:r>
        <w:t xml:space="preserve">selection, and curated databases such as JASPAR </w:t>
      </w:r>
      <w:r>
        <w:t xml:space="preserve">(</w:t>
      </w:r>
      <w:hyperlink w:anchor="ref-jaspar2026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remain central</w:t>
      </w:r>
      <w:r>
        <w:t xml:space="preserve"> </w:t>
      </w:r>
      <w:r>
        <w:t xml:space="preserve">for known-motif matching. These tools are valuable, but they are typically</w:t>
      </w:r>
      <w:r>
        <w:t xml:space="preserve"> </w:t>
      </w:r>
      <w:r>
        <w:t xml:space="preserve">assembled through separate command interfaces, file conventions, report formats,</w:t>
      </w:r>
      <w:r>
        <w:t xml:space="preserve"> </w:t>
      </w:r>
      <w:r>
        <w:t xml:space="preserve">and visualization steps.</w:t>
      </w:r>
    </w:p>
    <w:p>
      <w:pPr>
        <w:pStyle w:val="BodyText"/>
      </w:pPr>
      <w:r>
        <w:t xml:space="preserve">This fragmentation creates a practical barrier for many applied studies. A</w:t>
      </w:r>
      <w:r>
        <w:t xml:space="preserve"> </w:t>
      </w:r>
      <w:r>
        <w:t xml:space="preserve">complete analysis must connect ATAC-seq input processing, Tn5 sequence-bias</w:t>
      </w:r>
      <w:r>
        <w:t xml:space="preserve"> </w:t>
      </w:r>
      <w:r>
        <w:t xml:space="preserve">correction, footprint scoring, motif matching, optional de novo motif discovery,</w:t>
      </w:r>
      <w:r>
        <w:t xml:space="preserve"> </w:t>
      </w:r>
      <w:r>
        <w:t xml:space="preserve">differential footprint analysis, aggregate visualization, and publication-ready</w:t>
      </w:r>
      <w:r>
        <w:t xml:space="preserve"> </w:t>
      </w:r>
      <w:r>
        <w:t xml:space="preserve">reporting. Single-cell ATAC-seq adds another difficulty: sparse per-cell fragments</w:t>
      </w:r>
      <w:r>
        <w:t xml:space="preserve"> </w:t>
      </w:r>
      <w:r>
        <w:t xml:space="preserve">usually need to be aggregated into cell-type, cluster, or neighborhood-level</w:t>
      </w:r>
      <w:r>
        <w:t xml:space="preserve"> </w:t>
      </w:r>
      <w:r>
        <w:t xml:space="preserve">profiles before footprinting can be interpreted. For many biology laboratories,</w:t>
      </w:r>
      <w:r>
        <w:t xml:space="preserve"> </w:t>
      </w:r>
      <w:r>
        <w:t xml:space="preserve">the limiting step is therefore not one missing algorithm, but the absence of an</w:t>
      </w:r>
      <w:r>
        <w:t xml:space="preserve"> </w:t>
      </w:r>
      <w:r>
        <w:t xml:space="preserve">efficient platform that connects these steps and preserves the analysis record.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to address this need. The package builds on the</w:t>
      </w:r>
      <w:r>
        <w:t xml:space="preserve"> </w:t>
      </w:r>
      <w:r>
        <w:t xml:space="preserve">widely used TOBIAS ATAC-seq footprinting framework and keeps its interpretable</w:t>
      </w:r>
      <w:r>
        <w:t xml:space="preserve"> </w:t>
      </w:r>
      <w:r>
        <w:t xml:space="preserve">motif-centered footprint logic, while improving speed and usability around the</w:t>
      </w:r>
      <w:r>
        <w:t xml:space="preserve"> </w:t>
      </w:r>
      <w:r>
        <w:t xml:space="preserve">core analysis. Compared with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adds de novo motif</w:t>
      </w:r>
      <w:r>
        <w:t xml:space="preserve"> </w:t>
      </w:r>
      <w:r>
        <w:t xml:space="preserve">preparation and matching, replicate-aware differential footprint reports,</w:t>
      </w:r>
      <w:r>
        <w:t xml:space="preserve"> </w:t>
      </w:r>
      <w:r>
        <w:t xml:space="preserve">pseudobulk single-cell ATAC-seq support, interactive HTML reports, editable SVG</w:t>
      </w:r>
      <w:r>
        <w:t xml:space="preserve"> </w:t>
      </w:r>
      <w:r>
        <w:t xml:space="preserve">outputs, and a graphical user interface for code-free execution of the same</w:t>
      </w:r>
      <w:r>
        <w:t xml:space="preserve"> </w:t>
      </w:r>
      <w:r>
        <w:t xml:space="preserve">command-compatible workflows.</w:t>
      </w:r>
    </w:p>
    <w:p>
      <w:pPr>
        <w:pStyle w:val="BodyText"/>
      </w:pPr>
      <w:r>
        <w:t xml:space="preserve">Here, we describe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implementation and evaluate it with</w:t>
      </w:r>
      <w:r>
        <w:t xml:space="preserve"> </w:t>
      </w:r>
      <w:r>
        <w:t xml:space="preserve">public bulk ATAC-seq replicates and public single-cell ATAC-seq datasets. We</w:t>
      </w:r>
      <w:r>
        <w:t xml:space="preserve"> </w:t>
      </w:r>
      <w:r>
        <w:t xml:space="preserve">focus on practical improvements to established ATAC-seq footprinting: connecting</w:t>
      </w:r>
      <w:r>
        <w:t xml:space="preserve"> </w:t>
      </w:r>
      <w:r>
        <w:t xml:space="preserve">common TF-footprinting tasks into one auditable analysis that can be run from the</w:t>
      </w:r>
      <w:r>
        <w:t xml:space="preserve"> </w:t>
      </w:r>
      <w:r>
        <w:t xml:space="preserve">command line, saved YAML files, or the GUI.</w:t>
      </w:r>
    </w:p>
    <w:bookmarkEnd w:id="20"/>
    <w:bookmarkStart w:id="27" w:name="materials-and-methods"/>
    <w:p>
      <w:pPr>
        <w:pStyle w:val="Heading1"/>
      </w:pPr>
      <w:r>
        <w:t xml:space="preserve">Materials and Methods</w:t>
      </w:r>
    </w:p>
    <w:bookmarkStart w:id="21" w:name="package-architecture-and-core-workflows"/>
    <w:p>
      <w:pPr>
        <w:pStyle w:val="Heading2"/>
      </w:pPr>
      <w:r>
        <w:t xml:space="preserve">Package Architecture and Core Workflows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accelerates the main signal-processing steps used in ATAC-seq</w:t>
      </w:r>
      <w:r>
        <w:t xml:space="preserve"> </w:t>
      </w:r>
      <w:r>
        <w:t xml:space="preserve">footprinting. The core analysis includes Tn5 sequence-bias correction, footprint</w:t>
      </w:r>
      <w:r>
        <w:t xml:space="preserve"> </w:t>
      </w:r>
      <w:r>
        <w:t xml:space="preserve">scoring over corrected signal, motif-anchored differential analysis, and</w:t>
      </w:r>
      <w:r>
        <w:t xml:space="preserve"> </w:t>
      </w:r>
      <w:r>
        <w:t xml:space="preserve">aggregate visualization around TFBS or region sets. These steps use shared</w:t>
      </w:r>
      <w:r>
        <w:t xml:space="preserve"> </w:t>
      </w:r>
      <w:r>
        <w:t xml:space="preserve">region, signal, motif, and sample-label conventions, so the output of one step</w:t>
      </w:r>
      <w:r>
        <w:t xml:space="preserve"> </w:t>
      </w:r>
      <w:r>
        <w:t xml:space="preserve">can be used directly by the next. YAML configuration files provide a</w:t>
      </w:r>
      <w:r>
        <w:t xml:space="preserve"> </w:t>
      </w:r>
      <w:r>
        <w:t xml:space="preserve">reproducible way to save and rerun the same analysis without changing the</w:t>
      </w:r>
      <w:r>
        <w:t xml:space="preserve"> </w:t>
      </w:r>
      <w:r>
        <w:t xml:space="preserve">underlying methods.</w:t>
      </w:r>
    </w:p>
    <w:p>
      <w:pPr>
        <w:pStyle w:val="BodyText"/>
      </w:pPr>
      <w:r>
        <w:t xml:space="preserve">Following the signal model popularized by TOBIAS </w:t>
      </w:r>
      <w:r>
        <w:t xml:space="preserve">(</w:t>
      </w:r>
      <w:hyperlink w:anchor="ref-bentsen2020">
        <w:r>
          <w:rPr>
            <w:rStyle w:val="Hyperlink"/>
          </w:rPr>
          <w:t xml:space="preserve">6</w:t>
        </w:r>
      </w:hyperlink>
      <w:r>
        <w:t xml:space="preserve">)</w:t>
      </w:r>
      <w:r>
        <w:t xml:space="preserve">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treats base-resolution, bias-corrected cut-site profiles as the</w:t>
      </w:r>
      <w:r>
        <w:t xml:space="preserve"> </w:t>
      </w:r>
      <w:r>
        <w:t xml:space="preserve">primary footprinting signal. This design preserves the familiar bulk ATAC</w:t>
      </w:r>
      <w:r>
        <w:t xml:space="preserve"> </w:t>
      </w:r>
      <w:r>
        <w:t xml:space="preserve">footprinting interpretation: the biological signal is a corrected</w:t>
      </w:r>
      <w:r>
        <w:t xml:space="preserve"> </w:t>
      </w:r>
      <w:r>
        <w:t xml:space="preserve">center-versus-flank cut-site contrast at motif or candidate sites.</w:t>
      </w:r>
      <w:r>
        <w:t xml:space="preserve"> </w:t>
      </w:r>
      <w:r>
        <w:t xml:space="preserve">After bias correction,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additionally rescale corrected</w:t>
      </w:r>
      <w:r>
        <w:t xml:space="preserve"> </w:t>
      </w:r>
      <w:r>
        <w:t xml:space="preserve">cut-site tracks before footprint scoring by matching the 95th percentile of</w:t>
      </w:r>
      <w:r>
        <w:t xml:space="preserve"> </w:t>
      </w:r>
      <w:r>
        <w:t xml:space="preserve">signal over shared background regions to an across-sample target, usually the</w:t>
      </w:r>
      <w:r>
        <w:t xml:space="preserve"> </w:t>
      </w:r>
      <w:r>
        <w:t xml:space="preserve">median. This robust q95 scaling reduces sample-to-sample signal-level variation</w:t>
      </w:r>
      <w:r>
        <w:t xml:space="preserve"> </w:t>
      </w:r>
      <w:r>
        <w:t xml:space="preserve">before footprint scoring while being less sensitive to rare extreme bins than</w:t>
      </w:r>
      <w:r>
        <w:t xml:space="preserve"> </w:t>
      </w:r>
      <w:r>
        <w:t xml:space="preserve">full quantile matching.</w:t>
      </w:r>
      <w:r>
        <w:t xml:space="preserve"> </w:t>
      </w:r>
      <w:r>
        <w:t xml:space="preserve">The package keeps this signal definition while recording sample labels, input</w:t>
      </w:r>
      <w:r>
        <w:t xml:space="preserve"> </w:t>
      </w:r>
      <w:r>
        <w:t xml:space="preserve">manifests, reusable configuration, replicate summaries, and report outputs.</w:t>
      </w:r>
      <w:r>
        <w:t xml:space="preserve"> </w:t>
      </w:r>
      <w:r>
        <w:t xml:space="preserve">For footprint calling,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 corrected Tn5 cut-site signal around</w:t>
      </w:r>
      <w:r>
        <w:t xml:space="preserve"> </w:t>
      </w:r>
      <w:r>
        <w:t xml:space="preserve">candidate position</w:t>
      </w:r>
      <w:r>
        <w:t xml:space="preserve"> </w:t>
      </w:r>
      <m:oMath>
        <m:r>
          <m:t>p</m:t>
        </m:r>
      </m:oMath>
      <w:r>
        <w:t xml:space="preserve">. The default footprint score is a center-versus-flank</w:t>
      </w:r>
      <w:r>
        <w:t xml:space="preserve"> </w:t>
      </w:r>
      <w:r>
        <w:t xml:space="preserve">contrast,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L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</m:e>
              </m:d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C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C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protected center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flanking windows. Larger</w:t>
      </w:r>
      <w:r>
        <w:t xml:space="preserve"> </w:t>
      </w:r>
      <w:r>
        <w:t xml:space="preserve">values therefore correspond to the expected footprint pattern: fewer cuts at the</w:t>
      </w:r>
      <w:r>
        <w:t xml:space="preserve"> </w:t>
      </w:r>
      <w:r>
        <w:t xml:space="preserve">putative bound site and more cuts in nearby accessible flanks.</w:t>
      </w:r>
    </w:p>
    <w:bookmarkEnd w:id="21"/>
    <w:bookmarkStart w:id="22" w:name="de-novo-motif-discovery-preparation"/>
    <w:p>
      <w:pPr>
        <w:pStyle w:val="Heading2"/>
      </w:pPr>
      <w:r>
        <w:t xml:space="preserve">De Novo Motif Discovery Preparation</w:t>
      </w:r>
    </w:p>
    <w:p>
      <w:pPr>
        <w:pStyle w:val="FirstParagraph"/>
      </w:pPr>
      <w:r>
        <w:t xml:space="preserve">The de novo motif-discovery module begins from candidate footprint intervals,</w:t>
      </w:r>
      <w:r>
        <w:t xml:space="preserve"> </w:t>
      </w:r>
      <w:r>
        <w:t xml:space="preserve">which may be produced by footprint calling or provided as input. For each</w:t>
      </w:r>
      <w:r>
        <w:t xml:space="preserve"> </w:t>
      </w:r>
      <w:r>
        <w:t xml:space="preserve">candidate interval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center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strand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 and flank size</w:t>
      </w:r>
      <w:r>
        <w:t xml:space="preserve"> </w:t>
      </w:r>
      <m:oMath>
        <m:r>
          <m:t>h</m:t>
        </m:r>
      </m:oMath>
      <w:r>
        <w:t xml:space="preserve">, it</w:t>
      </w:r>
      <w:r>
        <w:t xml:space="preserve"> </w:t>
      </w:r>
      <w:r>
        <w:t xml:space="preserve">exports a candidate-centered sequence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G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reverse-complementing the sequence when strand information indicates the negative</w:t>
      </w:r>
      <w:r>
        <w:t xml:space="preserve"> </w:t>
      </w:r>
      <w:r>
        <w:t xml:space="preserve">strand. The module records the input intervals, genome build, flank width,</w:t>
      </w:r>
      <w:r>
        <w:t xml:space="preserve"> </w:t>
      </w:r>
      <w:r>
        <w:t xml:space="preserve">software versions, and MEME, DREME, STREME </w:t>
      </w:r>
      <w:r>
        <w:t xml:space="preserve">(</w:t>
      </w:r>
      <w:hyperlink w:anchor="ref-bailey2015meme">
        <w:r>
          <w:rPr>
            <w:rStyle w:val="Hyperlink"/>
          </w:rPr>
          <w:t xml:space="preserve">11</w:t>
        </w:r>
      </w:hyperlink>
      <w:r>
        <w:t xml:space="preserve">,</w:t>
      </w:r>
      <w:hyperlink w:anchor="ref-Bailey2021_STREME">
        <w:r>
          <w:rPr>
            <w:rStyle w:val="Hyperlink"/>
          </w:rPr>
          <w:t xml:space="preserve">12</w:t>
        </w:r>
      </w:hyperlink>
      <w:r>
        <w:t xml:space="preserve">,</w:t>
      </w:r>
      <w:hyperlink w:anchor="ref-Bailey2011_DREME">
        <w:r>
          <w:rPr>
            <w:rStyle w:val="Hyperlink"/>
          </w:rPr>
          <w:t xml:space="preserve">15</w:t>
        </w:r>
      </w:hyperlink>
      <w:r>
        <w:t xml:space="preserve">)</w:t>
      </w:r>
      <w:r>
        <w:t xml:space="preserve"> </w:t>
      </w:r>
      <w:r>
        <w:t xml:space="preserve">or optional Tomtom </w:t>
      </w:r>
      <w:r>
        <w:t xml:space="preserve">(</w:t>
      </w:r>
      <w:hyperlink w:anchor="ref-gupta2007tomtom">
        <w:r>
          <w:rPr>
            <w:rStyle w:val="Hyperlink"/>
          </w:rPr>
          <w:t xml:space="preserve">13</w:t>
        </w:r>
      </w:hyperlink>
      <w:r>
        <w:t xml:space="preserve">)</w:t>
      </w:r>
      <w:r>
        <w:t xml:space="preserve"> </w:t>
      </w:r>
      <w:r>
        <w:t xml:space="preserve">settings needed to reproduce each</w:t>
      </w:r>
      <w:r>
        <w:t xml:space="preserve"> </w:t>
      </w:r>
      <w:r>
        <w:t xml:space="preserve">run. STREME was designed for accurate motif discovery from enriched sequence</w:t>
      </w:r>
      <w:r>
        <w:t xml:space="preserve"> </w:t>
      </w:r>
      <w:r>
        <w:t xml:space="preserve">sets </w:t>
      </w:r>
      <w:r>
        <w:t xml:space="preserve">(</w:t>
      </w:r>
      <w:hyperlink w:anchor="ref-Bailey2021_STREME">
        <w:r>
          <w:rPr>
            <w:rStyle w:val="Hyperlink"/>
          </w:rPr>
          <w:t xml:space="preserve">12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Discovered motifs can be analyzed as an independent motif set or matched to a</w:t>
      </w:r>
      <w:r>
        <w:t xml:space="preserve"> </w:t>
      </w:r>
      <w:r>
        <w:t xml:space="preserve">known database such as JASPAR 2026 </w:t>
      </w:r>
      <w:r>
        <w:t xml:space="preserve">(</w:t>
      </w:r>
      <w:hyperlink w:anchor="ref-jaspar2026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and appended to the known</w:t>
      </w:r>
      <w:r>
        <w:t xml:space="preserve"> </w:t>
      </w:r>
      <w:r>
        <w:t xml:space="preserve">motif set for downstream differential footprint analysis. In this design,</w:t>
      </w:r>
      <w:r>
        <w:t xml:space="preserve"> </w:t>
      </w:r>
      <w:r>
        <w:t xml:space="preserve">candidate FASTA export, motif discovery, motif comparison, and database</w:t>
      </w:r>
      <w:r>
        <w:t xml:space="preserve"> </w:t>
      </w:r>
      <w:r>
        <w:t xml:space="preserve">augmentation become part of the recorded footprint analysis.</w:t>
      </w:r>
    </w:p>
    <w:bookmarkEnd w:id="22"/>
    <w:bookmarkStart w:id="23" w:name="pseudobulk-fragment-aggregation"/>
    <w:p>
      <w:pPr>
        <w:pStyle w:val="Heading2"/>
      </w:pPr>
      <w:r>
        <w:t xml:space="preserve">Pseudobulk Fragment Aggregation</w:t>
      </w:r>
    </w:p>
    <w:p>
      <w:pPr>
        <w:pStyle w:val="FirstParagraph"/>
      </w:pPr>
      <w:r>
        <w:t xml:space="preserve">The pseudobulk module groups single-cell ATAC fragments by a metadata column,</w:t>
      </w:r>
      <w:r>
        <w:t xml:space="preserve"> </w:t>
      </w:r>
      <w:r>
        <w:t xml:space="preserve">such as cell type, cluster, donor, or treatment. Let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be the multiset of</w:t>
      </w:r>
      <w:r>
        <w:t xml:space="preserve"> </w:t>
      </w:r>
      <w:r>
        <w:t xml:space="preserve">fragments assigned to barcode</w:t>
      </w:r>
      <w:r>
        <w:t xml:space="preserve"> </w:t>
      </w:r>
      <m:oMath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</m:oMath>
      <w:r>
        <w:t xml:space="preserve"> </w:t>
      </w:r>
      <w:r>
        <w:t xml:space="preserve">be its group label. The</w:t>
      </w:r>
      <w:r>
        <w:t xml:space="preserve"> </w:t>
      </w:r>
      <w:r>
        <w:t xml:space="preserve">pseudobulk fragment collection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concatenated multiset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e>
            <m:sub>
              <m:r>
                <m:t>b</m:t>
              </m:r>
              <m:r>
                <m:rPr>
                  <m:sty m:val="p"/>
                </m:rPr>
                <m:t>: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repeated fragments and fragment multiplicity are preserved.</w:t>
      </w:r>
      <w:r>
        <w:t xml:space="preserve"> </w:t>
      </w:r>
      <w:r>
        <w:t xml:space="preserve">Groups that pass specified cell-count and fragment-count filters are written as</w:t>
      </w:r>
      <w:r>
        <w:t xml:space="preserve"> </w:t>
      </w:r>
      <w:r>
        <w:t xml:space="preserve">bulk-like fragment files with manifest records. When genome sizes are supplied,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can also emit CPM-normalized cut-site bigWigs,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u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is the cut-site count for group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genomic position</w:t>
      </w:r>
      <w:r>
        <w:t xml:space="preserve"> </w:t>
      </w:r>
      <m:oMath>
        <m:r>
          <m:t>t</m:t>
        </m:r>
      </m:oMath>
      <w:r>
        <w:t xml:space="preserve">. These</w:t>
      </w:r>
      <w:r>
        <w:t xml:space="preserve"> </w:t>
      </w:r>
      <w:r>
        <w:t xml:space="preserve">tracks support motif-centered aggregate profiles matched to the bulk ATAC-seq</w:t>
      </w:r>
      <w:r>
        <w:t xml:space="preserve"> </w:t>
      </w:r>
      <w:r>
        <w:t xml:space="preserve">analysis path. The full pseudobulk route writes pseudo-paired BAMs from grouped</w:t>
      </w:r>
      <w:r>
        <w:t xml:space="preserve"> </w:t>
      </w:r>
      <w:r>
        <w:t xml:space="preserve">fragments and then runs correction, scoring, motif-aware comparison, and plotting</w:t>
      </w:r>
      <w:r>
        <w:t xml:space="preserve"> </w:t>
      </w:r>
      <w:r>
        <w:t xml:space="preserve">with the same conventions used for bulk ATAC-seq.</w:t>
      </w:r>
    </w:p>
    <w:p>
      <w:pPr>
        <w:pStyle w:val="BodyText"/>
      </w:pPr>
      <w:r>
        <w:t xml:space="preserve">For cell-level marker visualization,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also computes</w:t>
      </w:r>
      <w:r>
        <w:t xml:space="preserve"> </w:t>
      </w:r>
      <w:r>
        <w:t xml:space="preserve">K-nearest-neighbor (KNN)-smoothed footprint signatures from single-cell fragments.</w:t>
      </w:r>
      <w:r>
        <w:t xml:space="preserve"> </w:t>
      </w:r>
      <w:r>
        <w:t xml:space="preserve">For each marker TF, motif centers are scanned inside the selected accessible-bin</w:t>
      </w:r>
      <w:r>
        <w:t xml:space="preserve"> </w:t>
      </w:r>
      <w:r>
        <w:t xml:space="preserve">universe. Fragment cut sites are counted in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100 bp window around those</w:t>
      </w:r>
      <w:r>
        <w:t xml:space="preserve"> </w:t>
      </w:r>
      <w:r>
        <w:t xml:space="preserve">motif centers for each barcode. Each cell is assigned a local neighborhood</w:t>
      </w:r>
      <w:r>
        <w:t xml:space="preserve"> </w:t>
      </w:r>
      <w:r>
        <w:t xml:space="preserve">profile by summing its 75 nearest neighbors in the single-cell embedding, and a</w:t>
      </w:r>
      <w:r>
        <w:t xml:space="preserve"> </w:t>
      </w:r>
      <w:r>
        <w:t xml:space="preserve">flank-minus-center footprint-signature score is computed from that neighborhood</w:t>
      </w:r>
      <w:r>
        <w:t xml:space="preserve"> </w:t>
      </w:r>
      <w:r>
        <w:t xml:space="preserve">profile. Scores are oriented so that the expected marker cell type has the</w:t>
      </w:r>
      <w:r>
        <w:t xml:space="preserve"> </w:t>
      </w:r>
      <w:r>
        <w:t xml:space="preserve">positive direction and then standardized per TF for UMAP display. These</w:t>
      </w:r>
      <w:r>
        <w:t xml:space="preserve"> </w:t>
      </w:r>
      <w:r>
        <w:t xml:space="preserve">KNN-smoothed signatures summarize local, motif-centered cut-site patterns across</w:t>
      </w:r>
      <w:r>
        <w:t xml:space="preserve"> </w:t>
      </w:r>
      <w:r>
        <w:t xml:space="preserve">neighboring cells, while full ATAC-corrected footprint tracks are computed from</w:t>
      </w:r>
      <w:r>
        <w:t xml:space="preserve"> </w:t>
      </w:r>
      <w:r>
        <w:t xml:space="preserve">the grouped pseudobulk profiles.</w:t>
      </w:r>
    </w:p>
    <w:bookmarkEnd w:id="23"/>
    <w:bookmarkStart w:id="24" w:name="X935fb5b71ac4c123c30722e29ae08f48dec577d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differential footprint module supports both single-sample contrasts and</w:t>
      </w:r>
      <w:r>
        <w:t xml:space="preserve"> </w:t>
      </w:r>
      <w:r>
        <w:t xml:space="preserve">replicate-supported comparisons. It retains conventional motif-centered</w:t>
      </w:r>
      <w:r>
        <w:t xml:space="preserve"> </w:t>
      </w:r>
      <w:r>
        <w:t xml:space="preserve">footprint-score logic while adding repeated condition labels, replicate-level</w:t>
      </w:r>
      <w:r>
        <w:t xml:space="preserve"> </w:t>
      </w:r>
      <w:r>
        <w:t xml:space="preserve">summaries, and replicate-aware testing.</w:t>
      </w:r>
      <w:r>
        <w:t xml:space="preserve"> </w:t>
      </w:r>
      <w:r>
        <w:t xml:space="preserve">Repeated condition names, for example</w:t>
      </w:r>
      <w:r>
        <w:t xml:space="preserve"> </w:t>
      </w:r>
      <w:r>
        <w:rPr>
          <w:rStyle w:val="VerbatimChar"/>
        </w:rPr>
        <w:t xml:space="preserve">–cond-names Bcell Bcell Tcell Tcell</w:t>
      </w:r>
      <w:r>
        <w:t xml:space="preserve">, define biological replicate groups while preserving the original</w:t>
      </w:r>
      <w:r>
        <w:t xml:space="preserve"> </w:t>
      </w:r>
      <w:r>
        <w:t xml:space="preserve">differential-footprint output structure. Let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footprint score</w:t>
      </w:r>
      <w:r>
        <w:t xml:space="preserve"> </w:t>
      </w:r>
      <w:r>
        <w:t xml:space="preserve">at site or background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replicate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condition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For one-sample versus one-sample contrasts,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uses the</w:t>
      </w:r>
      <w:r>
        <w:t xml:space="preserve"> </w:t>
      </w:r>
      <w:r>
        <w:t xml:space="preserve">motif-site versus background-distribution comparison of the standard</w:t>
      </w:r>
      <w:r>
        <w:t xml:space="preserve"> </w:t>
      </w:r>
      <w:r>
        <w:t xml:space="preserve">TOBIAS-style report. Candidate sites are grouped by motif, site-level changes at</w:t>
      </w:r>
      <w:r>
        <w:t xml:space="preserve"> </w:t>
      </w:r>
      <w:r>
        <w:t xml:space="preserve">motif sites are compared with matched background changes, and p-values are</w:t>
      </w:r>
      <w:r>
        <w:t xml:space="preserve"> </w:t>
      </w:r>
      <w:r>
        <w:t xml:space="preserve">adjusted across motifs within each contrast.</w:t>
      </w:r>
    </w:p>
    <w:p>
      <w:pPr>
        <w:pStyle w:val="BodyText"/>
      </w:pPr>
      <w:r>
        <w:t xml:space="preserve">For replicate-supported comparisons,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generalizes this</w:t>
      </w:r>
      <w:r>
        <w:t xml:space="preserve"> </w:t>
      </w:r>
      <w:r>
        <w:t xml:space="preserve">comparison to multiple samples per condition. Footprint scores are computed for</w:t>
      </w:r>
      <w:r>
        <w:t xml:space="preserve"> </w:t>
      </w:r>
      <w:r>
        <w:t xml:space="preserve">each replicate on the same peak and motif-site universe. Replicate scores are</w:t>
      </w:r>
      <w:r>
        <w:t xml:space="preserve"> </w:t>
      </w:r>
      <w:r>
        <w:t xml:space="preserve">then summarized within each condition,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b>
                <m:e>
                  <m:r>
                    <m:t>x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s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motif</w:t>
      </w:r>
      <w:r>
        <w:t xml:space="preserve"> </w:t>
      </w:r>
      <m:oMath>
        <m:r>
          <m:t>m</m:t>
        </m:r>
      </m:oMath>
      <w:r>
        <w:t xml:space="preserve">, let</w:t>
      </w:r>
      <w:r>
        <w:t xml:space="preserve"> </w:t>
      </w:r>
      <m:oMath>
        <m:sSub>
          <m:e>
            <m:r>
              <m:t>S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denote its candidate motif sites 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the matched</w:t>
      </w:r>
      <w:r>
        <w:t xml:space="preserve"> </w:t>
      </w:r>
      <w:r>
        <w:t xml:space="preserve">background sites. The replicate-aware motif-background effect is reported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report also includes replicate counts, condition means, SDs, and SE</w:t>
      </w:r>
      <w:r>
        <w:t xml:space="preserve"> </w:t>
      </w:r>
      <w:r>
        <w:t xml:space="preserve">summaries, so the additional samples contribute to a more stable estimate rather</w:t>
      </w:r>
      <w:r>
        <w:t xml:space="preserve"> </w:t>
      </w:r>
      <w:r>
        <w:t xml:space="preserve">than being collapsed outside the analysis.</w:t>
      </w:r>
    </w:p>
    <w:p>
      <w:pPr>
        <w:pStyle w:val="BodyText"/>
      </w:pPr>
      <w:r>
        <w:t xml:space="preserve">Quantile normalization remains an optional comparison-stage adjustment. In</w:t>
      </w:r>
      <w:r>
        <w:t xml:space="preserve"> </w:t>
      </w:r>
      <w:r>
        <w:t xml:space="preserve">single-sample contrasts, sample-quantile normalization provides the conventional</w:t>
      </w:r>
      <w:r>
        <w:t xml:space="preserve"> </w:t>
      </w:r>
      <w:r>
        <w:t xml:space="preserve">two-sample score-distribution matching. In replicate-supported comparisons,</w:t>
      </w:r>
      <w:r>
        <w:t xml:space="preserve"> </w:t>
      </w:r>
      <w:r>
        <w:t xml:space="preserve">condition-quantile normalization averages background distributions within each</w:t>
      </w:r>
      <w:r>
        <w:t xml:space="preserve"> </w:t>
      </w:r>
      <w:r>
        <w:t xml:space="preserve">condition, fits one normalization factor per condition, and applies that factor</w:t>
      </w:r>
      <w:r>
        <w:t xml:space="preserve"> </w:t>
      </w:r>
      <w:r>
        <w:t xml:space="preserve">to the replicates before condition summaries are computed. This option is used</w:t>
      </w:r>
      <w:r>
        <w:t xml:space="preserve"> </w:t>
      </w:r>
      <w:r>
        <w:t xml:space="preserve">as a sensitivity adjustment; the main replicate-aware extension is the explicit</w:t>
      </w:r>
      <w:r>
        <w:t xml:space="preserve"> </w:t>
      </w:r>
      <w:r>
        <w:t xml:space="preserve">use of replicate-level motif scores.</w:t>
      </w:r>
    </w:p>
    <w:p>
      <w:pPr>
        <w:pStyle w:val="BodyText"/>
      </w:pPr>
      <w:r>
        <w:t xml:space="preserve">When per-sample motif-score matrices are available,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further</w:t>
      </w:r>
      <w:r>
        <w:t xml:space="preserve"> </w:t>
      </w:r>
      <w:r>
        <w:t xml:space="preserve">applies empirical-Bayes variance moderation across motifs, following the</w:t>
      </w:r>
      <w:r>
        <w:t xml:space="preserve"> </w:t>
      </w:r>
      <w:r>
        <w:t xml:space="preserve">moderated testing framework of Smyth </w:t>
      </w:r>
      <w:r>
        <w:t xml:space="preserve">(</w:t>
      </w:r>
      <w:hyperlink w:anchor="ref-smyth2004">
        <w:r>
          <w:rPr>
            <w:rStyle w:val="Hyperlink"/>
          </w:rPr>
          <w:t xml:space="preserve">16</w:t>
        </w:r>
      </w:hyperlink>
      <w:r>
        <w:t xml:space="preserve">)</w:t>
      </w:r>
      <w:r>
        <w:t xml:space="preserve">. This replicate-supported</w:t>
      </w:r>
      <w:r>
        <w:t xml:space="preserve"> </w:t>
      </w:r>
      <w:r>
        <w:t xml:space="preserve">view estimates condition effects from the per-sample motif scores. If</w:t>
      </w:r>
      <w:r>
        <w:t xml:space="preserve"> </w:t>
      </w:r>
      <m:oMath>
        <m:sSub>
          <m:e>
            <m:r>
              <m:t>z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S</m:t>
                    </m:r>
                  </m:e>
                  <m:sub>
                    <m:r>
                      <m:t>m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m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c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per-sample motif score,</w:t>
      </w:r>
      <w:r>
        <w:t xml:space="preserve"> </w:t>
      </w:r>
      <w:r>
        <w:t xml:space="preserve">the contrast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t</m:t>
              </m:r>
            </m:e>
            <m:sub>
              <m:r>
                <m:t>m</m:t>
              </m:r>
            </m:sub>
            <m:sup>
              <m:r>
                <m:t>E</m:t>
              </m:r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E</m:t>
                      </m:r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Sup>
                        <m:e>
                          <m:r>
                            <m:t>n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n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d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s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E</m:t>
            </m:r>
            <m:r>
              <m:t>B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moderated across motifs. Adjusted</w:t>
      </w:r>
      <w:r>
        <w:t xml:space="preserve"> </w:t>
      </w:r>
      <w:r>
        <w:t xml:space="preserve">differential-footprint statistics from this view are reported alongside the</w:t>
      </w:r>
      <w:r>
        <w:t xml:space="preserve"> </w:t>
      </w:r>
      <w:r>
        <w:t xml:space="preserve">native motif-background columns.</w:t>
      </w:r>
    </w:p>
    <w:bookmarkEnd w:id="24"/>
    <w:bookmarkStart w:id="25" w:name="public-data-processing-and-evaluation"/>
    <w:p>
      <w:pPr>
        <w:pStyle w:val="Heading2"/>
      </w:pPr>
      <w:r>
        <w:t xml:space="preserve">Public Data Processing and Evaluation</w:t>
      </w:r>
    </w:p>
    <w:p>
      <w:pPr>
        <w:pStyle w:val="FirstParagraph"/>
      </w:pPr>
      <w:r>
        <w:t xml:space="preserve">The bulk replicate demonstration uses a 3-vs-3 public ENCODE ATAC-seq</w:t>
      </w:r>
      <w:r>
        <w:t xml:space="preserve"> </w:t>
      </w:r>
      <w:r>
        <w:t xml:space="preserve">comparison between K562 and HepG2, with three released GRCh38 alignment BAMs per</w:t>
      </w:r>
      <w:r>
        <w:t xml:space="preserve"> </w:t>
      </w:r>
      <w:r>
        <w:t xml:space="preserve">cell line. Problematic genomic regions were filtered using the ENCODE</w:t>
      </w:r>
      <w:r>
        <w:t xml:space="preserve"> </w:t>
      </w:r>
      <w:r>
        <w:t xml:space="preserve">blacklist </w:t>
      </w:r>
      <w:r>
        <w:t xml:space="preserve">(</w:t>
      </w:r>
      <w:hyperlink w:anchor="ref-Amemiya2019_Blacklist">
        <w:r>
          <w:rPr>
            <w:rStyle w:val="Hyperlink"/>
          </w:rPr>
          <w:t xml:space="preserve">17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Replicate peak intervals were merged into a common peak universe, bias-corrected,</w:t>
      </w:r>
      <w:r>
        <w:t xml:space="preserve"> </w:t>
      </w:r>
      <w:r>
        <w:t xml:space="preserve">q95-scaled over shared background regions, footprint-called, and analyzed by</w:t>
      </w:r>
      <w:r>
        <w:t xml:space="preserve"> </w:t>
      </w:r>
      <w:r>
        <w:t xml:space="preserve">replicate-aware differential footprint comparison. The analysis used JASPAR 2026</w:t>
      </w:r>
      <w:r>
        <w:t xml:space="preserve"> </w:t>
      </w:r>
      <w:r>
        <w:t xml:space="preserve">CORE vertebrates non-redundant motifs </w:t>
      </w:r>
      <w:r>
        <w:t xml:space="preserve">(</w:t>
      </w:r>
      <w:hyperlink w:anchor="ref-jaspar2026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for known-motif</w:t>
      </w:r>
      <w:r>
        <w:t xml:space="preserve"> </w:t>
      </w:r>
      <w:r>
        <w:t xml:space="preserve">scanning. Exact command-line parameters and software versions are recorded in source TSV</w:t>
      </w:r>
      <w:r>
        <w:t xml:space="preserve"> </w:t>
      </w:r>
      <w:r>
        <w:t xml:space="preserve">files in the manuscript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directory and summarized in</w:t>
      </w:r>
      <w:r>
        <w:t xml:space="preserve"> </w:t>
      </w:r>
      <w:r>
        <w:t xml:space="preserve">Tables S1 and</w:t>
      </w:r>
      <w:r>
        <w:t xml:space="preserve"> </w:t>
      </w:r>
      <w:r>
        <w:t xml:space="preserve">S2.</w:t>
      </w:r>
    </w:p>
    <w:p>
      <w:pPr>
        <w:pStyle w:val="BodyText"/>
      </w:pPr>
      <w:r>
        <w:t xml:space="preserve">Public inputs are organized as versioned TSV manifests that record source URLs,</w:t>
      </w:r>
      <w:r>
        <w:t xml:space="preserve"> </w:t>
      </w:r>
      <w:r>
        <w:t xml:space="preserve">accessions, assemblies, checksums, local paths, and analysis labels. Discovery</w:t>
      </w:r>
      <w:r>
        <w:t xml:space="preserve"> </w:t>
      </w:r>
      <w:r>
        <w:t xml:space="preserve">and download scripts query public repositories such as ENCODE </w:t>
      </w:r>
      <w:r>
        <w:t xml:space="preserve">(</w:t>
      </w:r>
      <w:hyperlink w:anchor="ref-encode2012">
        <w:r>
          <w:rPr>
            <w:rStyle w:val="Hyperlink"/>
          </w:rPr>
          <w:t xml:space="preserve">18</w:t>
        </w:r>
      </w:hyperlink>
      <w:r>
        <w:t xml:space="preserve">)</w:t>
      </w:r>
      <w:r>
        <w:t xml:space="preserve"> </w:t>
      </w:r>
      <w:r>
        <w:t xml:space="preserve">for released human GRCh38 ATAC-seq records and write resumable download reports.</w:t>
      </w:r>
      <w:r>
        <w:t xml:space="preserve"> </w:t>
      </w:r>
      <w:r>
        <w:t xml:space="preserve">The manuscript evaluation combines compact regression inputs, public bulk ATAC</w:t>
      </w:r>
      <w:r>
        <w:t xml:space="preserve"> </w:t>
      </w:r>
      <w:r>
        <w:t xml:space="preserve">replicates, de novo motif-preparation examples, and public PBMC single-cell</w:t>
      </w:r>
      <w:r>
        <w:t xml:space="preserve"> </w:t>
      </w:r>
      <w:r>
        <w:t xml:space="preserve">ATAC examples. For each analysis, command-line parameters, software versions,</w:t>
      </w:r>
      <w:r>
        <w:t xml:space="preserve"> </w:t>
      </w:r>
      <w:r>
        <w:t xml:space="preserve">resolved input manifests, source tables, and generated figure inputs are kept</w:t>
      </w:r>
      <w:r>
        <w:t xml:space="preserve"> </w:t>
      </w:r>
      <w:r>
        <w:t xml:space="preserve">with the manuscript resources so the reported examples can be rerun and audited.</w:t>
      </w:r>
    </w:p>
    <w:bookmarkEnd w:id="25"/>
    <w:bookmarkStart w:id="26" w:name="reproducibility-engineering"/>
    <w:p>
      <w:pPr>
        <w:pStyle w:val="Heading2"/>
      </w:pPr>
      <w:r>
        <w:t xml:space="preserve">Reproducibility Engineering</w:t>
      </w:r>
    </w:p>
    <w:p>
      <w:pPr>
        <w:pStyle w:val="FirstParagraph"/>
      </w:pPr>
      <w:r>
        <w:t xml:space="preserve">The package includes unit tests for numerical helpers and CLI behavior, plus</w:t>
      </w:r>
      <w:r>
        <w:t xml:space="preserve"> </w:t>
      </w:r>
      <w:r>
        <w:t xml:space="preserve">automated output checks for footprint calling, differential footprint analysis,</w:t>
      </w:r>
      <w:r>
        <w:t xml:space="preserve"> </w:t>
      </w:r>
      <w:r>
        <w:t xml:space="preserve">and aggregate plotting, with an opt-in slow check for bias correction.</w:t>
      </w:r>
      <w:r>
        <w:t xml:space="preserve"> </w:t>
      </w:r>
      <w:r>
        <w:t xml:space="preserve">Continuous integration runs the suite on compact reference inputs, builds source</w:t>
      </w:r>
      <w:r>
        <w:t xml:space="preserve"> </w:t>
      </w:r>
      <w:r>
        <w:t xml:space="preserve">and wheel artifacts, and verifies the installed console scripts.</w:t>
      </w:r>
      <w:r>
        <w:t xml:space="preserve"> </w:t>
      </w:r>
      <w:r>
        <w:t xml:space="preserve">The repository also includes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 Dockerfile, release</w:t>
      </w:r>
      <w:r>
        <w:t xml:space="preserve"> </w:t>
      </w:r>
      <w:r>
        <w:t xml:space="preserve">metadata, and Make targets for testing, building, and manuscript checks. These</w:t>
      </w:r>
      <w:r>
        <w:t xml:space="preserve"> </w:t>
      </w:r>
      <w:r>
        <w:t xml:space="preserve">choices follow FAIR-oriented research-software principles and established</w:t>
      </w:r>
      <w:r>
        <w:t xml:space="preserve"> </w:t>
      </w:r>
      <w:r>
        <w:t xml:space="preserve">bioinformatics environment practices </w:t>
      </w:r>
      <w:r>
        <w:t xml:space="preserve">(</w:t>
      </w:r>
      <w:hyperlink w:anchor="ref-Wilkinson2016_FAIR">
        <w:r>
          <w:rPr>
            <w:rStyle w:val="Hyperlink"/>
          </w:rPr>
          <w:t xml:space="preserve">19</w:t>
        </w:r>
      </w:hyperlink>
      <w:r>
        <w:t xml:space="preserve">–</w:t>
      </w:r>
      <w:hyperlink w:anchor="ref-Ewels2020_nfcore">
        <w:r>
          <w:rPr>
            <w:rStyle w:val="Hyperlink"/>
          </w:rPr>
          <w:t xml:space="preserve">21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Analysis scripts record random seeds, tool versions, command lines, and resolved</w:t>
      </w:r>
      <w:r>
        <w:t xml:space="preserve"> </w:t>
      </w:r>
      <w:r>
        <w:t xml:space="preserve">manifests alongside the corresponding outputs. Figure source tables and editable</w:t>
      </w:r>
      <w:r>
        <w:t xml:space="preserve"> </w:t>
      </w:r>
      <w:r>
        <w:t xml:space="preserve">figure files are retained with the manuscript resources for auditability.</w:t>
      </w:r>
    </w:p>
    <w:bookmarkEnd w:id="26"/>
    <w:bookmarkEnd w:id="27"/>
    <w:bookmarkStart w:id="53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We evaluated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for command stability, local runtime and memory</w:t>
      </w:r>
      <w:r>
        <w:t xml:space="preserve"> </w:t>
      </w:r>
      <w:r>
        <w:t xml:space="preserve">behavior, and biological plausibility in public bulk and single-cell ATAC-seq</w:t>
      </w:r>
      <w:r>
        <w:t xml:space="preserve"> </w:t>
      </w:r>
      <w:r>
        <w:t xml:space="preserve">examples.</w:t>
      </w:r>
    </w:p>
    <w:bookmarkStart w:id="31" w:name="X1d12b030c0e011596b18f05c9592026058c5dde"/>
    <w:p>
      <w:pPr>
        <w:pStyle w:val="Heading2"/>
      </w:pPr>
      <w:r>
        <w:t xml:space="preserve">A Unified, Reproducible Footprinting Platform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consolidates the core ATAC-seq footprinting steps into one</w:t>
      </w:r>
      <w:r>
        <w:t xml:space="preserve"> </w:t>
      </w:r>
      <w:r>
        <w:t xml:space="preserve">command-compatible analysis. Bias correction, footprint calling, differential</w:t>
      </w:r>
      <w:r>
        <w:t xml:space="preserve"> </w:t>
      </w:r>
      <w:r>
        <w:t xml:space="preserve">footprint analysis, and aggregate visualization share region and signal</w:t>
      </w:r>
      <w:r>
        <w:t xml:space="preserve"> </w:t>
      </w:r>
      <w:r>
        <w:t xml:space="preserve">conventions, reducing the need for file-format conversion between steps. YAML</w:t>
      </w:r>
      <w:r>
        <w:t xml:space="preserve"> </w:t>
      </w:r>
      <w:r>
        <w:t xml:space="preserve">configuration records the same analysis in a machine-readable form for reruns</w:t>
      </w:r>
      <w:r>
        <w:t xml:space="preserve"> </w:t>
      </w:r>
      <w:r>
        <w:t xml:space="preserve">and batch processing</w:t>
      </w:r>
      <w:r>
        <w:t xml:space="preserve"> </w:t>
      </w:r>
      <w:r>
        <w:t xml:space="preserve">(Figure 1).</w:t>
      </w:r>
    </w:p>
    <w:p>
      <w:pPr>
        <w:pStyle w:val="CaptionedFigure"/>
      </w:pPr>
      <w:r>
        <w:drawing>
          <wp:inline>
            <wp:extent cx="2743200" cy="495800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.docx_build/figures/Fig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4958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Overview of the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ATAC-seq footprinting platform.</w:t>
      </w:r>
      <w:r>
        <w:t xml:space="preserve"> </w:t>
      </w:r>
      <w:r>
        <w:t xml:space="preserve">Bulk ATAC-seq BAM/fragments and single-cell ATAC fragments with annotations enter</w:t>
      </w:r>
      <w:r>
        <w:t xml:space="preserve"> </w:t>
      </w:r>
      <w:r>
        <w:t xml:space="preserve">a shared command-oriented analysis. The analysis supports Tn5 bias correction,</w:t>
      </w:r>
      <w:r>
        <w:t xml:space="preserve"> </w:t>
      </w:r>
      <w:r>
        <w:t xml:space="preserve">footprint calling, motif matching against curated databases, de novo motif</w:t>
      </w:r>
      <w:r>
        <w:t xml:space="preserve"> </w:t>
      </w:r>
      <w:r>
        <w:t xml:space="preserve">discovery, replicate-aware differential footprint analysis, aggregate footprint</w:t>
      </w:r>
      <w:r>
        <w:t xml:space="preserve"> </w:t>
      </w:r>
      <w:r>
        <w:t xml:space="preserve">visualization, and pseudobulk single-cell footprint analysis.</w:t>
      </w:r>
      <w:r>
        <w:t xml:space="preserve"> </w:t>
      </w:r>
    </w:p>
    <w:bookmarkEnd w:id="31"/>
    <w:bookmarkStart w:id="32" w:name="interactive-interfaces-and-report-review"/>
    <w:p>
      <w:pPr>
        <w:pStyle w:val="Heading2"/>
      </w:pPr>
      <w:r>
        <w:t xml:space="preserve">Interactive Interfaces and Report Review</w:t>
      </w:r>
    </w:p>
    <w:p>
      <w:pPr>
        <w:pStyle w:val="FirstParagraph"/>
      </w:pPr>
      <w:r>
        <w:t xml:space="preserve">In addition to direct command-line execution,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provides</w:t>
      </w:r>
      <w:r>
        <w:t xml:space="preserve"> </w:t>
      </w:r>
      <w:r>
        <w:t xml:space="preserve">browser-based interfaces for configuring analyses and reviewing results. The GUI</w:t>
      </w:r>
      <w:r>
        <w:t xml:space="preserve"> </w:t>
      </w:r>
      <w:r>
        <w:t xml:space="preserve">writes reusable YAML configurations that remain compatible with command-line</w:t>
      </w:r>
      <w:r>
        <w:t xml:space="preserve"> </w:t>
      </w:r>
      <w:r>
        <w:t xml:space="preserve">execution and provides guided panels for the same core commands shown in the</w:t>
      </w:r>
      <w:r>
        <w:t xml:space="preserve"> </w:t>
      </w:r>
      <w:r>
        <w:t xml:space="preserve">documentation (Figure 6). Differential-footprint and</w:t>
      </w:r>
      <w:r>
        <w:t xml:space="preserve"> </w:t>
      </w:r>
      <w:r>
        <w:t xml:space="preserve">aggregate-batch runs also produce self-contained HTML reports with embedded</w:t>
      </w:r>
      <w:r>
        <w:t xml:space="preserve"> </w:t>
      </w:r>
      <w:r>
        <w:t xml:space="preserve">compressed data, searchable motif controls, editable group colors, synchronized</w:t>
      </w:r>
      <w:r>
        <w:t xml:space="preserve"> </w:t>
      </w:r>
      <w:r>
        <w:t xml:space="preserve">aggregate profiles, and SVG export for publication-ready editing.</w:t>
      </w:r>
    </w:p>
    <w:bookmarkEnd w:id="32"/>
    <w:bookmarkStart w:id="33" w:name="tested-output-stability"/>
    <w:p>
      <w:pPr>
        <w:pStyle w:val="Heading2"/>
      </w:pPr>
      <w:r>
        <w:t xml:space="preserve">Tested Output Stability</w:t>
      </w:r>
    </w:p>
    <w:p>
      <w:pPr>
        <w:pStyle w:val="FirstParagraph"/>
      </w:pPr>
      <w:r>
        <w:t xml:space="preserve">The package includes automated checks that run core commands on compact</w:t>
      </w:r>
      <w:r>
        <w:t xml:space="preserve"> </w:t>
      </w:r>
      <w:r>
        <w:t xml:space="preserve">reference inputs and compare key summary outputs for footprint calling,</w:t>
      </w:r>
      <w:r>
        <w:t xml:space="preserve"> </w:t>
      </w:r>
      <w:r>
        <w:t xml:space="preserve">differential footprint analysis, and aggregate plotting. Additional checks</w:t>
      </w:r>
      <w:r>
        <w:t xml:space="preserve"> </w:t>
      </w:r>
      <w:r>
        <w:t xml:space="preserve">exercise public command-line entry points and saved YAML configurations.</w:t>
      </w:r>
      <w:r>
        <w:t xml:space="preserve"> </w:t>
      </w:r>
      <w:r>
        <w:t xml:space="preserve">Together, these tests help ensure that updates preserve the expected behavior of</w:t>
      </w:r>
      <w:r>
        <w:t xml:space="preserve"> </w:t>
      </w:r>
      <w:r>
        <w:t xml:space="preserve">the main workflows and shared input/output conventions.</w:t>
      </w:r>
    </w:p>
    <w:bookmarkEnd w:id="33"/>
    <w:bookmarkStart w:id="37" w:name="Xd39471bb8592f948e8a0bb2eb2de2159bacceab"/>
    <w:p>
      <w:pPr>
        <w:pStyle w:val="Heading2"/>
      </w:pPr>
      <w:r>
        <w:t xml:space="preserve">De Novo Motif Discovery Complements Database-based Motif Analysis</w:t>
      </w:r>
    </w:p>
    <w:p>
      <w:pPr>
        <w:pStyle w:val="FirstParagraph"/>
      </w:pPr>
      <w:r>
        <w:t xml:space="preserve">The de novo motif-preparation path converts candidate footprint intervals into</w:t>
      </w:r>
      <w:r>
        <w:t xml:space="preserve"> </w:t>
      </w:r>
      <w:r>
        <w:t xml:space="preserve">centered FASTA files, runs MEME, DREME, or STREME, optionally compares discovered</w:t>
      </w:r>
      <w:r>
        <w:t xml:space="preserve"> </w:t>
      </w:r>
      <w:r>
        <w:t xml:space="preserve">motifs with a known database using Tomtom, and writes TSV/HTML summaries with</w:t>
      </w:r>
      <w:r>
        <w:t xml:space="preserve"> </w:t>
      </w:r>
      <w:r>
        <w:t xml:space="preserve">inline consensus logos. This extends the TOBIAS-style known-motif path by adding</w:t>
      </w:r>
      <w:r>
        <w:t xml:space="preserve"> </w:t>
      </w:r>
      <w:r>
        <w:t xml:space="preserve">a recorded handoff from footprint candidates to motif discovery; it does not</w:t>
      </w:r>
      <w:r>
        <w:t xml:space="preserve"> </w:t>
      </w:r>
      <w:r>
        <w:t xml:space="preserve">change the center-versus-flank footprint scoring model. The module can be run</w:t>
      </w:r>
      <w:r>
        <w:t xml:space="preserve"> </w:t>
      </w:r>
      <w:r>
        <w:t xml:space="preserve">alone to discover recurring patterns in candidate intervals, or after known-motif</w:t>
      </w:r>
      <w:r>
        <w:t xml:space="preserve"> </w:t>
      </w:r>
      <w:r>
        <w:t xml:space="preserve">scanning to find motifs that are absent from the selected database.</w:t>
      </w:r>
    </w:p>
    <w:p>
      <w:pPr>
        <w:pStyle w:val="BodyText"/>
      </w:pPr>
      <w:r>
        <w:t xml:space="preserve">We used public ENCODE K562 and HepG2 ATAC-seq data as two examples to ask</w:t>
      </w:r>
      <w:r>
        <w:t xml:space="preserve"> </w:t>
      </w:r>
      <w:r>
        <w:t xml:space="preserve">whether candidate footprint intervals contain recurring sequence motifs beyond a</w:t>
      </w:r>
      <w:r>
        <w:t xml:space="preserve"> </w:t>
      </w:r>
      <w:r>
        <w:t xml:space="preserve">curated database. This analysis was not used as a formal condition-comparison</w:t>
      </w:r>
      <w:r>
        <w:t xml:space="preserve"> </w:t>
      </w:r>
      <w:r>
        <w:t xml:space="preserve">test. Candidate footprints were called from bias-corrected cut-site tracks,</w:t>
      </w:r>
      <w:r>
        <w:t xml:space="preserve"> </w:t>
      </w:r>
      <w:r>
        <w:t xml:space="preserve">candidate FASTA files were exported with 75 bp flanks, and STREME was run on</w:t>
      </w:r>
      <w:r>
        <w:t xml:space="preserve"> </w:t>
      </w:r>
      <w:r>
        <w:t xml:space="preserve">candidate intervals from each cell line with the other cell line used as a</w:t>
      </w:r>
      <w:r>
        <w:t xml:space="preserve"> </w:t>
      </w:r>
      <w:r>
        <w:t xml:space="preserve">sequence-control set. Discovered motifs were then summarized, compared with</w:t>
      </w:r>
      <w:r>
        <w:t xml:space="preserve"> </w:t>
      </w:r>
      <w:r>
        <w:t xml:space="preserve">JASPAR by Tomtom, and scanned back into candidate intervals for aggregate</w:t>
      </w:r>
      <w:r>
        <w:t xml:space="preserve"> </w:t>
      </w:r>
      <w:r>
        <w:t xml:space="preserve">footprint review.</w:t>
      </w:r>
    </w:p>
    <w:p>
      <w:pPr>
        <w:pStyle w:val="BodyText"/>
      </w:pPr>
      <w:r>
        <w:t xml:space="preserve">The full JASPAR 2026 vertebrate non-redundant set contained 1019 motifs, and the</w:t>
      </w:r>
      <w:r>
        <w:t xml:space="preserve"> </w:t>
      </w:r>
      <w:r>
        <w:t xml:space="preserve">reciprocal STREME runs contributed 500 candidate-derived motifs from the two</w:t>
      </w:r>
      <w:r>
        <w:t xml:space="preserve"> </w:t>
      </w:r>
      <w:r>
        <w:t xml:space="preserve">ENCODE cell lines. We evaluated de novo discovery as a motif-window coverage</w:t>
      </w:r>
      <w:r>
        <w:t xml:space="preserve"> </w:t>
      </w:r>
      <w:r>
        <w:t xml:space="preserve">test rather than as a differential-footprint significance test. After merging</w:t>
      </w:r>
      <w:r>
        <w:t xml:space="preserve"> </w:t>
      </w:r>
      <w:r>
        <w:t xml:space="preserve">bound-site windows from the de novo scan and the corresponding JASPAR-supported</w:t>
      </w:r>
      <w:r>
        <w:t xml:space="preserve"> </w:t>
      </w:r>
      <w:r>
        <w:t xml:space="preserve">scan, candidate-derived motifs recovered 84.0% of merged</w:t>
      </w:r>
      <w:r>
        <w:t xml:space="preserve"> </w:t>
      </w:r>
      <w:r>
        <w:t xml:space="preserve">JASPAR-supported bound-site-window base pairs, while 16.0% remained unique to</w:t>
      </w:r>
      <w:r>
        <w:t xml:space="preserve"> </w:t>
      </w:r>
      <w:r>
        <w:t xml:space="preserve">the full JASPAR scan. The de novo-only scan also introduced candidate-derived</w:t>
      </w:r>
      <w:r>
        <w:t xml:space="preserve"> </w:t>
      </w:r>
      <w:r>
        <w:t xml:space="preserve">bound-site windows corresponding to 6.0% of the de novo-only merged window base</w:t>
      </w:r>
      <w:r>
        <w:t xml:space="preserve"> </w:t>
      </w:r>
      <w:r>
        <w:t xml:space="preserve">pairs. These values are operational recovery summaries, not multiple-testing</w:t>
      </w:r>
      <w:r>
        <w:t xml:space="preserve"> </w:t>
      </w:r>
      <w:r>
        <w:t xml:space="preserve">significance calls.</w:t>
      </w:r>
    </w:p>
    <w:p>
      <w:pPr>
        <w:pStyle w:val="BodyText"/>
      </w:pPr>
      <w:r>
        <w:t xml:space="preserve">Representative discovered motifs showed clear motif-centered aggregate</w:t>
      </w:r>
      <w:r>
        <w:t xml:space="preserve"> </w:t>
      </w:r>
      <w:r>
        <w:t xml:space="preserve">footprint profiles in K562 and HepG2, indicating that the de novo sequence</w:t>
      </w:r>
      <w:r>
        <w:t xml:space="preserve"> </w:t>
      </w:r>
      <w:r>
        <w:t xml:space="preserve">patterns correspond to footprinted cut-site structure in the candidate intervals</w:t>
      </w:r>
      <w:r>
        <w:t xml:space="preserve"> </w:t>
      </w:r>
      <w:r>
        <w:t xml:space="preserve">(Figure 2). These results support using de novo motif</w:t>
      </w:r>
      <w:r>
        <w:t xml:space="preserve"> </w:t>
      </w:r>
      <w:r>
        <w:t xml:space="preserve">discovery as a complement to database-based motif matching when the chosen motif</w:t>
      </w:r>
      <w:r>
        <w:t xml:space="preserve"> </w:t>
      </w:r>
      <w:r>
        <w:t xml:space="preserve">collection is incomplete or conservative.</w:t>
      </w:r>
    </w:p>
    <w:p>
      <w:pPr>
        <w:pStyle w:val="CaptionedFigure"/>
      </w:pPr>
      <w:r>
        <w:drawing>
          <wp:inline>
            <wp:extent cx="5334000" cy="690101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.docx_build/figures/Fig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De novo motif discovery and validation summary.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Candidate footprint or BED intervals are converted into centered</w:t>
      </w:r>
      <w:r>
        <w:t xml:space="preserve"> </w:t>
      </w:r>
      <w:r>
        <w:t xml:space="preserve">FASTA sequences, analyzed with MEME/DREME/STREME, and summarized as motif tables</w:t>
      </w:r>
      <w:r>
        <w:t xml:space="preserve"> </w:t>
      </w:r>
      <w:r>
        <w:t xml:space="preserve">and reports. (</w:t>
      </w:r>
      <w:r>
        <w:rPr>
          <w:bCs/>
          <w:b/>
        </w:rPr>
        <w:t xml:space="preserve">B</w:t>
      </w:r>
      <w:r>
        <w:t xml:space="preserve">) Merged site-window coverage compares shared and</w:t>
      </w:r>
      <w:r>
        <w:t xml:space="preserve"> </w:t>
      </w:r>
      <w:r>
        <w:t xml:space="preserve">de novo-only motif-supported intervals in K562 and HepG2. (</w:t>
      </w:r>
      <w:r>
        <w:rPr>
          <w:bCs/>
          <w:b/>
        </w:rPr>
        <w:t xml:space="preserve">C,D</w:t>
      </w:r>
      <w:r>
        <w:t xml:space="preserve">)</w:t>
      </w:r>
      <w:r>
        <w:t xml:space="preserve"> </w:t>
      </w:r>
      <w:r>
        <w:t xml:space="preserve">Representative K562 and HepG2 de novo motifs show footprint-like normalized</w:t>
      </w:r>
      <w:r>
        <w:t xml:space="preserve"> </w:t>
      </w:r>
      <w:r>
        <w:t xml:space="preserve">cut-site aggregate profiles centered on motif instances.</w:t>
      </w:r>
      <w:r>
        <w:t xml:space="preserve"> </w:t>
      </w:r>
    </w:p>
    <w:bookmarkEnd w:id="37"/>
    <w:bookmarkStart w:id="41" w:name="X6fd1541ebd3a65c9c24d211c98ffcdd00236d4e"/>
    <w:p>
      <w:pPr>
        <w:pStyle w:val="Heading2"/>
      </w:pPr>
      <w:r>
        <w:t xml:space="preserve">Replicate-aware Differential Footprint Analysis</w:t>
      </w:r>
    </w:p>
    <w:p>
      <w:pPr>
        <w:pStyle w:val="FirstParagraph"/>
      </w:pPr>
      <w:r>
        <w:t xml:space="preserve">The replicate-aware analysis reports differential footprint effect sizes,</w:t>
      </w:r>
      <w:r>
        <w:t xml:space="preserve"> </w:t>
      </w:r>
      <w:r>
        <w:t xml:space="preserve">replicate support, and uncertainty summaries while keeping each comparison</w:t>
      </w:r>
      <w:r>
        <w:t xml:space="preserve"> </w:t>
      </w:r>
      <w:r>
        <w:t xml:space="preserve">anchored to a common peak and motif-site universe. In the K562 versus HepG2</w:t>
      </w:r>
      <w:r>
        <w:t xml:space="preserve"> </w:t>
      </w:r>
      <w:r>
        <w:t xml:space="preserve">3-vs-3 analysis, all six replicates were scanned on the merged ENCODE peak set</w:t>
      </w:r>
      <w:r>
        <w:t xml:space="preserve"> </w:t>
      </w:r>
      <w:r>
        <w:t xml:space="preserve">before comparison, so no additional peak alignment step was needed at the</w:t>
      </w:r>
      <w:r>
        <w:t xml:space="preserve"> </w:t>
      </w:r>
      <w:r>
        <w:t xml:space="preserve">reporting stage.</w:t>
      </w:r>
    </w:p>
    <w:p>
      <w:pPr>
        <w:pStyle w:val="BodyText"/>
      </w:pPr>
      <w:r>
        <w:t xml:space="preserve">Repeated condition names define biological replicate groups. In one-sample</w:t>
      </w:r>
      <w:r>
        <w:t xml:space="preserve"> </w:t>
      </w:r>
      <w:r>
        <w:t xml:space="preserve">contrasts, the report uses the motif-site versus background-distribution</w:t>
      </w:r>
      <w:r>
        <w:t xml:space="preserve"> </w:t>
      </w:r>
      <w:r>
        <w:t xml:space="preserve">comparison. When multiple samples are available, motif scores are first</w:t>
      </w:r>
      <w:r>
        <w:t xml:space="preserve"> </w:t>
      </w:r>
      <w:r>
        <w:t xml:space="preserve">aggregated per sample and then analyzed with empirical-Bayes variance moderation</w:t>
      </w:r>
      <w:r>
        <w:t xml:space="preserve"> </w:t>
      </w:r>
      <w:r>
        <w:t xml:space="preserve">across motifs </w:t>
      </w:r>
      <w:r>
        <w:t xml:space="preserve">(</w:t>
      </w:r>
      <w:hyperlink w:anchor="ref-smyth2004">
        <w:r>
          <w:rPr>
            <w:rStyle w:val="Hyperlink"/>
          </w:rPr>
          <w:t xml:space="preserve">16</w:t>
        </w:r>
      </w:hyperlink>
      <w:r>
        <w:t xml:space="preserve">)</w:t>
      </w:r>
      <w:r>
        <w:t xml:space="preserve">. The K562/HepG2 replicate-supported output</w:t>
      </w:r>
      <w:r>
        <w:t xml:space="preserve"> </w:t>
      </w:r>
      <w:r>
        <w:t xml:space="preserve">reports condition means, replicate counts, SD and SE summaries, moderated</w:t>
      </w:r>
      <w:r>
        <w:t xml:space="preserve"> </w:t>
      </w:r>
      <w:r>
        <w:t xml:space="preserve">statistics, and adjusted q-values alongside the original motif-background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A representative K562 versus HepG2 differential footprint report is shown in</w:t>
      </w:r>
      <w:r>
        <w:t xml:space="preserve"> </w:t>
      </w:r>
      <w:r>
        <w:t xml:space="preserve">Figure 3. The report combines selected motif logos,</w:t>
      </w:r>
      <w:r>
        <w:t xml:space="preserve"> </w:t>
      </w:r>
      <w:r>
        <w:t xml:space="preserve">top differential motif rankings, a volcano summary, and replicate-level aggregate</w:t>
      </w:r>
      <w:r>
        <w:t xml:space="preserve"> </w:t>
      </w:r>
      <w:r>
        <w:t xml:space="preserve">footprint profiles in one browser-review view.</w:t>
      </w:r>
    </w:p>
    <w:p>
      <w:pPr>
        <w:pStyle w:val="CaptionedFigure"/>
      </w:pPr>
      <w:r>
        <w:drawing>
          <wp:inline>
            <wp:extent cx="4297680" cy="751262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docx_build/figures/Fig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751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Interactive differential footprint report for K562 versus HepG2.</w:t>
      </w:r>
      <w:r>
        <w:t xml:space="preserve"> </w:t>
      </w:r>
      <w:r>
        <w:t xml:space="preserve">The browser report view summarizes selected differential motifs, motif</w:t>
      </w:r>
      <w:r>
        <w:t xml:space="preserve"> </w:t>
      </w:r>
      <w:r>
        <w:t xml:space="preserve">logos, top differential footprint-score bar plots, a volcano plot, and</w:t>
      </w:r>
      <w:r>
        <w:t xml:space="preserve"> </w:t>
      </w:r>
      <w:r>
        <w:t xml:space="preserve">replicate-level motif-centered aggregate profiles. Blue indicates HepG2-biased</w:t>
      </w:r>
      <w:r>
        <w:t xml:space="preserve"> </w:t>
      </w:r>
      <w:r>
        <w:t xml:space="preserve">footprint scores and red indicates K562-biased footprint scores.</w:t>
      </w:r>
      <w:r>
        <w:t xml:space="preserve"> </w:t>
      </w:r>
    </w:p>
    <w:bookmarkEnd w:id="41"/>
    <w:bookmarkStart w:id="45" w:name="Xd452c4080251f89b272aa3c0e0877a77f86ceff"/>
    <w:p>
      <w:pPr>
        <w:pStyle w:val="Heading2"/>
      </w:pPr>
      <w:r>
        <w:t xml:space="preserve">Single-cell ATAC Fragments Support Pseudobulk Footprinting</w:t>
      </w:r>
    </w:p>
    <w:p>
      <w:pPr>
        <w:pStyle w:val="FirstParagraph"/>
      </w:pPr>
      <w:r>
        <w:t xml:space="preserve">We evaluated pseudobulk aggregation using the public 10x Genomics 5k PBMC</w:t>
      </w:r>
      <w:r>
        <w:t xml:space="preserve"> </w:t>
      </w:r>
      <w:r>
        <w:t xml:space="preserve">single-cell ATAC dataset </w:t>
      </w:r>
      <w:r>
        <w:t xml:space="preserve">(</w:t>
      </w:r>
      <w:hyperlink w:anchor="ref-tenxpbmc5katac2021">
        <w:r>
          <w:rPr>
            <w:rStyle w:val="Hyperlink"/>
          </w:rPr>
          <w:t xml:space="preserve">22</w:t>
        </w:r>
      </w:hyperlink>
      <w:r>
        <w:t xml:space="preserve">)</w:t>
      </w:r>
      <w:r>
        <w:t xml:space="preserve">. The demonstration used the</w:t>
      </w:r>
      <w:r>
        <w:t xml:space="preserve"> </w:t>
      </w:r>
      <w:r>
        <w:t xml:space="preserve">Cell Ranger ATAC 2.0.0 fragment file for</w:t>
      </w:r>
      <w:r>
        <w:t xml:space="preserve"> </w:t>
      </w:r>
      <w:r>
        <w:rPr>
          <w:rStyle w:val="VerbatimChar"/>
        </w:rPr>
        <w:t xml:space="preserve">atac_pbmc_5k_nextgem</w:t>
      </w:r>
      <w:r>
        <w:t xml:space="preserve"> </w:t>
      </w:r>
      <w:r>
        <w:t xml:space="preserve">and</w:t>
      </w:r>
      <w:r>
        <w:t xml:space="preserve"> </w:t>
      </w:r>
      <w:r>
        <w:t xml:space="preserve">broad cell annotations from the PBMC5k single-cell embedding. After filtering,</w:t>
      </w:r>
      <w:r>
        <w:t xml:space="preserve"> </w:t>
      </w:r>
      <w:r>
        <w:t xml:space="preserve">4,437 annotated cells were grouped into B cells (422 cells), monocytes (1,702</w:t>
      </w:r>
      <w:r>
        <w:t xml:space="preserve"> </w:t>
      </w:r>
      <w:r>
        <w:t xml:space="preserve">cells), and T/NK cells (2,313 cells). All three groups passed the pseudobulk</w:t>
      </w:r>
      <w:r>
        <w:t xml:space="preserve"> </w:t>
      </w:r>
      <w:r>
        <w:t xml:space="preserve">filters and contained 2.1, 10.8, and 13.3 million counted fragments,</w:t>
      </w:r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The full</w:t>
      </w:r>
      <w:r>
        <w:t xml:space="preserve"> </w:t>
      </w:r>
      <w:r>
        <w:rPr>
          <w:rStyle w:val="VerbatimChar"/>
        </w:rPr>
        <w:t xml:space="preserve">pseudobulk-footprints</w:t>
      </w:r>
      <w:r>
        <w:t xml:space="preserve"> </w:t>
      </w:r>
      <w:r>
        <w:t xml:space="preserve">route uses the grouped PBMC5k fragments to</w:t>
      </w:r>
      <w:r>
        <w:t xml:space="preserve"> </w:t>
      </w:r>
      <w:r>
        <w:t xml:space="preserve">emit pseudo-paired BAMs, run</w:t>
      </w:r>
      <w:r>
        <w:t xml:space="preserve"> </w:t>
      </w:r>
      <w:r>
        <w:rPr>
          <w:rStyle w:val="VerbatimChar"/>
        </w:rPr>
        <w:t xml:space="preserve">atac-correct</w:t>
      </w:r>
      <w:r>
        <w:t xml:space="preserve"> </w:t>
      </w:r>
      <w:r>
        <w:t xml:space="preserve">with zero read shifting, score</w:t>
      </w:r>
      <w:r>
        <w:t xml:space="preserve"> </w:t>
      </w:r>
      <w:r>
        <w:t xml:space="preserve">corrected footprint tracks, and optionally run motif-aware</w:t>
      </w:r>
      <w:r>
        <w:t xml:space="preserve"> </w:t>
      </w:r>
      <w:r>
        <w:rPr>
          <w:rStyle w:val="VerbatimChar"/>
        </w:rPr>
        <w:t xml:space="preserve">diff-footprints</w:t>
      </w:r>
      <w:r>
        <w:t xml:space="preserve"> </w:t>
      </w:r>
      <w:r>
        <w:t xml:space="preserve">and aggregate plotting. Raw CPM cut-site tracks provide</w:t>
      </w:r>
      <w:r>
        <w:t xml:space="preserve"> </w:t>
      </w:r>
      <w:r>
        <w:t xml:space="preserve">QC and chromatin-context signal alongside corrected footprint scores. Compared</w:t>
      </w:r>
      <w:r>
        <w:t xml:space="preserve"> </w:t>
      </w:r>
      <w:r>
        <w:t xml:space="preserve">with preparing pseudobulk inputs outside the footprinting analysis and then</w:t>
      </w:r>
      <w:r>
        <w:t xml:space="preserve"> </w:t>
      </w:r>
      <w:r>
        <w:t xml:space="preserve">running TOBIAS,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records barcode grouping, pseudobulk QC,</w:t>
      </w:r>
      <w:r>
        <w:t xml:space="preserve"> </w:t>
      </w:r>
      <w:r>
        <w:t xml:space="preserve">correction, footprint scoring, motif-aware comparison, and aggregate plotting in</w:t>
      </w:r>
      <w:r>
        <w:t xml:space="preserve"> </w:t>
      </w:r>
      <w:r>
        <w:t xml:space="preserve">one analysis route.</w:t>
      </w:r>
      <w:r>
        <w:t xml:space="preserve"> </w:t>
      </w:r>
      <w:r>
        <w:t xml:space="preserve">This pseudobulk analysis is complementary to established single-cell</w:t>
      </w:r>
      <w:r>
        <w:t xml:space="preserve"> </w:t>
      </w:r>
      <w:r>
        <w:t xml:space="preserve">chromatin-accessibility ecosystems such as ArchR and Signac and to motif-activity</w:t>
      </w:r>
      <w:r>
        <w:t xml:space="preserve"> </w:t>
      </w:r>
      <w:r>
        <w:t xml:space="preserve">baselines such as chromVAR </w:t>
      </w:r>
      <w:r>
        <w:t xml:space="preserve">(</w:t>
      </w:r>
      <w:hyperlink w:anchor="ref-Granja2021_ArchR">
        <w:r>
          <w:rPr>
            <w:rStyle w:val="Hyperlink"/>
          </w:rPr>
          <w:t xml:space="preserve">23</w:t>
        </w:r>
      </w:hyperlink>
      <w:r>
        <w:t xml:space="preserve">–</w:t>
      </w:r>
      <w:hyperlink w:anchor="ref-Schep2017_chromVAR">
        <w:r>
          <w:rPr>
            <w:rStyle w:val="Hyperlink"/>
          </w:rPr>
          <w:t xml:space="preserve">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same PBMC5k footprint-signature table was used to prioritize cell-type</w:t>
      </w:r>
      <w:r>
        <w:t xml:space="preserve"> </w:t>
      </w:r>
      <w:r>
        <w:t xml:space="preserve">associated motif signatures for visualization. We selected top signatures with</w:t>
      </w:r>
      <w:r>
        <w:t xml:space="preserve"> </w:t>
      </w:r>
      <w:r>
        <w:t xml:space="preserve">clear broad-cell enrichment and included the representative TF rows used in the</w:t>
      </w:r>
      <w:r>
        <w:t xml:space="preserve"> </w:t>
      </w:r>
      <w:r>
        <w:t xml:space="preserve">UMAP panel. KNN-smoothed footprint-signature scores were then projected onto the</w:t>
      </w:r>
      <w:r>
        <w:t xml:space="preserve"> </w:t>
      </w:r>
      <w:r>
        <w:t xml:space="preserve">PBMC5k UMAP. For each cell, the displayed value summarizes local motif-centered</w:t>
      </w:r>
      <w:r>
        <w:t xml:space="preserve"> </w:t>
      </w:r>
      <w:r>
        <w:t xml:space="preserve">cut-site profiles in neighboring cells. The final figure combines a</w:t>
      </w:r>
      <w:r>
        <w:t xml:space="preserve"> </w:t>
      </w:r>
      <w:r>
        <w:t xml:space="preserve">marker-by-cell heatmap with UMAP panels for broad cell-type labels and</w:t>
      </w:r>
      <w:r>
        <w:t xml:space="preserve"> </w:t>
      </w:r>
      <w:r>
        <w:t xml:space="preserve">representative regulatory programs: B-cell-associated cytokine-response and AP-1</w:t>
      </w:r>
      <w:r>
        <w:t xml:space="preserve"> </w:t>
      </w:r>
      <w:r>
        <w:t xml:space="preserve">activation signatures, monocyte myeloid/interferon/inflammatory signatures, and</w:t>
      </w:r>
      <w:r>
        <w:t xml:space="preserve"> </w:t>
      </w:r>
      <w:r>
        <w:t xml:space="preserve">T/NK-associated cytotoxic, tolerance-like, and TGF-</w:t>
      </w:r>
      <m:oMath>
        <m:r>
          <m:t>β</m:t>
        </m:r>
      </m:oMath>
      <w:r>
        <w:t xml:space="preserve"> </w:t>
      </w:r>
      <w:r>
        <w:t xml:space="preserve">regulatory-state</w:t>
      </w:r>
      <w:r>
        <w:t xml:space="preserve"> </w:t>
      </w:r>
      <w:r>
        <w:t xml:space="preserve">signatures (Figure 4).</w:t>
      </w:r>
    </w:p>
    <w:p>
      <w:pPr>
        <w:pStyle w:val="CaptionedFigure"/>
      </w:pPr>
      <w:r>
        <w:drawing>
          <wp:inline>
            <wp:extent cx="5334000" cy="690101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docx_build/figures/Fig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Single-cell footprinting summary in public PBMC5k single-cell ATAC data.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KNN-smoothed per-cell footprint-signature heatmap for top</w:t>
      </w:r>
      <w:r>
        <w:t xml:space="preserve"> </w:t>
      </w:r>
      <w:r>
        <w:t xml:space="preserve">cell-type-specific motif signatures across B cells, monocytes, and T/NK cells;</w:t>
      </w:r>
      <w:r>
        <w:t xml:space="preserve"> </w:t>
      </w:r>
      <w:r>
        <w:t xml:space="preserve">the TF rows used for Panel B are labelled on the left. (</w:t>
      </w:r>
      <w:r>
        <w:rPr>
          <w:bCs/>
          <w:b/>
        </w:rPr>
        <w:t xml:space="preserve">B</w:t>
      </w:r>
      <w:r>
        <w:t xml:space="preserve">) UMAP</w:t>
      </w:r>
      <w:r>
        <w:t xml:space="preserve"> </w:t>
      </w:r>
      <w:r>
        <w:t xml:space="preserve">projections show broad cell-type annotations and representative motif-associated</w:t>
      </w:r>
      <w:r>
        <w:t xml:space="preserve"> </w:t>
      </w:r>
      <w:r>
        <w:t xml:space="preserve">footprint-signature z-scores. B-cell-associated signatures include STAT6,</w:t>
      </w:r>
      <w:r>
        <w:t xml:space="preserve"> </w:t>
      </w:r>
      <w:r>
        <w:t xml:space="preserve">consistent with IL-4-responsive humoral and class-switch-related signaling, and</w:t>
      </w:r>
      <w:r>
        <w:t xml:space="preserve"> </w:t>
      </w:r>
      <w:r>
        <w:t xml:space="preserve">FOSB/AP-1, consistent with an activation-responsive immediate-early regulatory</w:t>
      </w:r>
      <w:r>
        <w:t xml:space="preserve"> </w:t>
      </w:r>
      <w:r>
        <w:t xml:space="preserve">program. Monocyte-associated signatures include CEBPA, consistent with a</w:t>
      </w:r>
      <w:r>
        <w:t xml:space="preserve"> </w:t>
      </w:r>
      <w:r>
        <w:t xml:space="preserve">C/EBP-family myeloid differentiation program; IRF8, consistent with</w:t>
      </w:r>
      <w:r>
        <w:t xml:space="preserve"> </w:t>
      </w:r>
      <w:r>
        <w:t xml:space="preserve">monocyte/dendritic-cell and interferon-regulatory activity; and RELA, consistent</w:t>
      </w:r>
      <w:r>
        <w:t xml:space="preserve"> </w:t>
      </w:r>
      <w:r>
        <w:t xml:space="preserve">with NF-</w:t>
      </w:r>
      <m:oMath>
        <m:r>
          <m:t>κ</m:t>
        </m:r>
      </m:oMath>
      <w:r>
        <w:t xml:space="preserve">B-mediated inflammatory activation. T/NK-associated</w:t>
      </w:r>
      <w:r>
        <w:t xml:space="preserve"> </w:t>
      </w:r>
      <w:r>
        <w:t xml:space="preserve">regulatory-state signatures include ZNF683/Hobit, consistent with a cytotoxic or</w:t>
      </w:r>
      <w:r>
        <w:t xml:space="preserve"> </w:t>
      </w:r>
      <w:r>
        <w:t xml:space="preserve">resident-like program; NR4A1/Nur77, consistent with TCR-response and</w:t>
      </w:r>
      <w:r>
        <w:t xml:space="preserve"> </w:t>
      </w:r>
      <w:r>
        <w:t xml:space="preserve">tolerance-like regulation; and SMAD3, consistent with TGF-</w:t>
      </w:r>
      <m:oMath>
        <m:r>
          <m:t>β</m:t>
        </m:r>
      </m:oMath>
      <w:r>
        <w:t xml:space="preserve"> </w:t>
      </w:r>
      <w:r>
        <w:t xml:space="preserve">regulatory</w:t>
      </w:r>
      <w:r>
        <w:t xml:space="preserve"> </w:t>
      </w:r>
      <w:r>
        <w:t xml:space="preserve">signaling. TF labels indicate motif-associated footprint signatures rather than</w:t>
      </w:r>
      <w:r>
        <w:t xml:space="preserve"> </w:t>
      </w:r>
      <w:r>
        <w:t xml:space="preserve">direct TF-specific occupancy.</w:t>
      </w:r>
      <w:r>
        <w:t xml:space="preserve"> </w:t>
      </w:r>
    </w:p>
    <w:bookmarkEnd w:id="45"/>
    <w:bookmarkStart w:id="52" w:name="evaluation-and-figure-reproducibility"/>
    <w:p>
      <w:pPr>
        <w:pStyle w:val="Heading2"/>
      </w:pPr>
      <w:r>
        <w:t xml:space="preserve">Evaluation and Figure Reproducibility</w:t>
      </w:r>
    </w:p>
    <w:p>
      <w:pPr>
        <w:pStyle w:val="FirstParagraph"/>
      </w:pPr>
      <w:r>
        <w:t xml:space="preserve">The manuscript analyses are linked to public inputs through manifests, schema</w:t>
      </w:r>
      <w:r>
        <w:t xml:space="preserve"> </w:t>
      </w:r>
      <w:r>
        <w:t xml:space="preserve">checks, recorded command settings, and figure-generation scripts. Together, these</w:t>
      </w:r>
      <w:r>
        <w:t xml:space="preserve"> </w:t>
      </w:r>
      <w:r>
        <w:t xml:space="preserve">files make the bulk, de novo, pseudobulk, replicate-aware, and report examples</w:t>
      </w:r>
      <w:r>
        <w:t xml:space="preserve"> </w:t>
      </w:r>
      <w:r>
        <w:t xml:space="preserve">traceable from input data to final figures, while preserving the sample, motif,</w:t>
      </w:r>
      <w:r>
        <w:t xml:space="preserve"> </w:t>
      </w:r>
      <w:r>
        <w:t xml:space="preserve">region, and signal-track choices used for each analysis.</w:t>
      </w:r>
    </w:p>
    <w:p>
      <w:pPr>
        <w:pStyle w:val="BodyText"/>
      </w:pPr>
      <w:r>
        <w:t xml:space="preserve">For each analysis, the workflow writes resolved manifests, software versions,</w:t>
      </w:r>
      <w:r>
        <w:t xml:space="preserve"> </w:t>
      </w:r>
      <w:r>
        <w:t xml:space="preserve">parameters, and plotting tables beside the generated outputs. We also recorded</w:t>
      </w:r>
      <w:r>
        <w:t xml:space="preserve"> </w:t>
      </w:r>
      <w:r>
        <w:t xml:space="preserve">runtime and peak memory for a single-machine comparison of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using the same input bundle and command outputs</w:t>
      </w:r>
      <w:r>
        <w:t xml:space="preserve"> </w:t>
      </w:r>
      <w:r>
        <w:t xml:space="preserve">(Figure 5). The browser GUI follows the same command</w:t>
      </w:r>
      <w:r>
        <w:t xml:space="preserve"> </w:t>
      </w:r>
      <w:r>
        <w:t xml:space="preserve">structure and provides example loading, YAML review, run history, and report</w:t>
      </w:r>
      <w:r>
        <w:t xml:space="preserve"> </w:t>
      </w:r>
      <w:r>
        <w:t xml:space="preserve">inspection for users who prefer a graphical workflow</w:t>
      </w:r>
      <w:r>
        <w:t xml:space="preserve"> </w:t>
      </w:r>
      <w:r>
        <w:t xml:space="preserve">(Figure 6).</w:t>
      </w:r>
    </w:p>
    <w:p>
      <w:pPr>
        <w:pStyle w:val="CaptionedFigure"/>
      </w:pPr>
      <w:r>
        <w:drawing>
          <wp:inline>
            <wp:extent cx="2926080" cy="144120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docx_build/figures/Fig5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441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Single-machine runtime and memory check.</w:t>
      </w:r>
      <w:r>
        <w:t xml:space="preserve"> </w:t>
      </w:r>
      <w:r>
        <w:t xml:space="preserve">(</w:t>
      </w:r>
      <w:r>
        <w:rPr>
          <w:bCs/>
          <w:b/>
        </w:rPr>
        <w:t xml:space="preserve">A</w:t>
      </w:r>
      <w:r>
        <w:t xml:space="preserve">) Runtime and (</w:t>
      </w:r>
      <w:r>
        <w:rPr>
          <w:bCs/>
          <w:b/>
        </w:rPr>
        <w:t xml:space="preserve">B</w:t>
      </w:r>
      <w:r>
        <w:t xml:space="preserve">) peak memory are summarized for one local</w:t>
      </w:r>
      <w:r>
        <w:t xml:space="preserve"> </w:t>
      </w:r>
      <w:r>
        <w:t xml:space="preserve">analysis run comparing TOBIAS and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on the same analysis bundle.</w:t>
      </w:r>
      <w:r>
        <w:t xml:space="preserve"> </w:t>
      </w:r>
      <w:r>
        <w:t xml:space="preserve">These measurements are included as an engineering check, not as an exhaustive</w:t>
      </w:r>
      <w:r>
        <w:t xml:space="preserve"> </w:t>
      </w:r>
      <w:r>
        <w:t xml:space="preserve">cross-tool benchmark.</w:t>
      </w:r>
      <w:r>
        <w:t xml:space="preserve"> </w:t>
      </w:r>
    </w:p>
    <w:p>
      <w:pPr>
        <w:pStyle w:val="CaptionedFigure"/>
      </w:pPr>
      <w:r>
        <w:drawing>
          <wp:inline>
            <wp:extent cx="5334000" cy="322763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.docx_build/figures/Fig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7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Browser GUI for command-compatible footprinting analyses.</w:t>
      </w:r>
      <w:r>
        <w:t xml:space="preserve"> </w:t>
      </w:r>
      <w:r>
        <w:t xml:space="preserve">The GUI provides sidebar access to core commands, guided configuration panels,</w:t>
      </w:r>
      <w:r>
        <w:t xml:space="preserve"> </w:t>
      </w:r>
      <w:r>
        <w:t xml:space="preserve">example loading, YAML preview, run-history review, and report/output inspection</w:t>
      </w:r>
      <w:r>
        <w:t xml:space="preserve"> </w:t>
      </w:r>
      <w:r>
        <w:t xml:space="preserve">and saves reusable YAML configurations that can also be run from the command line.</w:t>
      </w:r>
      <w:r>
        <w:t xml:space="preserve"> </w:t>
      </w:r>
    </w:p>
    <w:bookmarkEnd w:id="52"/>
    <w:bookmarkEnd w:id="53"/>
    <w:bookmarkStart w:id="5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rStyle w:val="VerbatimChar"/>
        </w:rPr>
        <w:t xml:space="preserve">fp-tools</w:t>
      </w:r>
      <w:r>
        <w:t xml:space="preserve"> </w:t>
      </w:r>
      <w:r>
        <w:t xml:space="preserve">extends motif-centered ATAC-seq footprinting by focusing on</w:t>
      </w:r>
      <w:r>
        <w:t xml:space="preserve"> </w:t>
      </w:r>
      <w:r>
        <w:t xml:space="preserve">the analysis steps that often determine whether a footprinting result is easy to</w:t>
      </w:r>
      <w:r>
        <w:t xml:space="preserve"> </w:t>
      </w:r>
      <w:r>
        <w:t xml:space="preserve">reproduce and interpret. The package keeps bias correction, footprint scoring,</w:t>
      </w:r>
      <w:r>
        <w:t xml:space="preserve"> </w:t>
      </w:r>
      <w:r>
        <w:t xml:space="preserve">differential footprint analysis, aggregate visualization, de novo motif</w:t>
      </w:r>
      <w:r>
        <w:t xml:space="preserve"> </w:t>
      </w:r>
      <w:r>
        <w:t xml:space="preserve">preparation, pseudobulk aggregation, and report generation under one command</w:t>
      </w:r>
      <w:r>
        <w:t xml:space="preserve"> </w:t>
      </w:r>
      <w:r>
        <w:t xml:space="preserve">structure (Table 1). This is useful in practice because these</w:t>
      </w:r>
      <w:r>
        <w:t xml:space="preserve"> </w:t>
      </w:r>
      <w:r>
        <w:t xml:space="preserve">steps are commonly split across custom scripts, separate motif tools, and manual</w:t>
      </w:r>
      <w:r>
        <w:t xml:space="preserve"> </w:t>
      </w:r>
      <w:r>
        <w:t xml:space="preserve">plotting notebooks.</w:t>
      </w:r>
    </w:p>
    <w:p>
      <w:pPr>
        <w:pStyle w:val="BodyText"/>
      </w:pPr>
      <w:r>
        <w:t xml:space="preserve">The closest comparison is TOBIAS, which established a widely used ATAC</w:t>
      </w:r>
      <w:r>
        <w:t xml:space="preserve"> </w:t>
      </w:r>
      <w:r>
        <w:t xml:space="preserve">footprinting workflow for bias correction, footprint scoring, motif-aware</w:t>
      </w:r>
      <w:r>
        <w:t xml:space="preserve"> </w:t>
      </w:r>
      <w:r>
        <w:t xml:space="preserve">differential analysis, and aggregate visualization.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builds on</w:t>
      </w:r>
      <w:r>
        <w:t xml:space="preserve"> </w:t>
      </w:r>
      <w:r>
        <w:t xml:space="preserve">that interpretable bias-corrected center-versus-flank signal model while adding</w:t>
      </w:r>
      <w:r>
        <w:t xml:space="preserve"> </w:t>
      </w:r>
      <w:r>
        <w:t xml:space="preserve">faster core operations, clearer command names, reusable YAML runs, SVG and HTML</w:t>
      </w:r>
      <w:r>
        <w:t xml:space="preserve"> </w:t>
      </w:r>
      <w:r>
        <w:t xml:space="preserve">reports, explicit replicate-aware reporting, de novo motif-preparation support,</w:t>
      </w:r>
      <w:r>
        <w:t xml:space="preserve"> </w:t>
      </w:r>
      <w:r>
        <w:t xml:space="preserve">pseudobulk single-cell analysis, a browser GUI, and tested public-data examples.</w:t>
      </w:r>
    </w:p>
    <w:p>
      <w:pPr>
        <w:pStyle w:val="TableCaption"/>
      </w:pPr>
      <w:r>
        <w:t xml:space="preserve">Table 1. Qualitative scope comparison of ATAC-seq regulatory-analysis tools.</w:t>
      </w:r>
      <w:r>
        <w:t xml:space="preserve"> </w:t>
      </w:r>
      <w:r>
        <w:t xml:space="preserve">, native support;</w:t>
      </w:r>
      <w:r>
        <w:t xml:space="preserve"> </w:t>
      </w:r>
      <m:oMath>
        <m:r>
          <m:rPr>
            <m:sty m:val="p"/>
          </m:rPr>
          <m:t>∘</m:t>
        </m:r>
      </m:oMath>
      <w:r>
        <w:t xml:space="preserve">, partial or adjacent support; NA, outside</w:t>
      </w:r>
      <w:r>
        <w:t xml:space="preserve"> </w:t>
      </w:r>
      <w:r>
        <w:t xml:space="preserve">the tool’s main scope. This table summarizes documented features, not benchmark</w:t>
      </w:r>
      <w:r>
        <w:t xml:space="preserve"> </w:t>
      </w:r>
      <w:r>
        <w:t xml:space="preserve">performance.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Qualitative scope comparison of ATAC-seq regulatory-analysis tools. , native support; \circ, partial or adjacent support; NA, outside the tool’s main scope. This table summarizes documented features, not benchmark performance. 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HINT- ATAC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PRINT/ scPrinter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Chrom BPNet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 ATAC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Bulk ATAC footprinting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Tn5 bias correction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Footprint calling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Motif-aware differential analysis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preparation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scATAC/pseudobulk 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Replicate-aware reporting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Visualization/reporting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∘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YAML/batch execution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</w:tr>
    </w:tbl>
    <w:p>
      <w:pPr>
        <w:pStyle w:val="BodyText"/>
      </w:pPr>
      <w:r>
        <w:t xml:space="preserve">Other regulatory-analysis tools address related but distinct questions. Deep</w:t>
      </w:r>
      <w:r>
        <w:t xml:space="preserve"> </w:t>
      </w:r>
      <w:r>
        <w:t xml:space="preserve">sequence-to-profile models such as ChromBPNet learn sequence determinants of</w:t>
      </w:r>
      <w:r>
        <w:t xml:space="preserve"> </w:t>
      </w:r>
      <w:r>
        <w:t xml:space="preserve">chromatin profiles and are well suited for occupancy and variant-effect</w:t>
      </w:r>
      <w:r>
        <w:t xml:space="preserve"> </w:t>
      </w:r>
      <w:r>
        <w:t xml:space="preserve">analyses </w:t>
      </w:r>
      <w:r>
        <w:t xml:space="preserve">(</w:t>
      </w:r>
      <w:hyperlink w:anchor="ref-chrombpnet2024">
        <w:r>
          <w:rPr>
            <w:rStyle w:val="Hyperlink"/>
          </w:rPr>
          <w:t xml:space="preserve">10</w:t>
        </w:r>
      </w:hyperlink>
      <w:r>
        <w:t xml:space="preserve">)</w:t>
      </w:r>
      <w:r>
        <w:t xml:space="preserve">. Accessibility-based frameworks such as diffTF</w:t>
      </w:r>
      <w:r>
        <w:t xml:space="preserve"> </w:t>
      </w:r>
      <w:r>
        <w:t xml:space="preserve">estimate differential TF activity from changes in open</w:t>
      </w:r>
      <w:r>
        <w:t xml:space="preserve"> </w:t>
      </w:r>
      <w:r>
        <w:t xml:space="preserve">chromatin </w:t>
      </w:r>
      <w:r>
        <w:t xml:space="preserve">(</w:t>
      </w:r>
      <w:hyperlink w:anchor="ref-Berest2019_diffTF">
        <w:r>
          <w:rPr>
            <w:rStyle w:val="Hyperlink"/>
          </w:rPr>
          <w:t xml:space="preserve">26</w:t>
        </w:r>
      </w:hyperlink>
      <w:r>
        <w:t xml:space="preserve">)</w:t>
      </w:r>
      <w:r>
        <w:t xml:space="preserve">. These approaches are complementary to</w:t>
      </w:r>
      <w:r>
        <w:t xml:space="preserve"> </w:t>
      </w:r>
      <w:r>
        <w:t xml:space="preserve">motif-centered footprinting rather than direct replacements. In this landscape,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is intended as an accessible, reproducible route from</w:t>
      </w:r>
      <w:r>
        <w:t xml:space="preserve"> </w:t>
      </w:r>
      <w:r>
        <w:t xml:space="preserve">ATAC-seq cut-site signal to motif-level footprint interpretation.</w:t>
      </w:r>
    </w:p>
    <w:bookmarkEnd w:id="54"/>
    <w:bookmarkStart w:id="56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as a Python platform for efficient,</w:t>
      </w:r>
      <w:r>
        <w:t xml:space="preserve"> </w:t>
      </w:r>
      <w:r>
        <w:t xml:space="preserve">user-accessible ATAC-seq footprint analysis across bulk and single-cell-derived</w:t>
      </w:r>
      <w:r>
        <w:t xml:space="preserve"> </w:t>
      </w:r>
      <w:r>
        <w:t xml:space="preserve">pseudobulk data. The examples show that an integrated command line, GUI, report</w:t>
      </w:r>
      <w:r>
        <w:t xml:space="preserve"> </w:t>
      </w:r>
      <w:r>
        <w:t xml:space="preserve">system, and reproducible figure workflow can make TF footprint analysis more</w:t>
      </w:r>
      <w:r>
        <w:t xml:space="preserve"> </w:t>
      </w:r>
      <w:r>
        <w:t xml:space="preserve">transparent without changing the core biological interpretation of</w:t>
      </w:r>
      <w:r>
        <w:t xml:space="preserve"> </w:t>
      </w:r>
      <w:r>
        <w:t xml:space="preserve">motif-centered ATAC-seq footprints. Future work will focus on larger controlled</w:t>
      </w:r>
      <w:r>
        <w:t xml:space="preserve"> </w:t>
      </w:r>
      <w:r>
        <w:t xml:space="preserve">cross-tool benchmarks and expanded validation across additional tissues,</w:t>
      </w:r>
      <w:r>
        <w:t xml:space="preserve"> </w:t>
      </w:r>
      <w:r>
        <w:t xml:space="preserve">conditions, and replicate designs.</w:t>
      </w:r>
    </w:p>
    <w:p>
      <w:pPr>
        <w:pStyle w:val="BodyText"/>
      </w:pPr>
      <w:r>
        <w:rPr>
          <w:bCs/>
          <w:b/>
        </w:rPr>
        <w:t xml:space="preserve">Author Contributions:</w:t>
      </w:r>
      <w:r>
        <w:t xml:space="preserve"> </w:t>
      </w:r>
      <w:r>
        <w:t xml:space="preserve">Conceptualization, Y.L. and C.Y.; methodology, Y.L.; software,</w:t>
      </w:r>
      <w:r>
        <w:t xml:space="preserve"> </w:t>
      </w:r>
      <w:r>
        <w:t xml:space="preserve">Y.L.; validation, Y.L.; formal analysis, Y.L.; investigation, Y.L.; data curation,</w:t>
      </w:r>
      <w:r>
        <w:t xml:space="preserve"> </w:t>
      </w:r>
      <w:r>
        <w:t xml:space="preserve">Y.L.; writing, original draft preparation, Y.L.; writing, review and editing, Y.L.</w:t>
      </w:r>
      <w:r>
        <w:t xml:space="preserve"> </w:t>
      </w:r>
      <w:r>
        <w:t xml:space="preserve">and C.Y.; visualization, Y.L.; supervision, C.Y.; project administration, C.Y.;</w:t>
      </w:r>
      <w:r>
        <w:t xml:space="preserve"> </w:t>
      </w:r>
      <w:r>
        <w:t xml:space="preserve">funding acquisition, C.Y. All authors have read and agreed to the published version</w:t>
      </w:r>
      <w:r>
        <w:t xml:space="preserve"> </w:t>
      </w:r>
      <w:r>
        <w:t xml:space="preserve">of the manuscript.</w:t>
      </w:r>
    </w:p>
    <w:p>
      <w:pPr>
        <w:pStyle w:val="BodyText"/>
      </w:pPr>
      <w:r>
        <w:rPr>
          <w:bCs/>
          <w:b/>
        </w:rPr>
        <w:t xml:space="preserve">Funding:</w:t>
      </w:r>
      <w:r>
        <w:t xml:space="preserve"> </w:t>
      </w:r>
      <w:r>
        <w:t xml:space="preserve">This research received no external funding.</w:t>
      </w:r>
    </w:p>
    <w:p>
      <w:pPr>
        <w:pStyle w:val="BodyText"/>
      </w:pPr>
      <w:r>
        <w:rPr>
          <w:bCs/>
          <w:b/>
        </w:rPr>
        <w:t xml:space="preserve">Institutional Review Board Statement:</w:t>
      </w:r>
      <w:r>
        <w:t xml:space="preserve"> </w:t>
      </w:r>
      <w:r>
        <w:t xml:space="preserve">Not applicable. This study used only publicly available,</w:t>
      </w:r>
      <w:r>
        <w:t xml:space="preserve"> </w:t>
      </w:r>
      <w:r>
        <w:t xml:space="preserve">de-identified datasets and did not involve new experiments on humans or animals.</w:t>
      </w:r>
    </w:p>
    <w:p>
      <w:pPr>
        <w:pStyle w:val="BodyText"/>
      </w:pPr>
      <w:r>
        <w:rPr>
          <w:bCs/>
          <w:b/>
        </w:rPr>
        <w:t xml:space="preserve">Informed Consent Statement:</w:t>
      </w:r>
      <w:r>
        <w:t xml:space="preserve"> </w:t>
      </w:r>
      <w:r>
        <w:t xml:space="preserve">Not applicable.</w:t>
      </w:r>
    </w:p>
    <w:p>
      <w:pPr>
        <w:pStyle w:val="BodyText"/>
      </w:pPr>
      <w:r>
        <w:rPr>
          <w:bCs/>
          <w:b/>
        </w:rPr>
        <w:t xml:space="preserve">Data Availability Statement:</w:t>
      </w:r>
      <w:r>
        <w:t xml:space="preserve"> </w:t>
      </w:r>
      <w:r>
        <w:rPr>
          <w:rStyle w:val="VerbatimChar"/>
        </w:rPr>
        <w:t xml:space="preserve">fp-tools</w:t>
      </w:r>
      <w:r>
        <w:t xml:space="preserve"> </w:t>
      </w:r>
      <w:r>
        <w:t xml:space="preserve">is openly available in the public GitHub</w:t>
      </w:r>
      <w:r>
        <w:t xml:space="preserve"> </w:t>
      </w:r>
      <w:r>
        <w:t xml:space="preserve">repository</w:t>
      </w:r>
      <w:r>
        <w:t xml:space="preserve"> </w:t>
      </w:r>
      <w:hyperlink r:id="rId55">
        <w:r>
          <w:rPr>
            <w:rStyle w:val="VerbatimChar"/>
          </w:rPr>
          <w:t xml:space="preserve">oncologylab/fp-tools</w:t>
        </w:r>
      </w:hyperlink>
      <w:r>
        <w:t xml:space="preserve">.</w:t>
      </w:r>
      <w:r>
        <w:t xml:space="preserve"> </w:t>
      </w:r>
      <w:r>
        <w:t xml:space="preserve">The repository contains the manifests, schemas, analysis scripts, figure</w:t>
      </w:r>
      <w:r>
        <w:t xml:space="preserve"> </w:t>
      </w:r>
      <w:r>
        <w:t xml:space="preserve">generators, source tables, and small result tables used in this manuscript.</w:t>
      </w:r>
      <w:r>
        <w:t xml:space="preserve"> </w:t>
      </w:r>
      <w:r>
        <w:t xml:space="preserve">Public input data are obtained</w:t>
      </w:r>
      <w:r>
        <w:t xml:space="preserve"> </w:t>
      </w:r>
      <w:r>
        <w:t xml:space="preserve">from the ENCODE Project </w:t>
      </w:r>
      <w:r>
        <w:t xml:space="preserve">(</w:t>
      </w:r>
      <w:hyperlink w:anchor="ref-encode2012">
        <w:r>
          <w:rPr>
            <w:rStyle w:val="Hyperlink"/>
          </w:rPr>
          <w:t xml:space="preserve">18</w:t>
        </w:r>
      </w:hyperlink>
      <w:r>
        <w:t xml:space="preserve">)</w:t>
      </w:r>
      <w:r>
        <w:t xml:space="preserve">, the 10x Genomics PBMC5k single-cell</w:t>
      </w:r>
      <w:r>
        <w:t xml:space="preserve"> </w:t>
      </w:r>
      <w:r>
        <w:t xml:space="preserve">ATAC example </w:t>
      </w:r>
      <w:r>
        <w:t xml:space="preserve">(</w:t>
      </w:r>
      <w:hyperlink w:anchor="ref-tenxpbmc5katac2021">
        <w:r>
          <w:rPr>
            <w:rStyle w:val="Hyperlink"/>
          </w:rPr>
          <w:t xml:space="preserve">22</w:t>
        </w:r>
      </w:hyperlink>
      <w:r>
        <w:t xml:space="preserve">)</w:t>
      </w:r>
      <w:r>
        <w:t xml:space="preserve">, and motif databases such as</w:t>
      </w:r>
      <w:r>
        <w:t xml:space="preserve"> </w:t>
      </w:r>
      <w:r>
        <w:t xml:space="preserve">JASPAR </w:t>
      </w:r>
      <w:r>
        <w:t xml:space="preserve">(</w:t>
      </w:r>
      <w:hyperlink w:anchor="ref-jaspar2026">
        <w:r>
          <w:rPr>
            <w:rStyle w:val="Hyperlink"/>
          </w:rPr>
          <w:t xml:space="preserve">14</w:t>
        </w:r>
      </w:hyperlink>
      <w:r>
        <w:t xml:space="preserve">)</w:t>
      </w:r>
      <w:r>
        <w:t xml:space="preserve"> </w:t>
      </w:r>
      <w:r>
        <w:t xml:space="preserve">using the included download and preparation scripts.</w:t>
      </w:r>
      <w:r>
        <w:t xml:space="preserve"> </w:t>
      </w:r>
      <w:r>
        <w:t xml:space="preserve">The computational environment is documented in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and the</w:t>
      </w:r>
      <w:r>
        <w:t xml:space="preserve"> </w:t>
      </w:r>
      <w:r>
        <w:t xml:space="preserve">repository Dockerfile.</w:t>
      </w:r>
    </w:p>
    <w:p>
      <w:pPr>
        <w:pStyle w:val="BodyText"/>
      </w:pPr>
      <w:r>
        <w:rPr>
          <w:bCs/>
          <w:b/>
        </w:rPr>
        <w:t xml:space="preserve">Acknowledgments:</w:t>
      </w:r>
      <w:r>
        <w:t xml:space="preserve"> </w:t>
      </w:r>
      <w:r>
        <w:t xml:space="preserve">The authors thank the ENCODE Project Consortium and the</w:t>
      </w:r>
      <w:r>
        <w:t xml:space="preserve"> </w:t>
      </w:r>
      <w:r>
        <w:t xml:space="preserve">maintainers of the open-source tools referenced in this work for making their data</w:t>
      </w:r>
      <w:r>
        <w:t xml:space="preserve"> </w:t>
      </w:r>
      <w:r>
        <w:t xml:space="preserve">and software publicly available.</w:t>
      </w:r>
    </w:p>
    <w:p>
      <w:pPr>
        <w:pStyle w:val="BodyText"/>
      </w:pPr>
      <w:r>
        <w:rPr>
          <w:bCs/>
          <w:b/>
        </w:rPr>
        <w:t xml:space="preserve">Conflicts of Interest:</w:t>
      </w:r>
      <w:r>
        <w:t xml:space="preserve"> </w:t>
      </w:r>
      <w:r>
        <w:t xml:space="preserve">The authors declare no conflicts of interest.</w:t>
      </w:r>
    </w:p>
    <w:bookmarkEnd w:id="56"/>
    <w:bookmarkStart w:id="110" w:name="appendix"/>
    <w:p>
      <w:pPr>
        <w:pStyle w:val="Heading1"/>
      </w:pPr>
      <w:r>
        <w:t xml:space="preserve">Appendix</w:t>
      </w:r>
    </w:p>
    <w:p>
      <w:pPr>
        <w:pStyle w:val="TableCaption"/>
      </w:pPr>
      <w:r>
        <w:t xml:space="preserve">Table S1. Primary analysis parameters used for the public ATAC and pseudobulk workflows. The complete source table is provided in the Supplementary Materials as</w:t>
      </w:r>
      <w:r>
        <w:t xml:space="preserve"> </w:t>
      </w:r>
      <w:r>
        <w:t xml:space="preserve">“</w:t>
      </w:r>
      <w:r>
        <w:t xml:space="preserve">Primary analysis parameters</w:t>
      </w:r>
      <w:r>
        <w:t xml:space="preserve">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S1. Primary analysis parameters used for the public ATAC and pseudobulk workflows. The complete source table is provided in the Supplementary Materials as “Primary analysis parameters”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input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ATAC analyses use public ENCODE K562/HepG2 replicate BAMs and tracks. The pseudobulk single-cell demonstration uses the public 10x Genomics 5k PBMC scATAC fragment dataset. Motif analyses use JASPAR 2026 CORE vertebrate non-redundant motifs.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ENCODE BAM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GRCh38 alignment BAMs for K562 ENCSR868FGK and HepG2 ENCSR291GJU were filtered to standard chromosomes, indexed, and summarized before footprint analysis.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Blacklist and peak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Mitochondrial and nonstandard contigs excluded; hg38 blacklist v2 regions subtracted; released ENCODE peak intervals sorted and merged across replicates into one analysis peak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Bias correction and footprint 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atac-correct</w:t>
            </w:r>
            <w:r>
              <w:t xml:space="preserve"> </w:t>
            </w:r>
            <w:r>
              <w:t xml:space="preserve">run on filtered BAMs with merged peaks and blacklist regions using default Tn5-bias settings; corrected cut-site tracks q95-scaled over shared background regions for multi-sample analyses;</w:t>
            </w:r>
            <w:r>
              <w:t xml:space="preserve"> </w:t>
            </w:r>
            <w:r>
              <w:rPr>
                <w:rStyle w:val="VerbatimChar"/>
              </w:rPr>
              <w:t xml:space="preserve">call-footprints –score footprint</w:t>
            </w:r>
            <w:r>
              <w:t xml:space="preserve"> </w:t>
            </w:r>
            <w:r>
              <w:t xml:space="preserve">run with default footprint and flank windows.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Differential footprint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3-vs-3 ENCODE K562/HepG2 replicate footprint tracks were analyzed with repeated condition labels, JASPAR 2026 motifs, and replicate reporting enabled. One-sample contrasts use motif-site versus background-distribution comparison; replicate-supported analyses use empirical-Bayes variance moderation on per-sample aggregated motif scores.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novo motif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ENCODE K562/HepG2 candidate footprints exported as cell-line-level FASTA files with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75</m:t>
              </m:r>
            </m:oMath>
            <w:r>
              <w:t xml:space="preserve"> </w:t>
            </w:r>
            <w:r>
              <w:t xml:space="preserve">bp flanks; reciprocal STREME 5.5.9 runs used</w:t>
            </w:r>
            <w:r>
              <w:t xml:space="preserve"> </w:t>
            </w:r>
            <w:r>
              <w:rPr>
                <w:rStyle w:val="VerbatimChar"/>
              </w:rPr>
              <w:t xml:space="preserve">–dna –nmotifs 250</w:t>
            </w:r>
            <w:r>
              <w:t xml:space="preserve">; Tomtom 5.5.9 matched discovered motifs to JASPAR 2026; discovered motifs were scanned back into candidate intervals for motif-window overlap summaries and aggregate footprint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Pseudobulk PBMC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10x PBMC5k scATAC fragments grouped into broad B-cell, monocyte, and T–NK labels, retaining 4,437 annotated cells and requiring at least 300 cells and 50,000 fragments per group. The full</w:t>
            </w:r>
            <w:r>
              <w:t xml:space="preserve"> </w:t>
            </w:r>
            <w:r>
              <w:rPr>
                <w:rStyle w:val="VerbatimChar"/>
              </w:rPr>
              <w:t xml:space="preserve">pseudobulk-footprints</w:t>
            </w:r>
            <w:r>
              <w:t xml:space="preserve"> </w:t>
            </w:r>
            <w:r>
              <w:t xml:space="preserve">route writes pseudo-BAMs, runs ATAC correction with zero read shifting for fragment-derived pseudobulk BAMs, and emits footprint-score tracks, motif-aware differential results, marker heatmaps, and KNN-smoothed footprint-signature UMAPs.</w:t>
            </w:r>
          </w:p>
        </w:tc>
      </w:tr>
    </w:tbl>
    <w:p/>
    <w:p>
      <w:pPr>
        <w:pStyle w:val="TableCaption"/>
      </w:pPr>
      <w:r>
        <w:t xml:space="preserve">Table S2. Software and resource versions used for manuscript analyses. The complete source table is provided in the Supplementary Materials as</w:t>
      </w:r>
      <w:r>
        <w:t xml:space="preserve"> </w:t>
      </w:r>
      <w:r>
        <w:t xml:space="preserve">“</w:t>
      </w:r>
      <w:r>
        <w:t xml:space="preserve">Software and resource versions</w:t>
      </w:r>
      <w:r>
        <w:t xml:space="preserve">”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S2. Software and resource versions used for manuscript analyses. The complete source table is provided in the Supplementary Materials as “Software and resource versions”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 or resource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bedtools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sorting, merging, and blacklist subtraction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and motif-related utilities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 Ranger ATAC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processing for the public 10x PBMC5k scATAC dataset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fp-tools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ATAC correction, footprint calling, motif matching, differential footprint analysis, pseudobulk utilities, and plotting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blacklist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Artifact-region filtering for processed bulk ATAC alignments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hg38 reference genome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GRCh38/hg38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extraction and ATAC bias correction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htslib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SAM/BAM/VCF I/O backend used by</w:t>
            </w:r>
            <w:r>
              <w:t xml:space="preserve"> </w:t>
            </w:r>
            <w:r>
              <w:rPr>
                <w:rStyle w:val="VerbatimChar"/>
              </w:rPr>
              <w:t xml:space="preserve">samtools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JASPAR CORE vertebrates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non-redundant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motif database for differential footprint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matplotlib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figure rendering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MEME Suite, STREME, and Tomtom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novo motif discovery and discovered-motif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Numerical arrays and benchmark/figure calculations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 processing for benchmark, manifest, and figure builders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pyBigWig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bigWig signal reading and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and genomic interval I/O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 for analyses, figure builders, and provenance extraction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ENCODE BAM filtering, indexing, and QC summaries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SciPy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and interpolation utilities</w:t>
            </w:r>
          </w:p>
        </w:tc>
      </w:tr>
    </w:tbl>
    <w:bookmarkStart w:id="109" w:name="refs"/>
    <w:bookmarkStart w:id="58" w:name="ref-buenrostro2013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Buenrostro JD, Giresi PG, Zaba LC, Chang HY, Greenleaf WJ.</w:t>
      </w:r>
      <w:r>
        <w:t xml:space="preserve"> </w:t>
      </w:r>
      <w:hyperlink r:id="rId57">
        <w:r>
          <w:rPr>
            <w:rStyle w:val="Hyperlink"/>
          </w:rPr>
          <w:t xml:space="preserve">Transposition of native chromatin for fast and sensitive epigenomic profiling of open chromatin,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-binding proteins and nucleosome position</w:t>
        </w:r>
      </w:hyperlink>
      <w:r>
        <w:t xml:space="preserve">. Nature Methods. 2013;10(12):1213–8.</w:t>
      </w:r>
      <w:r>
        <w:t xml:space="preserve"> </w:t>
      </w:r>
    </w:p>
    <w:bookmarkEnd w:id="58"/>
    <w:bookmarkStart w:id="60" w:name="ref-pique2011centipede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Pique-Regi R, Degner JF, Pai AA, Gaffney DJ, Gilad Y, Pritchard JK.</w:t>
      </w:r>
      <w:r>
        <w:t xml:space="preserve"> </w:t>
      </w:r>
      <w:hyperlink r:id="rId59">
        <w:r>
          <w:rPr>
            <w:rStyle w:val="Hyperlink"/>
          </w:rPr>
          <w:t xml:space="preserve">Accurate inference of transcription factor binding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sequence and chromatin accessibility data</w:t>
        </w:r>
      </w:hyperlink>
      <w:r>
        <w:t xml:space="preserve">. Genome Research. 2011;21(3):447–55.</w:t>
      </w:r>
      <w:r>
        <w:t xml:space="preserve"> </w:t>
      </w:r>
    </w:p>
    <w:bookmarkEnd w:id="60"/>
    <w:bookmarkStart w:id="62" w:name="ref-piper2013wellington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Piper J, Elze MC, Cauchy P, Cockerill PN, Bonifer C, Ott S.</w:t>
      </w:r>
      <w:r>
        <w:t xml:space="preserve"> </w:t>
      </w:r>
      <w:hyperlink r:id="rId61">
        <w:r>
          <w:rPr>
            <w:rStyle w:val="Hyperlink"/>
          </w:rPr>
          <w:t xml:space="preserve">Wellington: A novel method for the accurate identification of digital genomic footprints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DNase-seq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 Nucleic Acids Research. 2013;41(21):e201.</w:t>
      </w:r>
      <w:r>
        <w:t xml:space="preserve"> </w:t>
      </w:r>
    </w:p>
    <w:bookmarkEnd w:id="62"/>
    <w:bookmarkStart w:id="64" w:name="ref-sherwood2014piq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Sherwood RI, Hashimoto T, O’Donnell CW, Lewis S, Barkal AA, Hoff JP van, et al.</w:t>
      </w:r>
      <w:r>
        <w:t xml:space="preserve"> </w:t>
      </w:r>
      <w:hyperlink r:id="rId63">
        <w:r>
          <w:rPr>
            <w:rStyle w:val="Hyperlink"/>
          </w:rPr>
          <w:t xml:space="preserve">Discovery of directional and nondirectional pioneer transcription factors by modeling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profile magnitude and shape</w:t>
        </w:r>
      </w:hyperlink>
      <w:r>
        <w:t xml:space="preserve">. Nature Biotechnology. 2014;32(2):171–8.</w:t>
      </w:r>
      <w:r>
        <w:t xml:space="preserve"> </w:t>
      </w:r>
    </w:p>
    <w:bookmarkEnd w:id="64"/>
    <w:bookmarkStart w:id="66" w:name="ref-quach2017defcom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Quach B, Furey TS.</w:t>
      </w:r>
      <w:r>
        <w:t xml:space="preserve"> </w:t>
      </w:r>
      <w:hyperlink r:id="rId65">
        <w:r>
          <w:rPr>
            <w:rStyle w:val="Hyperlink"/>
          </w:rPr>
          <w:t xml:space="preserve">DeFCoM</w:t>
        </w:r>
        <w:r>
          <w:rPr>
            <w:rStyle w:val="Hyperlink"/>
          </w:rPr>
          <w:t xml:space="preserve">: Analysis and modeling of transcription factor binding sites using a motif-centric genomic footprinter</w:t>
        </w:r>
      </w:hyperlink>
      <w:r>
        <w:t xml:space="preserve">. Bioinformatics. 2017;33(7):956–63.</w:t>
      </w:r>
      <w:r>
        <w:t xml:space="preserve"> </w:t>
      </w:r>
    </w:p>
    <w:bookmarkEnd w:id="66"/>
    <w:bookmarkStart w:id="68" w:name="ref-bentsen2020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Bentsen M, Goymann P, Schultheis H, Klee K, Petrova A, Wiegandt R, et al.</w:t>
      </w:r>
      <w:r>
        <w:t xml:space="preserve"> </w:t>
      </w:r>
      <w:hyperlink r:id="rId67"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footprinting unravels kinetics of transcription factor binding during zygotic genome activation</w:t>
        </w:r>
      </w:hyperlink>
      <w:r>
        <w:t xml:space="preserve">. Nature Communications. 2020;11:4267.</w:t>
      </w:r>
      <w:r>
        <w:t xml:space="preserve"> </w:t>
      </w:r>
    </w:p>
    <w:bookmarkEnd w:id="68"/>
    <w:bookmarkStart w:id="70" w:name="ref-li2019hint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Li Z, Schulz MH, Look T, Begemann M, Zenke M, Costa IG.</w:t>
      </w:r>
      <w:r>
        <w:t xml:space="preserve"> </w:t>
      </w:r>
      <w:hyperlink r:id="rId69">
        <w:r>
          <w:rPr>
            <w:rStyle w:val="Hyperlink"/>
          </w:rPr>
          <w:t xml:space="preserve">Identification of transcription factor binding sites using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</w:t>
        </w:r>
      </w:hyperlink>
      <w:r>
        <w:t xml:space="preserve">. Genome Biology. 2019;20:45.</w:t>
      </w:r>
      <w:r>
        <w:t xml:space="preserve"> </w:t>
      </w:r>
    </w:p>
    <w:bookmarkEnd w:id="70"/>
    <w:bookmarkStart w:id="72" w:name="ref-hu2024print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Hu Y, Horlbeck MA, Zhang R, Ma S, Shrestha R, Kartha VK, et al.</w:t>
      </w:r>
      <w:r>
        <w:t xml:space="preserve"> </w:t>
      </w:r>
      <w:hyperlink r:id="rId71">
        <w:r>
          <w:rPr>
            <w:rStyle w:val="Hyperlink"/>
          </w:rPr>
          <w:t xml:space="preserve">Multiscale footprints reveal the organization of cis-regulatory elements</w:t>
        </w:r>
      </w:hyperlink>
      <w:r>
        <w:t xml:space="preserve">. Nature. 2025;638(8051):779–86.</w:t>
      </w:r>
      <w:r>
        <w:t xml:space="preserve"> </w:t>
      </w:r>
    </w:p>
    <w:bookmarkEnd w:id="72"/>
    <w:bookmarkStart w:id="74" w:name="ref-cazares2023maxatac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Cazares TA, Rizvi FW, Iyer B, Chen X, Kotliar M, Bejjani AT, et al.</w:t>
      </w:r>
      <w:r>
        <w:t xml:space="preserve"> </w:t>
      </w:r>
      <w:hyperlink r:id="rId73">
        <w:r>
          <w:rPr>
            <w:rStyle w:val="Hyperlink"/>
          </w:rPr>
          <w:t xml:space="preserve">maxATAC</w:t>
        </w:r>
        <w:r>
          <w:rPr>
            <w:rStyle w:val="Hyperlink"/>
          </w:rPr>
          <w:t xml:space="preserve">: Genome-scale transcription-factor binding prediction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ATAC</w:t>
        </w:r>
        <w:r>
          <w:rPr>
            <w:rStyle w:val="Hyperlink"/>
          </w:rPr>
          <w:t xml:space="preserve">-seq with deep neural networks</w:t>
        </w:r>
      </w:hyperlink>
      <w:r>
        <w:t xml:space="preserve">. PLoS Computational Biology. 2023;19(1):e1010863.</w:t>
      </w:r>
      <w:r>
        <w:t xml:space="preserve"> </w:t>
      </w:r>
    </w:p>
    <w:bookmarkEnd w:id="74"/>
    <w:bookmarkStart w:id="76" w:name="ref-chrombpnet2024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Pampari A, Shcherbina A, Kvon EZ, Kosicki M, Nair S, Kundu S, et al.</w:t>
      </w:r>
      <w:r>
        <w:t xml:space="preserve"> </w:t>
      </w:r>
      <w:hyperlink r:id="rId75">
        <w:r>
          <w:rPr>
            <w:rStyle w:val="Hyperlink"/>
          </w:rPr>
          <w:t xml:space="preserve">ChromBPNet</w:t>
        </w:r>
        <w:r>
          <w:rPr>
            <w:rStyle w:val="Hyperlink"/>
          </w:rPr>
          <w:t xml:space="preserve">: Bias factorized, base-resolution deep learning models of chromatin accessibility reveal cis-regulatory sequence syntax, transcription factor footprints and regulatory variants</w:t>
        </w:r>
      </w:hyperlink>
      <w:r>
        <w:t xml:space="preserve">. bioRxiv. 2024;</w:t>
      </w:r>
      <w:r>
        <w:t xml:space="preserve"> </w:t>
      </w:r>
    </w:p>
    <w:bookmarkEnd w:id="76"/>
    <w:bookmarkStart w:id="78" w:name="ref-bailey2015meme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Bailey TL, Johnson J, Grant CE, Noble WS.</w:t>
      </w:r>
      <w:r>
        <w:t xml:space="preserve"> </w:t>
      </w:r>
      <w:hyperlink r:id="rId77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suite</w:t>
        </w:r>
      </w:hyperlink>
      <w:r>
        <w:t xml:space="preserve">. Nucleic Acids Research. 2015;43(W1):W39–49.</w:t>
      </w:r>
      <w:r>
        <w:t xml:space="preserve"> </w:t>
      </w:r>
    </w:p>
    <w:bookmarkEnd w:id="78"/>
    <w:bookmarkStart w:id="80" w:name="ref-Bailey2021_STREME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79">
        <w:r>
          <w:rPr>
            <w:rStyle w:val="Hyperlink"/>
          </w:rPr>
          <w:t xml:space="preserve">STREME: Accurate and versatile sequence motif discovery</w:t>
        </w:r>
      </w:hyperlink>
      <w:r>
        <w:t xml:space="preserve">. Bioinformatics. 2021;37(18):2834–40.</w:t>
      </w:r>
      <w:r>
        <w:t xml:space="preserve"> </w:t>
      </w:r>
    </w:p>
    <w:bookmarkEnd w:id="80"/>
    <w:bookmarkStart w:id="82" w:name="ref-gupta2007tomtom"/>
    <w:p>
      <w:pPr>
        <w:pStyle w:val="Bibliography"/>
      </w:pPr>
      <w:r>
        <w:t xml:space="preserve">13.</w:t>
      </w:r>
      <w:r>
        <w:t xml:space="preserve"> </w:t>
      </w:r>
      <w:r>
        <w:t xml:space="preserve">	</w:t>
      </w:r>
      <w:r>
        <w:t xml:space="preserve">Gupta S, Stamatoyannopoulos JA, Bailey TL, Noble WS.</w:t>
      </w:r>
      <w:r>
        <w:t xml:space="preserve"> </w:t>
      </w:r>
      <w:hyperlink r:id="rId81">
        <w:r>
          <w:rPr>
            <w:rStyle w:val="Hyperlink"/>
          </w:rPr>
          <w:t xml:space="preserve">Quantifying similarity between motifs</w:t>
        </w:r>
      </w:hyperlink>
      <w:r>
        <w:t xml:space="preserve">. Genome Biology. 2007;8(2):R24.</w:t>
      </w:r>
      <w:r>
        <w:t xml:space="preserve"> </w:t>
      </w:r>
    </w:p>
    <w:bookmarkEnd w:id="82"/>
    <w:bookmarkStart w:id="84" w:name="ref-jaspar2026"/>
    <w:p>
      <w:pPr>
        <w:pStyle w:val="Bibliography"/>
      </w:pPr>
      <w:r>
        <w:t xml:space="preserve">14.</w:t>
      </w:r>
      <w:r>
        <w:t xml:space="preserve"> </w:t>
      </w:r>
      <w:r>
        <w:t xml:space="preserve">	</w:t>
      </w:r>
      <w:r>
        <w:t xml:space="preserve">Ovek Baydar D, Rauluseviciute I, Aronsen DR, Blanc-Mathieu R, Bonthuis I, Beukelaer H de, et al.</w:t>
      </w:r>
      <w:r>
        <w:t xml:space="preserve"> </w:t>
      </w:r>
      <w:r>
        <w:t xml:space="preserve">JASPAR</w:t>
      </w:r>
      <w:r>
        <w:t xml:space="preserve"> </w:t>
      </w:r>
      <w:r>
        <w:t xml:space="preserve">2026: Expansion of transcription factor binding profiles and integration of deep learning models. Nucleic Acids Research [Internet]. 2026 Jan;54(D1):D184–93. Available from:</w:t>
      </w:r>
      <w:r>
        <w:t xml:space="preserve"> </w:t>
      </w:r>
      <w:hyperlink r:id="rId83">
        <w:r>
          <w:rPr>
            <w:rStyle w:val="Hyperlink"/>
          </w:rPr>
          <w:t xml:space="preserve">https://doi.org/10.1093/nar/gkaf1209</w:t>
        </w:r>
      </w:hyperlink>
    </w:p>
    <w:bookmarkEnd w:id="84"/>
    <w:bookmarkStart w:id="86" w:name="ref-Bailey2011_DREME"/>
    <w:p>
      <w:pPr>
        <w:pStyle w:val="Bibliography"/>
      </w:pPr>
      <w:r>
        <w:t xml:space="preserve">15.</w:t>
      </w:r>
      <w:r>
        <w:t xml:space="preserve"> </w:t>
      </w:r>
      <w:r>
        <w:t xml:space="preserve">	</w:t>
      </w:r>
      <w:r>
        <w:t xml:space="preserve">Bailey TL.</w:t>
      </w:r>
      <w:r>
        <w:t xml:space="preserve"> </w:t>
      </w:r>
      <w:hyperlink r:id="rId85">
        <w:r>
          <w:rPr>
            <w:rStyle w:val="Hyperlink"/>
          </w:rPr>
          <w:t xml:space="preserve">DREME: Motif discovery in transcription factor ChIP-seq data</w:t>
        </w:r>
      </w:hyperlink>
      <w:r>
        <w:t xml:space="preserve">. Bioinformatics. 2011;27(12):1653–9.</w:t>
      </w:r>
      <w:r>
        <w:t xml:space="preserve"> </w:t>
      </w:r>
    </w:p>
    <w:bookmarkEnd w:id="86"/>
    <w:bookmarkStart w:id="88" w:name="ref-smyth2004"/>
    <w:p>
      <w:pPr>
        <w:pStyle w:val="Bibliography"/>
      </w:pPr>
      <w:r>
        <w:t xml:space="preserve">16.</w:t>
      </w:r>
      <w:r>
        <w:t xml:space="preserve"> </w:t>
      </w:r>
      <w:r>
        <w:t xml:space="preserve">	</w:t>
      </w:r>
      <w:r>
        <w:t xml:space="preserve">Smyth GK.</w:t>
      </w:r>
      <w:r>
        <w:t xml:space="preserve"> </w:t>
      </w:r>
      <w:hyperlink r:id="rId87">
        <w:r>
          <w:rPr>
            <w:rStyle w:val="Hyperlink"/>
          </w:rPr>
          <w:t xml:space="preserve">Linear models and empirical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Bayes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methods for assessing differential expression in microarray experiments</w:t>
        </w:r>
      </w:hyperlink>
      <w:r>
        <w:t xml:space="preserve">. Statistical Applications in Genetics and Molecular Biology. 2004;3(1):Article 3.</w:t>
      </w:r>
      <w:r>
        <w:t xml:space="preserve"> </w:t>
      </w:r>
    </w:p>
    <w:bookmarkEnd w:id="88"/>
    <w:bookmarkStart w:id="90" w:name="ref-Amemiya2019_Blacklist"/>
    <w:p>
      <w:pPr>
        <w:pStyle w:val="Bibliography"/>
      </w:pPr>
      <w:r>
        <w:t xml:space="preserve">17.</w:t>
      </w:r>
      <w:r>
        <w:t xml:space="preserve"> </w:t>
      </w:r>
      <w:r>
        <w:t xml:space="preserve">	</w:t>
      </w:r>
      <w:r>
        <w:t xml:space="preserve">Amemiya HM, Kundaje A, Boyle AP.</w:t>
      </w:r>
      <w:r>
        <w:t xml:space="preserve"> </w:t>
      </w:r>
      <w:hyperlink r:id="rId89">
        <w:r>
          <w:rPr>
            <w:rStyle w:val="Hyperlink"/>
          </w:rPr>
          <w:t xml:space="preserve">The ENCODE blacklist: Identification of problematic regions of the genome</w:t>
        </w:r>
      </w:hyperlink>
      <w:r>
        <w:t xml:space="preserve">. Scientific Reports. 2019;9:9354.</w:t>
      </w:r>
      <w:r>
        <w:t xml:space="preserve"> </w:t>
      </w:r>
    </w:p>
    <w:bookmarkEnd w:id="90"/>
    <w:bookmarkStart w:id="92" w:name="ref-encode2012"/>
    <w:p>
      <w:pPr>
        <w:pStyle w:val="Bibliography"/>
      </w:pPr>
      <w:r>
        <w:t xml:space="preserve">18.</w:t>
      </w:r>
      <w:r>
        <w:t xml:space="preserve"> </w:t>
      </w:r>
      <w:r>
        <w:t xml:space="preserve">	</w:t>
      </w:r>
      <w:r>
        <w:t xml:space="preserve">The ENCODE Project Consortium.</w:t>
      </w:r>
      <w:r>
        <w:t xml:space="preserve"> </w:t>
      </w:r>
      <w:hyperlink r:id="rId91">
        <w:r>
          <w:rPr>
            <w:rStyle w:val="Hyperlink"/>
          </w:rPr>
          <w:t xml:space="preserve">An integrated encyclopedia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elements in the human genome</w:t>
        </w:r>
      </w:hyperlink>
      <w:r>
        <w:t xml:space="preserve">. Nature. 2012;489(7414):57–74.</w:t>
      </w:r>
      <w:r>
        <w:t xml:space="preserve"> </w:t>
      </w:r>
    </w:p>
    <w:bookmarkEnd w:id="92"/>
    <w:bookmarkStart w:id="94" w:name="ref-Wilkinson2016_FAIR"/>
    <w:p>
      <w:pPr>
        <w:pStyle w:val="Bibliography"/>
      </w:pPr>
      <w:r>
        <w:t xml:space="preserve">19.</w:t>
      </w:r>
      <w:r>
        <w:t xml:space="preserve"> </w:t>
      </w:r>
      <w:r>
        <w:t xml:space="preserve">	</w:t>
      </w:r>
      <w:r>
        <w:t xml:space="preserve">Wilkinson MD, Dumontier M, Aalbersberg IjJ, et al.</w:t>
      </w:r>
      <w:r>
        <w:t xml:space="preserve"> </w:t>
      </w:r>
      <w:hyperlink r:id="rId93">
        <w:r>
          <w:rPr>
            <w:rStyle w:val="Hyperlink"/>
          </w:rPr>
          <w:t xml:space="preserve">The FAIR guiding principles for scientific data management and stewardship</w:t>
        </w:r>
      </w:hyperlink>
      <w:r>
        <w:t xml:space="preserve">. Scientific Data. 2016;3:160018.</w:t>
      </w:r>
      <w:r>
        <w:t xml:space="preserve"> </w:t>
      </w:r>
    </w:p>
    <w:bookmarkEnd w:id="94"/>
    <w:bookmarkStart w:id="96" w:name="ref-Gruning2018_Bioconda"/>
    <w:p>
      <w:pPr>
        <w:pStyle w:val="Bibliography"/>
      </w:pPr>
      <w:r>
        <w:t xml:space="preserve">20.</w:t>
      </w:r>
      <w:r>
        <w:t xml:space="preserve"> </w:t>
      </w:r>
      <w:r>
        <w:t xml:space="preserve">	</w:t>
      </w:r>
      <w:r>
        <w:t xml:space="preserve">Gruening B, Dale R, Sjoedin A, Chapman BA, Rowe J, Tomkins-Tinch CH, et al.</w:t>
      </w:r>
      <w:r>
        <w:t xml:space="preserve"> </w:t>
      </w:r>
      <w:hyperlink r:id="rId95">
        <w:r>
          <w:rPr>
            <w:rStyle w:val="Hyperlink"/>
          </w:rPr>
          <w:t xml:space="preserve">Bioconda: Sustainable and comprehensive software distribution for the life sciences</w:t>
        </w:r>
      </w:hyperlink>
      <w:r>
        <w:t xml:space="preserve">. Nature Methods. 2018;15:475–6.</w:t>
      </w:r>
      <w:r>
        <w:t xml:space="preserve"> </w:t>
      </w:r>
    </w:p>
    <w:bookmarkEnd w:id="96"/>
    <w:bookmarkStart w:id="98" w:name="ref-Ewels2020_nfcore"/>
    <w:p>
      <w:pPr>
        <w:pStyle w:val="Bibliography"/>
      </w:pPr>
      <w:r>
        <w:t xml:space="preserve">21.</w:t>
      </w:r>
      <w:r>
        <w:t xml:space="preserve"> </w:t>
      </w:r>
      <w:r>
        <w:t xml:space="preserve">	</w:t>
      </w:r>
      <w:r>
        <w:t xml:space="preserve">Ewels PA, Peltzer A, Fillinger S, Patel H, Alneberg J, Wilm A, et al.</w:t>
      </w:r>
      <w:r>
        <w:t xml:space="preserve"> </w:t>
      </w:r>
      <w:hyperlink r:id="rId97">
        <w:r>
          <w:rPr>
            <w:rStyle w:val="Hyperlink"/>
          </w:rPr>
          <w:t xml:space="preserve">The nf-core framework for community-curated bioinformatics pipelines</w:t>
        </w:r>
      </w:hyperlink>
      <w:r>
        <w:t xml:space="preserve">. Nature Biotechnology. 2020;38:276–8.</w:t>
      </w:r>
      <w:r>
        <w:t xml:space="preserve"> </w:t>
      </w:r>
    </w:p>
    <w:bookmarkEnd w:id="98"/>
    <w:bookmarkStart w:id="100" w:name="ref-tenxpbmc5katac2021"/>
    <w:p>
      <w:pPr>
        <w:pStyle w:val="Bibliography"/>
      </w:pPr>
      <w:r>
        <w:t xml:space="preserve">22.</w:t>
      </w:r>
      <w:r>
        <w:t xml:space="preserve"> </w:t>
      </w:r>
      <w:r>
        <w:t xml:space="preserve">	</w:t>
      </w:r>
      <w:r>
        <w:t xml:space="preserve">10x Genomics.</w:t>
      </w:r>
      <w:r>
        <w:t xml:space="preserve"> </w:t>
      </w:r>
      <w:r>
        <w:t xml:space="preserve">5k Peripheral Blood Mononuclear Cells (PBMCs) from a Healthy Donor (Next GEM v1.1)</w:t>
      </w:r>
      <w:r>
        <w:t xml:space="preserve"> </w:t>
      </w:r>
      <w:r>
        <w:t xml:space="preserve">[Internet]. 10x Genomics public dataset, Cell Ranger ATAC 2.0.0; 2021. Available from:</w:t>
      </w:r>
      <w:r>
        <w:t xml:space="preserve"> </w:t>
      </w:r>
      <w:hyperlink r:id="rId99">
        <w:r>
          <w:rPr>
            <w:rStyle w:val="Hyperlink"/>
          </w:rPr>
          <w:t xml:space="preserve">https://www.10xgenomics.com/datasets/5-k-peripheral-blood-mononuclear-cells-pbm-cs-from-a-healthy-donor-next-gem-v-1-1-1-1-standard-2-0-0</w:t>
        </w:r>
      </w:hyperlink>
    </w:p>
    <w:bookmarkEnd w:id="100"/>
    <w:bookmarkStart w:id="102" w:name="ref-Granja2021_ArchR"/>
    <w:p>
      <w:pPr>
        <w:pStyle w:val="Bibliography"/>
      </w:pPr>
      <w:r>
        <w:t xml:space="preserve">23.</w:t>
      </w:r>
      <w:r>
        <w:t xml:space="preserve"> </w:t>
      </w:r>
      <w:r>
        <w:t xml:space="preserve">	</w:t>
      </w:r>
      <w:r>
        <w:t xml:space="preserve">Granja JM, Corces MR, Pierce SE, et al.</w:t>
      </w:r>
      <w:r>
        <w:t xml:space="preserve"> </w:t>
      </w:r>
      <w:hyperlink r:id="rId101">
        <w:r>
          <w:rPr>
            <w:rStyle w:val="Hyperlink"/>
          </w:rPr>
          <w:t xml:space="preserve">ArchR is a scalable software package for integrative single-cell chromatin accessibility analysis</w:t>
        </w:r>
      </w:hyperlink>
      <w:r>
        <w:t xml:space="preserve">. Nature Genetics. 2021;53:403–11.</w:t>
      </w:r>
      <w:r>
        <w:t xml:space="preserve"> </w:t>
      </w:r>
    </w:p>
    <w:bookmarkEnd w:id="102"/>
    <w:bookmarkStart w:id="104" w:name="ref-Stuart2021_Signac"/>
    <w:p>
      <w:pPr>
        <w:pStyle w:val="Bibliography"/>
      </w:pPr>
      <w:r>
        <w:t xml:space="preserve">24.</w:t>
      </w:r>
      <w:r>
        <w:t xml:space="preserve"> </w:t>
      </w:r>
      <w:r>
        <w:t xml:space="preserve">	</w:t>
      </w:r>
      <w:r>
        <w:t xml:space="preserve">Stuart T, Srivastava A, Madad S, Lareau C, Satija R.</w:t>
      </w:r>
      <w:r>
        <w:t xml:space="preserve"> </w:t>
      </w:r>
      <w:hyperlink r:id="rId103">
        <w:r>
          <w:rPr>
            <w:rStyle w:val="Hyperlink"/>
          </w:rPr>
          <w:t xml:space="preserve">Single-cell chromatin state analysis with signac</w:t>
        </w:r>
      </w:hyperlink>
      <w:r>
        <w:t xml:space="preserve">. Nature Methods. 2021;18:1333–41.</w:t>
      </w:r>
      <w:r>
        <w:t xml:space="preserve"> </w:t>
      </w:r>
    </w:p>
    <w:bookmarkEnd w:id="104"/>
    <w:bookmarkStart w:id="106" w:name="ref-Schep2017_chromVAR"/>
    <w:p>
      <w:pPr>
        <w:pStyle w:val="Bibliography"/>
      </w:pPr>
      <w:r>
        <w:t xml:space="preserve">25.</w:t>
      </w:r>
      <w:r>
        <w:t xml:space="preserve"> </w:t>
      </w:r>
      <w:r>
        <w:t xml:space="preserve">	</w:t>
      </w:r>
      <w:r>
        <w:t xml:space="preserve">Schep AN, Wu B, Buenrostro JD, Greenleaf WJ.</w:t>
      </w:r>
      <w:r>
        <w:t xml:space="preserve"> </w:t>
      </w:r>
      <w:hyperlink r:id="rId105">
        <w:r>
          <w:rPr>
            <w:rStyle w:val="Hyperlink"/>
          </w:rPr>
          <w:t xml:space="preserve">chromVAR: Inferring transcription-factor-associated accessibility from single-cell epigenomic data</w:t>
        </w:r>
      </w:hyperlink>
      <w:r>
        <w:t xml:space="preserve">. Nature Methods. 2017;14:975–8.</w:t>
      </w:r>
      <w:r>
        <w:t xml:space="preserve"> </w:t>
      </w:r>
    </w:p>
    <w:bookmarkEnd w:id="106"/>
    <w:bookmarkStart w:id="108" w:name="ref-Berest2019_diffTF"/>
    <w:p>
      <w:pPr>
        <w:pStyle w:val="Bibliography"/>
      </w:pPr>
      <w:r>
        <w:t xml:space="preserve">26.</w:t>
      </w:r>
      <w:r>
        <w:t xml:space="preserve"> </w:t>
      </w:r>
      <w:r>
        <w:t xml:space="preserve">	</w:t>
      </w:r>
      <w:r>
        <w:t xml:space="preserve">Berest I, Arnold C, Reyes-Palomares A, Palla G, Rasmussen KD, Giles H, et al.</w:t>
      </w:r>
      <w:r>
        <w:t xml:space="preserve"> </w:t>
      </w:r>
      <w:hyperlink r:id="rId107">
        <w:r>
          <w:rPr>
            <w:rStyle w:val="Hyperlink"/>
          </w:rPr>
          <w:t xml:space="preserve">Quantification of differential transcription factor activity and multiomics-based classification into activators and repressors: diffTF</w:t>
        </w:r>
      </w:hyperlink>
      <w:r>
        <w:t xml:space="preserve">. Cell Reports. 2019;29(10):3147–3159.e12.</w:t>
      </w:r>
      <w:r>
        <w:t xml:space="preserve"> </w:t>
      </w:r>
    </w:p>
    <w:bookmarkEnd w:id="108"/>
    <w:bookmarkEnd w:id="109"/>
    <w:bookmarkEnd w:id="1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bidi="ar-SA" w:eastAsia="en-US" w:val="en-US"/>
        <w:color w:val="000000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 w:cs="Arial"/>
      <w:sz w:val="20"/>
      <w:szCs w:val="20"/>
      <w:color w:val="000000"/>
    </w:rPr>
    <w:pPr>
      <w:spacing w:after="120" w:line="240" w:lineRule="auto"/>
    </w:pPr>
  </w:style>
  <w:style w:styleId="BodyText" w:type="paragraph">
    <w:name w:val="Body Text"/>
    <w:basedOn w:val="Normal"/>
    <w:link w:val="BodyTextChar"/>
    <w:pPr>
      <w:spacing w:after="120" w:before="180" w:line="240" w:lineRule="auto"/>
    </w:pPr>
    <w:qFormat/>
    <w:rPr>
      <w:rFonts w:ascii="Arial" w:hAnsi="Arial" w:eastAsia="Arial" w:cs="Arial"/>
      <w:sz w:val="20"/>
      <w:szCs w:val="20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 w:cs="Arial"/>
      <w:sz w:val="20"/>
      <w:szCs w:val="20"/>
      <w:color w:val="000000"/>
    </w:rPr>
    <w:pPr>
      <w:spacing w:after="120" w:line="240" w:lineRule="auto"/>
    </w:pPr>
  </w:style>
  <w:style w:customStyle="1" w:styleId="Compact" w:type="paragraph">
    <w:name w:val="Compact"/>
    <w:basedOn w:val="BodyText"/>
    <w:qFormat/>
    <w:pPr>
      <w:spacing w:after="60" w:before="36" w:line="220" w:lineRule="auto"/>
    </w:pPr>
    <w:rPr>
      <w:rFonts w:ascii="Arial" w:hAnsi="Arial" w:eastAsia="Arial" w:cs="Arial"/>
      <w:sz w:val="18"/>
      <w:szCs w:val="18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480" w:line="240" w:lineRule="auto"/>
      <w:jc w:val="center"/>
    </w:pPr>
    <w:rPr>
      <w:rFonts w:ascii="Arial" w:hAnsi="Arial" w:eastAsia="Arial" w:cs="Arial"/>
      <w:b/>
      <w:bCs/>
      <w:color w:themeColor="accent1" w:themeShade="B5" w:val="000000"/>
      <w:sz w:val="28"/>
      <w:szCs w:val="28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2"/>
      <w:szCs w:val="22"/>
      <w:rFonts w:ascii="Arial" w:hAnsi="Arial" w:eastAsia="Arial" w:cs="Arial"/>
      <w:color w:val="000000"/>
      <w:b/>
      <w:bCs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120" w:line="240" w:lineRule="auto"/>
    </w:pPr>
    <w:rPr>
      <w:rFonts w:ascii="Arial" w:hAnsi="Arial" w:eastAsia="Arial" w:cs="Arial"/>
      <w:sz w:val="20"/>
      <w:szCs w:val="20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eastAsia="Arial" w:cs="Arial"/>
      <w:sz w:val="20"/>
      <w:szCs w:val="20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60" w:before="120" w:line="240" w:lineRule="auto"/>
    </w:pPr>
    <w:rPr>
      <w:sz w:val="20"/>
      <w:szCs w:val="20"/>
      <w:b/>
      <w:color w:val="000000"/>
      &gt;
      <w:rFonts w:ascii="Arial" w:hAnsi="Arial" w:eastAsia="Arial" w:cs="Arial"/>
      <w:bCs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20" w:before="100" w:line="240" w:lineRule="auto"/>
    </w:pPr>
    <w:rPr>
      <w:sz w:val="20"/>
      <w:szCs w:val="20"/>
      <w:rFonts w:ascii="Arial" w:hAnsi="Arial" w:eastAsia="Arial" w:cs="Arial"/>
      <w:color w:val="000000"/>
    </w:rPr>
  </w:style>
  <w:style w:styleId="Bibliography" w:type="paragraph">
    <w:name w:val="Bibliography"/>
    <w:basedOn w:val="Normal"/>
    <w:next w:val="Bibliography"/>
    <w:qFormat/>
    <w:pPr>
      <w:spacing w:after="60" w:line="220" w:lineRule="auto"/>
    </w:pPr>
    <w:rPr>
      <w:rFonts w:ascii="Arial" w:hAnsi="Arial" w:eastAsia="Arial" w:cs="Arial"/>
      <w:sz w:val="18"/>
      <w:szCs w:val="18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260" w:line="240" w:lineRule="auto"/>
      <w:outlineLvl w:val="0"/>
    </w:pPr>
    <w:rPr>
      <w:rFonts w:ascii="Arial" w:hAnsi="Arial" w:eastAsia="Arial" w:cs="Arial"/>
      <w:b/>
      <w:bCs/>
      <w:color w:themeColor="accent1" w:val="000000"/>
      <w:sz w:val="24"/>
      <w:szCs w:val="2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180" w:line="240" w:lineRule="auto"/>
      <w:outlineLvl w:val="1"/>
    </w:pPr>
    <w:rPr>
      <w:rFonts w:ascii="Arial" w:hAnsi="Arial" w:eastAsia="Arial" w:cs="Arial"/>
      <w:b/>
      <w:bCs/>
      <w:color w:themeColor="accent1" w:val="000000"/>
      <w:sz w:val="22"/>
      <w:szCs w:val="2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40" w:line="240" w:lineRule="auto"/>
      <w:outlineLvl w:val="2"/>
    </w:pPr>
    <w:rPr>
      <w:rFonts w:ascii="Arial" w:hAnsi="Arial" w:eastAsia="Arial" w:cs="Arial"/>
      <w:b/>
      <w:bCs/>
      <w:color w:themeColor="accent1" w:val="000000"/>
      <w:sz w:val="20"/>
      <w:szCs w:val="20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hAnsi="Arial" w:eastAsia="Arial" w:cs="Arial"/>
      <w:bCs/>
      <w:color w:themeColor="accent1" w:val="000000"/>
      <w:sz w:val="20"/>
      <w:szCs w:val="20"/>
      <w:b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hAnsi="Arial" w:eastAsia="Arial" w:cs="Arial"/>
      <w:color w:themeColor="accent1" w:val="000000"/>
      <w:sz w:val="20"/>
      <w:szCs w:val="20"/>
      <w:b/>
      <w:bCs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rPr>
      <w:rFonts w:ascii="Arial" w:hAnsi="Arial" w:eastAsia="Arial" w:cs="Arial"/>
      <w:sz w:val="18"/>
      <w:szCs w:val="18"/>
      <w:color w:val="000000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Arial" w:hAnsi="Arial" w:eastAsia="Arial" w:cs="Arial"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40" w:before="80" w:line="220" w:lineRule="auto"/>
    </w:pPr>
    <w:rPr>
      <w:i/>
      <w:rFonts w:ascii="Arial" w:hAnsi="Arial" w:eastAsia="Arial" w:cs="Arial"/>
      <w:sz w:val="18"/>
      <w:szCs w:val="18"/>
      <w:color w:val="000000"/>
      <w:iCs/>
    </w:rPr>
  </w:style>
  <w:style w:customStyle="1" w:styleId="TableCaption" w:type="paragraph">
    <w:name w:val="Table Caption"/>
    <w:basedOn w:val="Caption"/>
    <w:pPr>
      <w:keepNext/>
      <w:spacing w:before="80" w:after="100" w:line="220" w:lineRule="auto"/>
    </w:pPr>
    <w:rPr>
      <w:rFonts w:ascii="Arial" w:hAnsi="Arial" w:eastAsia="Arial" w:cs="Arial"/>
      <w:sz w:val="18"/>
      <w:szCs w:val="18"/>
      <w:color w:val="000000"/>
      <w:i/>
      <w:iCs/>
    </w:rPr>
  </w:style>
  <w:style w:customStyle="1" w:styleId="ImageCaption" w:type="paragraph">
    <w:name w:val="Image Caption"/>
    <w:basedOn w:val="Caption"/>
    <w:rPr>
      <w:rFonts w:ascii="Arial" w:hAnsi="Arial" w:eastAsia="Arial" w:cs="Arial"/>
      <w:sz w:val="18"/>
      <w:szCs w:val="18"/>
      <w:color w:val="000000"/>
      <w:i/>
      <w:iCs/>
    </w:rPr>
    <w:pPr>
      <w:spacing w:before="80" w:after="140" w:line="220" w:lineRule="auto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hAnsi="Arial" w:eastAsia="Arial" w:cs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  <w:rFonts w:ascii="Arial" w:hAnsi="Arial" w:eastAsia="Arial" w:cs="Arial"/>
    </w:rPr>
  </w:style>
  <w:style w:styleId="Hyperlink" w:type="character">
    <w:name w:val="Hyperlink"/>
    <w:basedOn w:val="BodyTextChar"/>
    <w:rPr>
      <w:color w:themeColor="accent1" w:val="4F81BD"/>
      <w:rFonts w:ascii="Arial" w:hAnsi="Arial" w:eastAsia="Arial" w:cs="Arial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60" w:line="240" w:lineRule="auto" w:after="100"/>
      <w:outlineLvl w:val="9"/>
    </w:pPr>
    <w:rPr>
      <w:rFonts w:ascii="Arial" w:hAnsi="Arial" w:eastAsia="Arial" w:cs="Arial"/>
      <w:b w:val="0"/>
      <w:bCs w:val="0"/>
      <w:color w:themeColor="accent1" w:themeShade="BF" w:val="000000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  <w:rFonts w:ascii="Arial" w:hAnsi="Arial" w:eastAsia="Arial" w:cs="Arial"/>
    </w:rPr>
  </w:style>
  <w:style w:type="character" w:customStyle="1" w:styleId="DataTypeTok">
    <w:name w:val="DataTypeTok"/>
    <w:basedOn w:val="VerbatimChar"/>
    <w:rPr>
      <w:color w:val="902000"/>
      <w:rFonts w:ascii="Arial" w:hAnsi="Arial" w:eastAsia="Arial" w:cs="Arial"/>
    </w:rPr>
  </w:style>
  <w:style w:type="character" w:customStyle="1" w:styleId="DecValTok">
    <w:name w:val="DecValTok"/>
    <w:basedOn w:val="VerbatimChar"/>
    <w:rPr>
      <w:color w:val="40a070"/>
      <w:rFonts w:ascii="Arial" w:hAnsi="Arial" w:eastAsia="Arial" w:cs="Arial"/>
    </w:rPr>
  </w:style>
  <w:style w:type="character" w:customStyle="1" w:styleId="BaseNTok">
    <w:name w:val="BaseNTok"/>
    <w:basedOn w:val="VerbatimChar"/>
    <w:rPr>
      <w:color w:val="40a070"/>
      <w:rFonts w:ascii="Arial" w:hAnsi="Arial" w:eastAsia="Arial" w:cs="Arial"/>
    </w:rPr>
  </w:style>
  <w:style w:type="character" w:customStyle="1" w:styleId="FloatTok">
    <w:name w:val="FloatTok"/>
    <w:basedOn w:val="VerbatimChar"/>
    <w:rPr>
      <w:color w:val="40a070"/>
      <w:rFonts w:ascii="Arial" w:hAnsi="Arial" w:eastAsia="Arial" w:cs="Arial"/>
    </w:rPr>
  </w:style>
  <w:style w:type="character" w:customStyle="1" w:styleId="ConstantTok">
    <w:name w:val="ConstantTok"/>
    <w:basedOn w:val="VerbatimChar"/>
    <w:rPr>
      <w:color w:val="880000"/>
      <w:rFonts w:ascii="Arial" w:hAnsi="Arial" w:eastAsia="Arial" w:cs="Arial"/>
    </w:rPr>
  </w:style>
  <w:style w:type="character" w:customStyle="1" w:styleId="CharTok">
    <w:name w:val="CharTok"/>
    <w:basedOn w:val="VerbatimChar"/>
    <w:rPr>
      <w:color w:val="4070a0"/>
      <w:rFonts w:ascii="Arial" w:hAnsi="Arial" w:eastAsia="Arial" w:cs="Arial"/>
    </w:rPr>
  </w:style>
  <w:style w:type="character" w:customStyle="1" w:styleId="SpecialCharTok">
    <w:name w:val="SpecialCharTok"/>
    <w:basedOn w:val="VerbatimChar"/>
    <w:rPr>
      <w:color w:val="4070a0"/>
      <w:rFonts w:ascii="Arial" w:hAnsi="Arial" w:eastAsia="Arial" w:cs="Arial"/>
    </w:rPr>
  </w:style>
  <w:style w:type="character" w:customStyle="1" w:styleId="StringTok">
    <w:name w:val="StringTok"/>
    <w:basedOn w:val="VerbatimChar"/>
    <w:rPr>
      <w:color w:val="4070a0"/>
      <w:rFonts w:ascii="Arial" w:hAnsi="Arial" w:eastAsia="Arial" w:cs="Arial"/>
    </w:rPr>
  </w:style>
  <w:style w:type="character" w:customStyle="1" w:styleId="VerbatimStringTok">
    <w:name w:val="VerbatimStringTok"/>
    <w:basedOn w:val="VerbatimChar"/>
    <w:rPr>
      <w:color w:val="4070a0"/>
      <w:rFonts w:ascii="Arial" w:hAnsi="Arial" w:eastAsia="Arial" w:cs="Arial"/>
    </w:rPr>
  </w:style>
  <w:style w:type="character" w:customStyle="1" w:styleId="SpecialStringTok">
    <w:name w:val="SpecialStringTok"/>
    <w:basedOn w:val="VerbatimChar"/>
    <w:rPr>
      <w:color w:val="bb6688"/>
      <w:rFonts w:ascii="Arial" w:hAnsi="Arial" w:eastAsia="Arial" w:cs="Arial"/>
    </w:rPr>
  </w:style>
  <w:style w:type="character" w:customStyle="1" w:styleId="ImportTok">
    <w:name w:val="ImportTok"/>
    <w:basedOn w:val="VerbatimChar"/>
    <w:rPr>
      <w:color w:val="008000"/>
      <w:b/>
      <w:rFonts w:ascii="Arial" w:hAnsi="Arial" w:eastAsia="Arial" w:cs="Arial"/>
    </w:rPr>
  </w:style>
  <w:style w:type="character" w:customStyle="1" w:styleId="CommentTok">
    <w:name w:val="CommentTok"/>
    <w:basedOn w:val="VerbatimChar"/>
    <w:rPr>
      <w:color w:val="60a0b0"/>
      <w:i/>
      <w:rFonts w:ascii="Arial" w:hAnsi="Arial" w:eastAsia="Arial" w:cs="Arial"/>
    </w:rPr>
  </w:style>
  <w:style w:type="character" w:customStyle="1" w:styleId="DocumentationTok">
    <w:name w:val="DocumentationTok"/>
    <w:basedOn w:val="VerbatimChar"/>
    <w:rPr>
      <w:color w:val="ba2121"/>
      <w:i/>
      <w:rFonts w:ascii="Arial" w:hAnsi="Arial" w:eastAsia="Arial" w:cs="Arial"/>
    </w:rPr>
  </w:style>
  <w:style w:type="character" w:customStyle="1" w:styleId="AnnotationTok">
    <w:name w:val="AnnotationTok"/>
    <w:basedOn w:val="VerbatimChar"/>
    <w:rPr>
      <w:color w:val="60a0b0"/>
      <w:b/>
      <w:i/>
      <w:rFonts w:ascii="Arial" w:hAnsi="Arial" w:eastAsia="Arial" w:cs="Arial"/>
    </w:rPr>
  </w:style>
  <w:style w:type="character" w:customStyle="1" w:styleId="CommentVarTok">
    <w:name w:val="CommentVarTok"/>
    <w:basedOn w:val="VerbatimChar"/>
    <w:rPr>
      <w:color w:val="60a0b0"/>
      <w:b/>
      <w:i/>
      <w:rFonts w:ascii="Arial" w:hAnsi="Arial" w:eastAsia="Arial" w:cs="Arial"/>
    </w:rPr>
  </w:style>
  <w:style w:type="character" w:customStyle="1" w:styleId="OtherTok">
    <w:name w:val="OtherTok"/>
    <w:basedOn w:val="VerbatimChar"/>
    <w:rPr>
      <w:color w:val="007020"/>
      <w:rFonts w:ascii="Arial" w:hAnsi="Arial" w:eastAsia="Arial" w:cs="Arial"/>
    </w:rPr>
  </w:style>
  <w:style w:type="character" w:customStyle="1" w:styleId="FunctionTok">
    <w:name w:val="FunctionTok"/>
    <w:basedOn w:val="VerbatimChar"/>
    <w:rPr>
      <w:color w:val="06287e"/>
      <w:rFonts w:ascii="Arial" w:hAnsi="Arial" w:eastAsia="Arial" w:cs="Arial"/>
    </w:rPr>
  </w:style>
  <w:style w:type="character" w:customStyle="1" w:styleId="VariableTok">
    <w:name w:val="VariableTok"/>
    <w:basedOn w:val="VerbatimChar"/>
    <w:rPr>
      <w:color w:val="19177c"/>
      <w:rFonts w:ascii="Arial" w:hAnsi="Arial" w:eastAsia="Arial" w:cs="Arial"/>
    </w:rPr>
  </w:style>
  <w:style w:type="character" w:customStyle="1" w:styleId="ControlFlowTok">
    <w:name w:val="ControlFlowTok"/>
    <w:basedOn w:val="VerbatimChar"/>
    <w:rPr>
      <w:color w:val="007020"/>
      <w:b/>
      <w:rFonts w:ascii="Arial" w:hAnsi="Arial" w:eastAsia="Arial" w:cs="Arial"/>
    </w:rPr>
  </w:style>
  <w:style w:type="character" w:customStyle="1" w:styleId="OperatorTok">
    <w:name w:val="OperatorTok"/>
    <w:basedOn w:val="VerbatimChar"/>
    <w:rPr>
      <w:color w:val="666666"/>
      <w:rFonts w:ascii="Arial" w:hAnsi="Arial" w:eastAsia="Arial" w:cs="Arial"/>
    </w:rPr>
  </w:style>
  <w:style w:type="character" w:customStyle="1" w:styleId="BuiltInTok">
    <w:name w:val="BuiltInTok"/>
    <w:basedOn w:val="VerbatimChar"/>
    <w:rPr>
      <w:color w:val="008000"/>
      <w:rFonts w:ascii="Arial" w:hAnsi="Arial" w:eastAsia="Arial" w:cs="Arial"/>
    </w:rPr>
  </w:style>
  <w:style w:type="character" w:customStyle="1" w:styleId="ExtensionTok">
    <w:name w:val="ExtensionTok"/>
    <w:basedOn w:val="VerbatimChar"/>
    <w:rPr>
      <w:rFonts w:ascii="Arial" w:hAnsi="Arial" w:eastAsia="Arial" w:cs="Arial"/>
    </w:rPr>
  </w:style>
  <w:style w:type="character" w:customStyle="1" w:styleId="PreprocessorTok">
    <w:name w:val="PreprocessorTok"/>
    <w:basedOn w:val="VerbatimChar"/>
    <w:rPr>
      <w:color w:val="bc7a00"/>
      <w:rFonts w:ascii="Arial" w:hAnsi="Arial" w:eastAsia="Arial" w:cs="Arial"/>
    </w:rPr>
  </w:style>
  <w:style w:type="character" w:customStyle="1" w:styleId="AttributeTok">
    <w:name w:val="AttributeTok"/>
    <w:basedOn w:val="VerbatimChar"/>
    <w:rPr>
      <w:color w:val="7d9029"/>
      <w:rFonts w:ascii="Arial" w:hAnsi="Arial" w:eastAsia="Arial" w:cs="Arial"/>
    </w:rPr>
  </w:style>
  <w:style w:type="character" w:customStyle="1" w:styleId="RegionMarkerTok">
    <w:name w:val="RegionMarkerTok"/>
    <w:basedOn w:val="VerbatimChar"/>
    <w:rPr>
      <w:rFonts w:ascii="Arial" w:hAnsi="Arial" w:eastAsia="Arial" w:cs="Arial"/>
    </w:rPr>
  </w:style>
  <w:style w:type="character" w:customStyle="1" w:styleId="InformationTok">
    <w:name w:val="InformationTok"/>
    <w:basedOn w:val="VerbatimChar"/>
    <w:rPr>
      <w:color w:val="60a0b0"/>
      <w:b/>
      <w:i/>
      <w:rFonts w:ascii="Arial" w:hAnsi="Arial" w:eastAsia="Arial" w:cs="Arial"/>
    </w:rPr>
  </w:style>
  <w:style w:type="character" w:customStyle="1" w:styleId="WarningTok">
    <w:name w:val="WarningTok"/>
    <w:basedOn w:val="VerbatimChar"/>
    <w:rPr>
      <w:color w:val="60a0b0"/>
      <w:b/>
      <w:i/>
      <w:rFonts w:ascii="Arial" w:hAnsi="Arial" w:eastAsia="Arial" w:cs="Arial"/>
    </w:rPr>
  </w:style>
  <w:style w:type="character" w:customStyle="1" w:styleId="AlertTok">
    <w:name w:val="AlertTok"/>
    <w:basedOn w:val="VerbatimChar"/>
    <w:rPr>
      <w:color w:val="ff0000"/>
      <w:b/>
      <w:rFonts w:ascii="Arial" w:hAnsi="Arial" w:eastAsia="Arial" w:cs="Arial"/>
    </w:rPr>
  </w:style>
  <w:style w:type="character" w:customStyle="1" w:styleId="ErrorTok">
    <w:name w:val="ErrorTok"/>
    <w:basedOn w:val="VerbatimChar"/>
    <w:rPr>
      <w:color w:val="ff0000"/>
      <w:b/>
      <w:rFonts w:ascii="Arial" w:hAnsi="Arial" w:eastAsia="Arial" w:cs="Arial"/>
    </w:rPr>
  </w:style>
  <w:style w:type="character" w:customStyle="1" w:styleId="NormalTok">
    <w:name w:val="NormalTok"/>
    <w:basedOn w:val="VerbatimChar"/>
    <w:rPr>
      <w:rFonts w:ascii="Arial" w:hAnsi="Arial" w:eastAsia="Arial" w:cs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hyperlink" Id="rId107" Target="https://doi.org/10.1016/j.celrep.2019.10.106" TargetMode="External" /><Relationship Type="http://schemas.openxmlformats.org/officeDocument/2006/relationships/hyperlink" Id="rId91" Target="https://doi.org/10.1038/nature11247" TargetMode="External" /><Relationship Type="http://schemas.openxmlformats.org/officeDocument/2006/relationships/hyperlink" Id="rId63" Target="https://doi.org/10.1038/nbt.2798" TargetMode="External" /><Relationship Type="http://schemas.openxmlformats.org/officeDocument/2006/relationships/hyperlink" Id="rId57" Target="https://doi.org/10.1038/nmeth.2688" TargetMode="External" /><Relationship Type="http://schemas.openxmlformats.org/officeDocument/2006/relationships/hyperlink" Id="rId105" Target="https://doi.org/10.1038/nmeth.4401" TargetMode="External" /><Relationship Type="http://schemas.openxmlformats.org/officeDocument/2006/relationships/hyperlink" Id="rId67" Target="https://doi.org/10.1038/s41467-020-18035-1" TargetMode="External" /><Relationship Type="http://schemas.openxmlformats.org/officeDocument/2006/relationships/hyperlink" Id="rId71" Target="https://doi.org/10.1038/s41586-024-08443-4" TargetMode="External" /><Relationship Type="http://schemas.openxmlformats.org/officeDocument/2006/relationships/hyperlink" Id="rId97" Target="https://doi.org/10.1038/s41587-020-0439-x" TargetMode="External" /><Relationship Type="http://schemas.openxmlformats.org/officeDocument/2006/relationships/hyperlink" Id="rId101" Target="https://doi.org/10.1038/s41588-021-00790-6" TargetMode="External" /><Relationship Type="http://schemas.openxmlformats.org/officeDocument/2006/relationships/hyperlink" Id="rId95" Target="https://doi.org/10.1038/s41592-018-0046-7" TargetMode="External" /><Relationship Type="http://schemas.openxmlformats.org/officeDocument/2006/relationships/hyperlink" Id="rId103" Target="https://doi.org/10.1038/s41592-021-01282-5" TargetMode="External" /><Relationship Type="http://schemas.openxmlformats.org/officeDocument/2006/relationships/hyperlink" Id="rId89" Target="https://doi.org/10.1038/s41598-019-45839-z" TargetMode="External" /><Relationship Type="http://schemas.openxmlformats.org/officeDocument/2006/relationships/hyperlink" Id="rId93" Target="https://doi.org/10.1038/sdata.2016.18" TargetMode="External" /><Relationship Type="http://schemas.openxmlformats.org/officeDocument/2006/relationships/hyperlink" Id="rId79" Target="https://doi.org/10.1093/bioinformatics/btab203" TargetMode="External" /><Relationship Type="http://schemas.openxmlformats.org/officeDocument/2006/relationships/hyperlink" Id="rId85" Target="https://doi.org/10.1093/bioinformatics/btr261" TargetMode="External" /><Relationship Type="http://schemas.openxmlformats.org/officeDocument/2006/relationships/hyperlink" Id="rId65" Target="https://doi.org/10.1093/bioinformatics/btw740" TargetMode="External" /><Relationship Type="http://schemas.openxmlformats.org/officeDocument/2006/relationships/hyperlink" Id="rId83" Target="https://doi.org/10.1093/nar/gkaf1209" TargetMode="External" /><Relationship Type="http://schemas.openxmlformats.org/officeDocument/2006/relationships/hyperlink" Id="rId61" Target="https://doi.org/10.1093/nar/gkt850" TargetMode="External" /><Relationship Type="http://schemas.openxmlformats.org/officeDocument/2006/relationships/hyperlink" Id="rId77" Target="https://doi.org/10.1093/nar/gkv416" TargetMode="External" /><Relationship Type="http://schemas.openxmlformats.org/officeDocument/2006/relationships/hyperlink" Id="rId75" Target="https://doi.org/10.1101/2024.12.25.630221" TargetMode="External" /><Relationship Type="http://schemas.openxmlformats.org/officeDocument/2006/relationships/hyperlink" Id="rId59" Target="https://doi.org/10.1101/gr.112623.110" TargetMode="External" /><Relationship Type="http://schemas.openxmlformats.org/officeDocument/2006/relationships/hyperlink" Id="rId81" Target="https://doi.org/10.1186/gb-2007-8-2-r24" TargetMode="External" /><Relationship Type="http://schemas.openxmlformats.org/officeDocument/2006/relationships/hyperlink" Id="rId69" Target="https://doi.org/10.1186/s13059-019-1642-2" TargetMode="External" /><Relationship Type="http://schemas.openxmlformats.org/officeDocument/2006/relationships/hyperlink" Id="rId73" Target="https://doi.org/10.1371/journal.pcbi.1010863" TargetMode="External" /><Relationship Type="http://schemas.openxmlformats.org/officeDocument/2006/relationships/hyperlink" Id="rId87" Target="https://doi.org/10.2202/1544-6115.1027" TargetMode="External" /><Relationship Type="http://schemas.openxmlformats.org/officeDocument/2006/relationships/hyperlink" Id="rId55" Target="https://github.com/oncologylab/fp-tools" TargetMode="External" /><Relationship Type="http://schemas.openxmlformats.org/officeDocument/2006/relationships/hyperlink" Id="rId99" Target="https://www.10xgenomics.com/datasets/5-k-peripheral-blood-mononuclear-cells-pbm-cs-from-a-healthy-donor-next-gem-v-1-1-1-1-standard-2-0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doi.org/10.1016/j.celrep.2019.10.106" TargetMode="External" /><Relationship Type="http://schemas.openxmlformats.org/officeDocument/2006/relationships/hyperlink" Id="rId91" Target="https://doi.org/10.1038/nature11247" TargetMode="External" /><Relationship Type="http://schemas.openxmlformats.org/officeDocument/2006/relationships/hyperlink" Id="rId63" Target="https://doi.org/10.1038/nbt.2798" TargetMode="External" /><Relationship Type="http://schemas.openxmlformats.org/officeDocument/2006/relationships/hyperlink" Id="rId57" Target="https://doi.org/10.1038/nmeth.2688" TargetMode="External" /><Relationship Type="http://schemas.openxmlformats.org/officeDocument/2006/relationships/hyperlink" Id="rId105" Target="https://doi.org/10.1038/nmeth.4401" TargetMode="External" /><Relationship Type="http://schemas.openxmlformats.org/officeDocument/2006/relationships/hyperlink" Id="rId67" Target="https://doi.org/10.1038/s41467-020-18035-1" TargetMode="External" /><Relationship Type="http://schemas.openxmlformats.org/officeDocument/2006/relationships/hyperlink" Id="rId71" Target="https://doi.org/10.1038/s41586-024-08443-4" TargetMode="External" /><Relationship Type="http://schemas.openxmlformats.org/officeDocument/2006/relationships/hyperlink" Id="rId97" Target="https://doi.org/10.1038/s41587-020-0439-x" TargetMode="External" /><Relationship Type="http://schemas.openxmlformats.org/officeDocument/2006/relationships/hyperlink" Id="rId101" Target="https://doi.org/10.1038/s41588-021-00790-6" TargetMode="External" /><Relationship Type="http://schemas.openxmlformats.org/officeDocument/2006/relationships/hyperlink" Id="rId95" Target="https://doi.org/10.1038/s41592-018-0046-7" TargetMode="External" /><Relationship Type="http://schemas.openxmlformats.org/officeDocument/2006/relationships/hyperlink" Id="rId103" Target="https://doi.org/10.1038/s41592-021-01282-5" TargetMode="External" /><Relationship Type="http://schemas.openxmlformats.org/officeDocument/2006/relationships/hyperlink" Id="rId89" Target="https://doi.org/10.1038/s41598-019-45839-z" TargetMode="External" /><Relationship Type="http://schemas.openxmlformats.org/officeDocument/2006/relationships/hyperlink" Id="rId93" Target="https://doi.org/10.1038/sdata.2016.18" TargetMode="External" /><Relationship Type="http://schemas.openxmlformats.org/officeDocument/2006/relationships/hyperlink" Id="rId79" Target="https://doi.org/10.1093/bioinformatics/btab203" TargetMode="External" /><Relationship Type="http://schemas.openxmlformats.org/officeDocument/2006/relationships/hyperlink" Id="rId85" Target="https://doi.org/10.1093/bioinformatics/btr261" TargetMode="External" /><Relationship Type="http://schemas.openxmlformats.org/officeDocument/2006/relationships/hyperlink" Id="rId65" Target="https://doi.org/10.1093/bioinformatics/btw740" TargetMode="External" /><Relationship Type="http://schemas.openxmlformats.org/officeDocument/2006/relationships/hyperlink" Id="rId83" Target="https://doi.org/10.1093/nar/gkaf1209" TargetMode="External" /><Relationship Type="http://schemas.openxmlformats.org/officeDocument/2006/relationships/hyperlink" Id="rId61" Target="https://doi.org/10.1093/nar/gkt850" TargetMode="External" /><Relationship Type="http://schemas.openxmlformats.org/officeDocument/2006/relationships/hyperlink" Id="rId77" Target="https://doi.org/10.1093/nar/gkv416" TargetMode="External" /><Relationship Type="http://schemas.openxmlformats.org/officeDocument/2006/relationships/hyperlink" Id="rId75" Target="https://doi.org/10.1101/2024.12.25.630221" TargetMode="External" /><Relationship Type="http://schemas.openxmlformats.org/officeDocument/2006/relationships/hyperlink" Id="rId59" Target="https://doi.org/10.1101/gr.112623.110" TargetMode="External" /><Relationship Type="http://schemas.openxmlformats.org/officeDocument/2006/relationships/hyperlink" Id="rId81" Target="https://doi.org/10.1186/gb-2007-8-2-r24" TargetMode="External" /><Relationship Type="http://schemas.openxmlformats.org/officeDocument/2006/relationships/hyperlink" Id="rId69" Target="https://doi.org/10.1186/s13059-019-1642-2" TargetMode="External" /><Relationship Type="http://schemas.openxmlformats.org/officeDocument/2006/relationships/hyperlink" Id="rId73" Target="https://doi.org/10.1371/journal.pcbi.1010863" TargetMode="External" /><Relationship Type="http://schemas.openxmlformats.org/officeDocument/2006/relationships/hyperlink" Id="rId87" Target="https://doi.org/10.2202/1544-6115.1027" TargetMode="External" /><Relationship Type="http://schemas.openxmlformats.org/officeDocument/2006/relationships/hyperlink" Id="rId55" Target="https://github.com/oncologylab/fp-tools" TargetMode="External" /><Relationship Type="http://schemas.openxmlformats.org/officeDocument/2006/relationships/hyperlink" Id="rId99" Target="https://www.10xgenomics.com/datasets/5-k-peripheral-blood-mononuclear-cells-pbm-cs-from-a-healthy-donor-next-gem-v-1-1-1-1-standard-2-0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fp-tools: A Reproducible Platform for ATAC-seq Footprinting and Regulatory Motif Analysis</dc:title>
  <dc:creator>Yaoxiang Li and Chunling Yi Department of Oncology, Lombardi Comprehensive Cancer Center, Georgetown University Medical Center, Georgetown University, Washington, DC, USA; yl814@georgetown.edu (Y.L.); cy232@georgetown.edu (C.Y.)</dc:creator>
  <cp:keywords/>
  <dcterms:created xsi:type="dcterms:W3CDTF">2026-06-23T04:44:53Z</dcterms:created>
  <dcterms:modified xsi:type="dcterms:W3CDTF">2026-06-23T04:44:53Z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ATAC-seq footprinting enables near-base-resolution inference of transcription-factor (TF) occupancy across the genome. However, the field lacks a computationally efficient, user-friendly, and integrated platform that accepts both bulk and single-cell ATAC-seq data, supports both de novo motif discovery and matching to public motif databases, and generates interactive and publication-ready visual outputs. Here, we present fp-tools, a Python package that builds on the widely used ATAC-seq footprinting framework TOBIAS. We substantially improve computational efficiency across key steps, including Tn5 bias correction, footprint calling, and motif matching. In addition, fp-tools introduces de novo motif discovery, replicate-aware differential footprinting, and aggregation analysis, features not provided as native TOBIAS workflows. We further streamline a single-cell ATAC-seq footprinting workflow, provide interactive visualization of analysis results, and implement a graphical user interface (GUI) that enables code-free execution of all package commands. Using public bulk ATAC-seq replicates and single-cell datasets, we demonstrate that fp-tools quantitatively recovers cell-type-specific TF-binding patterns and identifies de novo binding motifs that are not captured by existing public motif databases. Together, fp-tools provides an efficient, accessible, and comprehensive platform for TF footprint analysis across bulk and single-cell ATAC-seq studies.</vt:lpwstr>
  </property>
  <property fmtid="{D5CDD505-2E9C-101B-9397-08002B2CF9AE}" pid="3" name="bibliography">
    <vt:lpwstr>references.bib</vt:lpwstr>
  </property>
  <property fmtid="{D5CDD505-2E9C-101B-9397-08002B2CF9AE}" pid="4" name="csl">
    <vt:lpwstr>/usr/share/citation-style-language/styles/vancouver.csl</vt:lpwstr>
  </property>
  <property fmtid="{D5CDD505-2E9C-101B-9397-08002B2CF9AE}" pid="5" name="date">
    <vt:lpwstr/>
  </property>
  <property fmtid="{D5CDD505-2E9C-101B-9397-08002B2CF9AE}" pid="6" name="link-citations">
    <vt:lpwstr>True</vt:lpwstr>
  </property>
</Properties>
</file>