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df" ContentType="application/pdf"/>
  <Override PartName="/word/media/rId24.pdf" ContentType="application/pdf"/>
  <Override PartName="/word/media/rId27.png" ContentType="image/png"/>
  <Override PartName="/word/media/rId32.pdf" ContentType="application/pdf"/>
  <Override PartName="/word/media/rId36.pdf" ContentType="application/pdf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fp-tools: A Reproducible Platform for ATAC-seq Footprinting and</w:t>
      </w:r>
      <w:r>
        <w:t xml:space="preserve"> </w:t>
      </w:r>
      <w:r>
        <w:t xml:space="preserve">Regulatory Motif Analysis</w:t>
      </w:r>
    </w:p>
    <w:p>
      <w:pPr>
        <w:pStyle w:val="Author"/>
      </w:pPr>
      <w:r>
        <w:t xml:space="preserve">Yaoxiang Li and Chunling Yi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ATAC-seq footprinting enables near-base-resolution inference of</w:t>
      </w:r>
      <w:r>
        <w:t xml:space="preserve"> </w:t>
      </w:r>
      <w:r>
        <w:t xml:space="preserve">transcription-factor (TF) occupancy across the genome. However, the field lacks a</w:t>
      </w:r>
      <w:r>
        <w:t xml:space="preserve"> </w:t>
      </w:r>
      <w:r>
        <w:t xml:space="preserve">computationally efficient, user-friendly, and integrated platform that accepts</w:t>
      </w:r>
      <w:r>
        <w:t xml:space="preserve"> </w:t>
      </w:r>
      <w:r>
        <w:t xml:space="preserve">both bulk and single-cell ATAC-seq data, supports both de novo motif discovery</w:t>
      </w:r>
      <w:r>
        <w:t xml:space="preserve"> </w:t>
      </w:r>
      <w:r>
        <w:t xml:space="preserve">and matching to public motif databases, and generates interactive and</w:t>
      </w:r>
      <w:r>
        <w:t xml:space="preserve"> </w:t>
      </w:r>
      <w:r>
        <w:t xml:space="preserve">publication-ready visual outputs. Here, we 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</w:t>
      </w:r>
      <w:r>
        <w:t xml:space="preserve"> </w:t>
      </w:r>
      <w:r>
        <w:t xml:space="preserve">package that builds on the widely used ATAC-seq footprinting framework TOBIAS.</w:t>
      </w:r>
      <w:r>
        <w:t xml:space="preserve"> </w:t>
      </w:r>
      <w:r>
        <w:t xml:space="preserve">We substantially improve computational efficiency across key steps, including Tn5</w:t>
      </w:r>
      <w:r>
        <w:t xml:space="preserve"> </w:t>
      </w:r>
      <w:r>
        <w:t xml:space="preserve">bias correction, footprint calling, and motif matching. In 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 de novo motif discovery, replicate-aware</w:t>
      </w:r>
      <w:r>
        <w:t xml:space="preserve"> </w:t>
      </w:r>
      <w:r>
        <w:t xml:space="preserve">differential footprinting, and aggregation analysis, features not provided as</w:t>
      </w:r>
      <w:r>
        <w:t xml:space="preserve"> </w:t>
      </w:r>
      <w:r>
        <w:t xml:space="preserve">native TOBIAS workflows. We further streamline a single-cell ATAC-seq</w:t>
      </w:r>
      <w:r>
        <w:t xml:space="preserve"> </w:t>
      </w:r>
      <w:r>
        <w:t xml:space="preserve">footprinting workflow, provide interactive visualization of analysis results, and</w:t>
      </w:r>
      <w:r>
        <w:t xml:space="preserve"> </w:t>
      </w:r>
      <w:r>
        <w:t xml:space="preserve">implement a graphical user interface (GUI) that enables code-free execution of</w:t>
      </w:r>
      <w:r>
        <w:t xml:space="preserve"> </w:t>
      </w:r>
      <w:r>
        <w:t xml:space="preserve">all package commands. Using public bulk ATAC-seq replicates and single-cell</w:t>
      </w:r>
      <w:r>
        <w:t xml:space="preserve"> </w:t>
      </w:r>
      <w:r>
        <w:t xml:space="preserve">datasets, we demonstrate 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 recovers</w:t>
      </w:r>
      <w:r>
        <w:t xml:space="preserve"> </w:t>
      </w:r>
      <w:r>
        <w:t xml:space="preserve">cell-type-specific TF-binding patterns and identifies de novo binding motifs that</w:t>
      </w:r>
      <w:r>
        <w:t xml:space="preserve"> </w:t>
      </w:r>
      <w:r>
        <w:t xml:space="preserve">are not captured by existing public motif databases. 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an efficient, accessible, and comprehensive platform for TF footprint</w:t>
      </w:r>
      <w:r>
        <w:t xml:space="preserve"> </w:t>
      </w:r>
      <w:r>
        <w:t xml:space="preserve">analysis across bulk and single-cell ATAC-seq studies.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(Buenrostro et al. 2013)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“footprints,”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(Pique-Regi et al. 2011; Piper et al. 2013; Sherwood et al. 2014; Quach and Furey 2017)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(Bentsen et al. 2020)</w:t>
      </w:r>
      <w:r>
        <w:t xml:space="preserve"> </w:t>
      </w:r>
      <w:r>
        <w:t xml:space="preserve">and HINT-ATAC </w:t>
      </w:r>
      <w:r>
        <w:t xml:space="preserve">(Li et al. 2019)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(Hu et al. 2025)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(Cazares et al. 2023)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</w:t>
      </w:r>
      <w:r>
        <w:t xml:space="preserve">Pampari et al.</w:t>
      </w:r>
      <w:r>
        <w:t xml:space="preserve"> </w:t>
      </w:r>
      <w:r>
        <w:t xml:space="preserve">2024)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(Bailey et al. 2015; Bailey 2021)</w:t>
      </w:r>
      <w:r>
        <w:t xml:space="preserve"> </w:t>
      </w:r>
      <w:r>
        <w:t xml:space="preserve">and Tomtom </w:t>
      </w:r>
      <w:r>
        <w:t xml:space="preserve">(Gupta et al. 2007)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(Ovek Baydar et al. 2026)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gap for applied users. A complete analysis often</w:t>
      </w:r>
      <w:r>
        <w:t xml:space="preserve"> </w:t>
      </w:r>
      <w:r>
        <w:t xml:space="preserve">requires bulk or single-cell ATAC-seq input handling, Tn5 sequence-bias</w:t>
      </w:r>
      <w:r>
        <w:t xml:space="preserve"> </w:t>
      </w:r>
      <w:r>
        <w:t xml:space="preserve">correction, footprint calling, motif matching against public databases, optional</w:t>
      </w:r>
      <w:r>
        <w:t xml:space="preserve"> </w:t>
      </w:r>
      <w:r>
        <w:t xml:space="preserve">de novo motif discovery, differential footprint analysis, aggregate</w:t>
      </w:r>
      <w:r>
        <w:t xml:space="preserve"> </w:t>
      </w:r>
      <w:r>
        <w:t xml:space="preserve">visualization, and publication-ready reporting. Single-cell ATAC-seq adds another</w:t>
      </w:r>
      <w:r>
        <w:t xml:space="preserve"> </w:t>
      </w:r>
      <w:r>
        <w:t xml:space="preserve">layer of complexity because sparse per-cell fragments must usually be aggregated</w:t>
      </w:r>
      <w:r>
        <w:t xml:space="preserve"> </w:t>
      </w:r>
      <w:r>
        <w:t xml:space="preserve">into interpretable cell-type or neighborhood-level signals before conventional</w:t>
      </w:r>
      <w:r>
        <w:t xml:space="preserve"> </w:t>
      </w:r>
      <w:r>
        <w:t xml:space="preserve">footprinting can be applied. For many biology laboratories, the limiting step is</w:t>
      </w:r>
      <w:r>
        <w:t xml:space="preserve"> </w:t>
      </w:r>
      <w:r>
        <w:t xml:space="preserve">not the absence of any individual algorithm, but the lack of a single efficient</w:t>
      </w:r>
      <w:r>
        <w:t xml:space="preserve"> </w:t>
      </w:r>
      <w:r>
        <w:t xml:space="preserve">and accessible platform that connects these steps while preserving the analysis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fill this workflow gap.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builds on the widely used TOBIAS ATAC-seq footprinting framework while improving</w:t>
      </w:r>
      <w:r>
        <w:t xml:space="preserve"> </w:t>
      </w:r>
      <w:r>
        <w:t xml:space="preserve">the surrounding platform for speed, accessibility, and end-to-end analysis. The</w:t>
      </w:r>
      <w:r>
        <w:t xml:space="preserve"> </w:t>
      </w:r>
      <w:r>
        <w:t xml:space="preserve">package keeps the interpretable motif-centered footprint model familiar to TOBIAS</w:t>
      </w:r>
      <w:r>
        <w:t xml:space="preserve"> </w:t>
      </w:r>
      <w:r>
        <w:t xml:space="preserve">users, but implements faster core operations for Tn5 bias correction, footprint</w:t>
      </w:r>
      <w:r>
        <w:t xml:space="preserve"> </w:t>
      </w:r>
      <w:r>
        <w:t xml:space="preserve">calling, and motif matching, and adds workflow components that are not provided</w:t>
      </w:r>
      <w:r>
        <w:t xml:space="preserve"> </w:t>
      </w:r>
      <w:r>
        <w:t xml:space="preserve">as native TOBIAS workflows. These include de novo motif-discovery preparation and</w:t>
      </w:r>
      <w:r>
        <w:t xml:space="preserve"> </w:t>
      </w:r>
      <w:r>
        <w:t xml:space="preserve">matching, replicate-aware differential footprint reports, motif-centered</w:t>
      </w:r>
      <w:r>
        <w:t xml:space="preserve"> </w:t>
      </w:r>
      <w:r>
        <w:t xml:space="preserve">aggregation plots, pseudobulk single-cell ATAC-seq support, interactive HTML</w:t>
      </w:r>
      <w:r>
        <w:t xml:space="preserve"> </w:t>
      </w:r>
      <w:r>
        <w:t xml:space="preserve">reports,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using</w:t>
      </w:r>
      <w:r>
        <w:t xml:space="preserve"> </w:t>
      </w:r>
      <w:r>
        <w:t xml:space="preserve">public bulk ATAC-seq replicates and public single-cell ATAC-seq datasets. The</w:t>
      </w:r>
      <w:r>
        <w:t xml:space="preserve"> </w:t>
      </w:r>
      <w:r>
        <w:t xml:space="preserve">examples test whether the platform produces reproducible corrected signals,</w:t>
      </w:r>
      <w:r>
        <w:t xml:space="preserve"> </w:t>
      </w:r>
      <w:r>
        <w:t xml:space="preserve">footprint scores, differential motif reports, de novo motif summaries, and</w:t>
      </w:r>
      <w:r>
        <w:t xml:space="preserve"> </w:t>
      </w:r>
      <w:r>
        <w:t xml:space="preserve">cell-type-specific pseudobulk footprint signatures. We position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as an integrated and user-accessible extension of established ATAC-seq</w:t>
      </w:r>
      <w:r>
        <w:t xml:space="preserve"> </w:t>
      </w:r>
      <w:r>
        <w:t xml:space="preserve">footprinting practice: it does not replace specialized single-cell, deep-learning,</w:t>
      </w:r>
      <w:r>
        <w:t xml:space="preserve"> </w:t>
      </w:r>
      <w:r>
        <w:t xml:space="preserve">or motif-discovery tools, but connects common TF-footprinting tasks into a single</w:t>
      </w:r>
      <w:r>
        <w:t xml:space="preserve"> </w:t>
      </w:r>
      <w:r>
        <w:t xml:space="preserve">auditable workflow that can be run from the command line, batch YAML files, or</w:t>
      </w:r>
      <w:r>
        <w:t xml:space="preserve"> </w:t>
      </w:r>
      <w:r>
        <w:t xml:space="preserve">the GUI.</w:t>
      </w:r>
    </w:p>
    <w:bookmarkEnd w:id="9"/>
    <w:bookmarkStart w:id="17" w:name="materials-and-methods"/>
    <w:p>
      <w:pPr>
        <w:pStyle w:val="Heading1"/>
      </w:pPr>
      <w:r>
        <w:t xml:space="preserve">Materials and Methods</w:t>
      </w:r>
    </w:p>
    <w:bookmarkStart w:id="10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implements performance-critical signal operations with Cython-backed routines. The</w:t>
      </w:r>
      <w:r>
        <w:t xml:space="preserve"> </w:t>
      </w:r>
      <w:r>
        <w:t xml:space="preserve">workflow has four method layers: Tn5 sequence-bias correction, footprint</w:t>
      </w:r>
      <w:r>
        <w:t xml:space="preserve"> </w:t>
      </w:r>
      <w:r>
        <w:t xml:space="preserve">scoring over corrected signal, motif-anchored differential TF-binding analysis,</w:t>
      </w:r>
      <w:r>
        <w:t xml:space="preserve"> </w:t>
      </w:r>
      <w:r>
        <w:t xml:space="preserve">and aggregate visualization around TFBS or region sets. These layers share common</w:t>
      </w:r>
      <w:r>
        <w:t xml:space="preserve"> </w:t>
      </w:r>
      <w:r>
        <w:t xml:space="preserve">region, signal, motif, and sample-label conventions so intermediate files can be</w:t>
      </w:r>
      <w:r>
        <w:t xml:space="preserve"> </w:t>
      </w:r>
      <w:r>
        <w:t xml:space="preserve">passed through a complete analysis without format-specific glue code. YAML</w:t>
      </w:r>
      <w:r>
        <w:t xml:space="preserve"> </w:t>
      </w:r>
      <w:r>
        <w:t xml:space="preserve">configuration files provide a reproducible way to save and rerun the same analysis</w:t>
      </w:r>
      <w:r>
        <w:t xml:space="preserve"> </w:t>
      </w:r>
      <w:r>
        <w:t xml:space="preserve">without changing the 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(Bentsen et al. 2020)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deliberately preserves the familiar</w:t>
      </w:r>
      <w:r>
        <w:t xml:space="preserve"> </w:t>
      </w:r>
      <w:r>
        <w:t xml:space="preserve">bulk ATAC footprinting interpretation: the biological unit is a corrected</w:t>
      </w:r>
      <w:r>
        <w:t xml:space="preserve"> </w:t>
      </w:r>
      <w:r>
        <w:t xml:space="preserve">center-versus-flank cut-site contrast at motif or candidate sites, while the</w:t>
      </w:r>
      <w:r>
        <w:t xml:space="preserve"> </w:t>
      </w:r>
      <w:r>
        <w:t xml:space="preserve">software layer adds consistent command names, manifests, reusable configuration,</w:t>
      </w:r>
      <w:r>
        <w:t xml:space="preserve"> </w:t>
      </w:r>
      <w:r>
        <w:t xml:space="preserve">replicate summaries, and report generation around that signal. For footprint</w:t>
      </w:r>
      <w:r>
        <w:t xml:space="preserve"> </w:t>
      </w:r>
      <w:r>
        <w:t xml:space="preserve">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</w:t>
      </w:r>
      <w:r>
        <w:t xml:space="preserve"> </w:t>
      </w:r>
      <w:r>
        <w:t xml:space="preserve">cut-site signal around candidate position</w:t>
      </w:r>
      <w:r>
        <w:t xml:space="preserve"> </w:t>
      </w:r>
      <m:oMath>
        <m:r>
          <m:t>p</m:t>
        </m:r>
      </m:oMath>
      <w:r>
        <w:t xml:space="preserve">. The default footprint score is a</w:t>
      </w:r>
      <w:r>
        <w:t xml:space="preserve"> </w:t>
      </w:r>
      <w:r>
        <w:t xml:space="preserve">center-versus-flank 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R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10"/>
    <w:bookmarkStart w:id="11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workflow begins from candidate footprint intervals,</w:t>
      </w:r>
      <w:r>
        <w:t xml:space="preserve"> </w:t>
      </w:r>
      <w:r>
        <w:t xml:space="preserve">which may be produced by footprint calling or supplied by the user.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the</w:t>
      </w:r>
      <w:r>
        <w:t xml:space="preserve"> </w:t>
      </w:r>
      <w:r>
        <w:t xml:space="preserve">workflow 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workflow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(Bailey et al. 2015; Bailey 2011, 2021)</w:t>
      </w:r>
      <w:r>
        <w:t xml:space="preserve"> </w:t>
      </w:r>
      <w:r>
        <w:t xml:space="preserve">or optional Tomtom </w:t>
      </w:r>
      <w:r>
        <w:t xml:space="preserve">(Gupta et al. 2007)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and versatile motif discovery from</w:t>
      </w:r>
      <w:r>
        <w:t xml:space="preserve"> </w:t>
      </w:r>
      <w:r>
        <w:t xml:space="preserve">enriched sequence sets </w:t>
      </w:r>
      <w:r>
        <w:t xml:space="preserve">(Bailey 2021)</w:t>
      </w:r>
      <w:r>
        <w:t xml:space="preserve">.</w:t>
      </w:r>
      <w:r>
        <w:t xml:space="preserve"> </w:t>
      </w:r>
      <w:r>
        <w:t xml:space="preserve">The same entry point can be used in two modes. In de novo-only mode, discovered</w:t>
      </w:r>
      <w:r>
        <w:t xml:space="preserve"> </w:t>
      </w:r>
      <w:r>
        <w:t xml:space="preserve">motifs are reported as an independent motif set. In database-plus-de-novo mode,</w:t>
      </w:r>
      <w:r>
        <w:t xml:space="preserve"> </w:t>
      </w:r>
      <w:r>
        <w:t xml:space="preserve">discovered motifs are matched to a known database such as JASPAR</w:t>
      </w:r>
      <w:r>
        <w:t xml:space="preserve"> </w:t>
      </w:r>
      <w:r>
        <w:t xml:space="preserve">2026 </w:t>
      </w:r>
      <w:r>
        <w:t xml:space="preserve">(Ovek Baydar et al. 2026)</w:t>
      </w:r>
      <w:r>
        <w:t xml:space="preserve"> </w:t>
      </w:r>
      <w:r>
        <w:t xml:space="preserve">and can be appended to the known motif set for downstream</w:t>
      </w:r>
      <w:r>
        <w:t xml:space="preserve"> </w:t>
      </w:r>
      <w:r>
        <w:t xml:space="preserve">differential footprint analysis. This extends the standard TOBIAS-style motif</w:t>
      </w:r>
      <w:r>
        <w:t xml:space="preserve"> </w:t>
      </w:r>
      <w:r>
        <w:t xml:space="preserve">analysis path, which relies on supplied motif collections, by making candidate</w:t>
      </w:r>
      <w:r>
        <w:t xml:space="preserve"> </w:t>
      </w:r>
      <w:r>
        <w:t xml:space="preserve">FASTA export, motif discovery, motif comparison, and database augmentation a</w:t>
      </w:r>
      <w:r>
        <w:t xml:space="preserve"> </w:t>
      </w:r>
      <w:r>
        <w:t xml:space="preserve">reproducible companion workflow rather than an external manual step.</w:t>
      </w:r>
    </w:p>
    <w:bookmarkEnd w:id="11"/>
    <w:bookmarkStart w:id="12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workflow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user-defined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can be used directly by the same motif-centered aggregate plotting workflow</w:t>
      </w:r>
      <w:r>
        <w:t xml:space="preserve"> </w:t>
      </w:r>
      <w:r>
        <w:t xml:space="preserve">used for bulk ATAC-seq data.</w:t>
      </w:r>
      <w:r>
        <w:t xml:space="preserve"> </w:t>
      </w:r>
      <w:r>
        <w:t xml:space="preserve">Thus, users can run a TOBIAS-like bulk footprinting analysis on single-cell data</w:t>
      </w:r>
      <w:r>
        <w:t xml:space="preserve"> </w:t>
      </w:r>
      <w:r>
        <w:t xml:space="preserve">without first constructing each pseudobulk sample outside the footprinting</w:t>
      </w:r>
      <w:r>
        <w:t xml:space="preserve"> </w:t>
      </w:r>
      <w:r>
        <w:t xml:space="preserve">workflow. When requested, the full route writes pseudo-paired BAMs from grouped</w:t>
      </w:r>
      <w:r>
        <w:t xml:space="preserve"> </w:t>
      </w:r>
      <w:r>
        <w:t xml:space="preserve">fragments and then runs correction, scoring, motif-aware comparison, and plotting</w:t>
      </w:r>
      <w:r>
        <w:t xml:space="preserve"> </w:t>
      </w:r>
      <w:r>
        <w:t xml:space="preserve">with the same conventions used for bulk ATAC-seq.</w:t>
      </w:r>
    </w:p>
    <w:p>
      <w:pPr>
        <w:pStyle w:val="BodyText"/>
      </w:pPr>
      <w:r>
        <w:t xml:space="preserve">For visualization of cell-level marker footprint signatures,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supports a K-nearest-neighbor (KNN) smoothing layer over single-cell</w:t>
      </w:r>
      <w:r>
        <w:t xml:space="preserve"> </w:t>
      </w:r>
      <w:r>
        <w:t xml:space="preserve">fragments. For each marker TF, exact motif centers are scanned inside the selected</w:t>
      </w:r>
      <w:r>
        <w:t xml:space="preserve"> </w:t>
      </w:r>
      <w:r>
        <w:t xml:space="preserve">accessible-bin 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</w:t>
      </w:r>
      <w:r>
        <w:t xml:space="preserve"> </w:t>
      </w:r>
      <w:r>
        <w:t xml:space="preserve">around those motif centers for each barcode. Each cell is then assigned a local</w:t>
      </w:r>
      <w:r>
        <w:t xml:space="preserve"> </w:t>
      </w:r>
      <w:r>
        <w:t xml:space="preserve">neighborhood profile by summing its 75 nearest neighbors in the single-cell</w:t>
      </w:r>
      <w:r>
        <w:t xml:space="preserve"> </w:t>
      </w:r>
      <w:r>
        <w:t xml:space="preserve">embedding, and the same flank-minus-center footprint-signature score is computed</w:t>
      </w:r>
      <w:r>
        <w:t xml:space="preserve"> </w:t>
      </w:r>
      <w:r>
        <w:t xml:space="preserve">from that neighborhood profile. Scores are oriented so that the expected marker</w:t>
      </w:r>
      <w:r>
        <w:t xml:space="preserve"> </w:t>
      </w:r>
      <w:r>
        <w:t xml:space="preserve">cell type has the positive direction and then standardized per TF for UMAP</w:t>
      </w:r>
      <w:r>
        <w:t xml:space="preserve"> </w:t>
      </w:r>
      <w:r>
        <w:t xml:space="preserve">display. These KNN-smoothed signatures are used only as per-cell visualization</w:t>
      </w:r>
      <w:r>
        <w:t xml:space="preserve"> </w:t>
      </w:r>
      <w:r>
        <w:t xml:space="preserve">scores; formal corrected footprint inference remains based on the grouped</w:t>
      </w:r>
      <w:r>
        <w:t xml:space="preserve"> </w:t>
      </w:r>
      <w:r>
        <w:t xml:space="preserve">pseudobulk ATAC-correction and footprint-scoring workflow.</w:t>
      </w:r>
    </w:p>
    <w:bookmarkEnd w:id="12"/>
    <w:bookmarkStart w:id="13" w:name="X5cb416489342ed9f140f49d69bd4d97ace7b027"/>
    <w:p>
      <w:pPr>
        <w:pStyle w:val="Heading2"/>
      </w:pPr>
      <w:r>
        <w:t xml:space="preserve">Replicate-aware Differential Footprint Analysis and Quantile Normalization</w:t>
      </w:r>
    </w:p>
    <w:p>
      <w:pPr>
        <w:pStyle w:val="FirstParagraph"/>
      </w:pPr>
      <w:r>
        <w:t xml:space="preserve">Replicate-aware analysis is integrated directly into the differential footprint comparison workflow.</w:t>
      </w:r>
      <w:r>
        <w:t xml:space="preserve"> </w:t>
      </w:r>
      <w:r>
        <w:t xml:space="preserve">The differential comparison retains conventional motif-centered footprint-score</w:t>
      </w:r>
      <w:r>
        <w:t xml:space="preserve"> </w:t>
      </w:r>
      <w:r>
        <w:t xml:space="preserve">logic while adding repeated condition labels, replicate-level summaries, optional</w:t>
      </w:r>
      <w:r>
        <w:t xml:space="preserve"> </w:t>
      </w:r>
      <w:r>
        <w:t xml:space="preserve">quantile normalization, and two complementary testing views. Repeated condition</w:t>
      </w:r>
      <w:r>
        <w:t xml:space="preserve"> </w:t>
      </w:r>
      <w:r>
        <w:t xml:space="preserve">names, for example</w:t>
      </w:r>
      <w:r>
        <w:t xml:space="preserve"> </w:t>
      </w:r>
      <w:r>
        <w:rPr>
          <w:rStyle w:val="VerbatimChar"/>
        </w:rPr>
        <w:t xml:space="preserve">--cond-names Bcell Bcell Tcell Tcell</w:t>
      </w:r>
      <w:r>
        <w:t xml:space="preserve">, define</w:t>
      </w:r>
      <w:r>
        <w:t xml:space="preserve"> </w:t>
      </w:r>
      <w:r>
        <w:t xml:space="preserve">biological replicate groups while preserving the original differential-footprint</w:t>
      </w:r>
      <w:r>
        <w:t xml:space="preserve"> </w:t>
      </w:r>
      <w:r>
        <w:t xml:space="preserve">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 at site or background</w:t>
      </w:r>
      <w:r>
        <w:t xml:space="preserve"> </w:t>
      </w:r>
      <w:r>
        <w:t xml:space="preserve">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default distribution-comparison view is used directly by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. It supports either one sample per group or multiple</w:t>
      </w:r>
      <w:r>
        <w:t xml:space="preserve"> </w:t>
      </w:r>
      <w:r>
        <w:t xml:space="preserve">samples per group. When repeated condition names are supplied, replicate scores</w:t>
      </w:r>
      <w:r>
        <w:t xml:space="preserve"> </w:t>
      </w:r>
      <w:r>
        <w:t xml:space="preserve">are summarized into condition-level means and SDs before motif-level comparisons</w:t>
      </w:r>
      <w:r>
        <w:t xml:space="preserve"> </w:t>
      </w:r>
      <w:r>
        <w:t xml:space="preserve">are reported; when only one sample is present per group, the same motif and</w:t>
      </w:r>
      <w:r>
        <w:t xml:space="preserve"> </w:t>
      </w:r>
      <w:r>
        <w:t xml:space="preserve">background-distribution comparison is still available, but replicate-derived SD</w:t>
      </w:r>
      <w:r>
        <w:t xml:space="preserve"> </w:t>
      </w:r>
      <w:r>
        <w:t xml:space="preserve">and SE summaries are not interpreted as replicate uncertainty. A second</w:t>
      </w:r>
      <w:r>
        <w:t xml:space="preserve"> </w:t>
      </w:r>
      <w:r>
        <w:t xml:space="preserve">empirical-Bayes replicate-matrix view is available when per-replicate motif-score</w:t>
      </w:r>
      <w:r>
        <w:t xml:space="preserve"> </w:t>
      </w:r>
      <w:r>
        <w:t xml:space="preserve">matrices are built for a comparison. This view is limma-like rather than a direct</w:t>
      </w:r>
      <w:r>
        <w:t xml:space="preserve"> </w:t>
      </w:r>
      <w:r>
        <w:t xml:space="preserve">dependency on the R</w:t>
      </w:r>
      <w:r>
        <w:t xml:space="preserve"> </w:t>
      </w:r>
      <w:r>
        <w:rPr>
          <w:rStyle w:val="VerbatimChar"/>
        </w:rPr>
        <w:t xml:space="preserve">limma</w:t>
      </w:r>
      <w:r>
        <w:t xml:space="preserve"> </w:t>
      </w:r>
      <w:r>
        <w:t xml:space="preserve">package: motif scores are transformed as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1000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condition effects are estimated from replicate groups, and</w:t>
      </w:r>
      <w:r>
        <w:t xml:space="preserve"> </w:t>
      </w:r>
      <w:r>
        <w:t xml:space="preserve">the per-motif pooled variance is moderated toward the median variance across</w:t>
      </w:r>
      <w:r>
        <w:t xml:space="preserve"> </w:t>
      </w:r>
      <w:r>
        <w:t xml:space="preserve">motifs before computing a moderated t-statistic and Benjamini–Hochberg-adjusted</w:t>
      </w:r>
      <w:r>
        <w:t xml:space="preserve"> </w:t>
      </w:r>
      <w:r>
        <w:t xml:space="preserve">q-values. This empirical-Bayes view is used as a replicate-aware audit and</w:t>
      </w:r>
      <w:r>
        <w:t xml:space="preserve"> </w:t>
      </w:r>
      <w:r>
        <w:t xml:space="preserve">alternative reporting view for replicate-supported comparisons, while the native</w:t>
      </w:r>
      <w:r>
        <w:t xml:space="preserve"> </w:t>
      </w:r>
      <w:r>
        <w:t xml:space="preserve">distribution-comparison columns are preserved for traceability.</w:t>
      </w:r>
      <w:r>
        <w:t xml:space="preserve"> </w:t>
      </w:r>
      <w:r>
        <w:t xml:space="preserve">Relative to a conventional TOBIAS-style two-condition report, the added</w:t>
      </w:r>
      <w:r>
        <w:t xml:space="preserve"> </w:t>
      </w:r>
      <w:r>
        <w:t xml:space="preserve">workflow-level contribution is explicit handling of repeated biological condition</w:t>
      </w:r>
      <w:r>
        <w:t xml:space="preserve"> </w:t>
      </w:r>
      <w:r>
        <w:t xml:space="preserve">labels, side-by-side single-sample and replicate-supported comparison modes, and</w:t>
      </w:r>
      <w:r>
        <w:t xml:space="preserve"> </w:t>
      </w:r>
      <w:r>
        <w:t xml:space="preserve">separate statistical and display-priority columns in the exported tables.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--normalization sample-quantile</w:t>
      </w:r>
      <w:r>
        <w:t xml:space="preserve">, each replicate is normalized before</w:t>
      </w:r>
      <w:r>
        <w:t xml:space="preserve"> </w:t>
      </w:r>
      <w:r>
        <w:t xml:space="preserve">condition averaging. The normalization fit uses finite positive scores only,</w:t>
      </w:r>
      <w:r>
        <w:t xml:space="preserve"> </w:t>
      </w:r>
      <w:r>
        <w:t xml:space="preserve">because negative or zero footprint-score values do not define a stable</w:t>
      </w:r>
      <w:r>
        <w:t xml:space="preserve"> </w:t>
      </w:r>
      <w:r>
        <w:t xml:space="preserve">multiplicative quantile ratio. For sample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computes</w:t>
      </w:r>
      <w:r>
        <w:t xml:space="preserve"> </w:t>
      </w:r>
      <w:r>
        <w:t xml:space="preserve">empirical score quantiles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on a 0.05–0.99 quantile grid and the</w:t>
      </w:r>
      <w:r>
        <w:t xml:space="preserve"> </w:t>
      </w:r>
      <w:r>
        <w:t xml:space="preserve">reference quantile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s</m:t>
                </m:r>
              </m:sub>
            </m:sSub>
          </m:e>
        </m:nary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input samples.</w:t>
      </w:r>
      <w:r>
        <w:t xml:space="preserve"> </w:t>
      </w:r>
      <w:r>
        <w:t xml:space="preserve">It then smooths the ratio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fits a sigmoid multiplicative</w:t>
      </w:r>
      <w:r>
        <w:t xml:space="preserve"> </w:t>
      </w:r>
      <w:r>
        <w:t xml:space="preserve">factor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 if the sample has too few positive values or the curve fit is</w:t>
      </w:r>
      <w:r>
        <w:t xml:space="preserve"> </w:t>
      </w:r>
      <w:r>
        <w:t xml:space="preserve">ill-conditioned, a constant positive factor is used instead. During application,</w:t>
      </w:r>
      <w:r>
        <w:t xml:space="preserve"> </w:t>
      </w:r>
      <w:r>
        <w:t xml:space="preserve">scores outside the fitted positive-score range use the nearest fitted range</w:t>
      </w:r>
      <w:r>
        <w:t xml:space="preserve"> </w:t>
      </w:r>
      <w:r>
        <w:t xml:space="preserve">boundary for the normalization factor. Each score is transformed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final maximum operation clips transformed values at zero, preserving the</w:t>
      </w:r>
      <w:r>
        <w:t xml:space="preserve"> </w:t>
      </w:r>
      <w:r>
        <w:t xml:space="preserve">interpretation that positive normalized values represent footprint-like</w:t>
      </w:r>
      <w:r>
        <w:t xml:space="preserve"> </w:t>
      </w:r>
      <w:r>
        <w:t xml:space="preserve">center-versus-flank evidence.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condition-quantile</w:t>
      </w:r>
      <w:r>
        <w:t xml:space="preserve"> </w:t>
      </w:r>
      <w:r>
        <w:t xml:space="preserve">mode first averages replicate background</w:t>
      </w:r>
      <w:r>
        <w:t xml:space="preserve"> </w:t>
      </w:r>
      <w:r>
        <w:t xml:space="preserve">distributions within each condition, fits one factor</w:t>
      </w:r>
      <w:r>
        <w:t xml:space="preserve"> </w:t>
      </w:r>
      <m:oMath>
        <m:sSub>
          <m:e>
            <m:r>
              <m:t>g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per condition, and</w:t>
      </w:r>
      <w:r>
        <w:t xml:space="preserve"> </w:t>
      </w:r>
      <w:r>
        <w:t xml:space="preserve">applies that condition-level factor to all replicates in the condition.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disables quantile normalization. The same normalization helper is</w:t>
      </w:r>
      <w:r>
        <w:t xml:space="preserve"> </w:t>
      </w:r>
      <w:r>
        <w:t xml:space="preserve">used by aggregate plotting, so differential comparison and motif-centered</w:t>
      </w:r>
      <w:r>
        <w:t xml:space="preserve"> </w:t>
      </w:r>
      <w:r>
        <w:t xml:space="preserve">visualization are normalized consistently.</w:t>
      </w:r>
    </w:p>
    <w:p>
      <w:pPr>
        <w:pStyle w:val="BodyText"/>
      </w:pPr>
      <w:r>
        <w:t xml:space="preserve">After normalization, condition-level scores are summarized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comparison between conditions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reports a</w:t>
      </w:r>
      <w:r>
        <w:t xml:space="preserve"> </w:t>
      </w:r>
      <w:r>
        <w:t xml:space="preserve">footprint-score difference and a stabilized log fold change,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is estimated from the background signal unless supplied explicitly.</w:t>
      </w:r>
      <w:r>
        <w:t xml:space="preserve"> </w:t>
      </w:r>
      <w:r>
        <w:t xml:space="preserve">When both conditions have replicate support, approximate standard errors are</w:t>
      </w:r>
      <w:r>
        <w:t xml:space="preserve"> </w:t>
      </w:r>
      <w:r>
        <w:t xml:space="preserve">reported as descriptive summaries. Here,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r>
        <w:t xml:space="preserve">condition-level mean scores for the two conditions at the included motif sites,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denote the corresponding empirical SD estimates across</w:t>
      </w:r>
      <w:r>
        <w:t xml:space="preserve"> </w:t>
      </w:r>
      <w:r>
        <w:t xml:space="preserve">replicates, 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replicate counts: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distribution-comparison view, the reported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columns are computed at the motif-reporting level. Candidate</w:t>
      </w:r>
      <w:r>
        <w:t xml:space="preserve"> </w:t>
      </w:r>
      <w:r>
        <w:t xml:space="preserve">sites are included</w:t>
      </w:r>
      <w:r>
        <w:t xml:space="preserve"> </w:t>
      </w:r>
      <w:r>
        <w:t xml:space="preserve">when either condition has a positive motif-site score, site-level log fold</w:t>
      </w:r>
      <w:r>
        <w:t xml:space="preserve"> </w:t>
      </w:r>
      <w:r>
        <w:t xml:space="preserve">changes are averaged within peak intervals, and the observed motif statistic is</w:t>
      </w:r>
      <w:r>
        <w:t xml:space="preserve"> </w:t>
      </w:r>
      <w:r>
        <w:t xml:space="preserve">defined as the difference between the fitted observed mean log fold change and</w:t>
      </w:r>
      <w:r>
        <w:t xml:space="preserve"> </w:t>
      </w:r>
      <w:r>
        <w:t xml:space="preserve">the fitted background mean, scaled by the average of the observed and background</w:t>
      </w:r>
      <w:r>
        <w:t xml:space="preserve"> </w:t>
      </w:r>
      <w:r>
        <w:t xml:space="preserve">SD estimates.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then simulates background change statistics from</w:t>
      </w:r>
      <w:r>
        <w:t xml:space="preserve"> </w:t>
      </w:r>
      <w:r>
        <w:t xml:space="preserve">the fitted background distribution using the same number of observed intervals</w:t>
      </w:r>
      <w:r>
        <w:t xml:space="preserve"> </w:t>
      </w:r>
      <w:r>
        <w:t xml:space="preserve">and applies a one-sample t-test comparing the simulated background changes with</w:t>
      </w:r>
      <w:r>
        <w:t xml:space="preserve"> </w:t>
      </w:r>
      <w:r>
        <w:t xml:space="preserve">the observed motif statistic. P-values are adjusted across motifs within each</w:t>
      </w:r>
      <w:r>
        <w:t xml:space="preserve"> </w:t>
      </w:r>
      <w:r>
        <w:t xml:space="preserve">contrast using Benjamini–Hochberg, yielding the</w:t>
      </w:r>
      <w:r>
        <w:t xml:space="preserve"> </w:t>
      </w:r>
      <w:r>
        <w:rPr>
          <w:rStyle w:val="VerbatimChar"/>
        </w:rPr>
        <w:t xml:space="preserve">qvalue_bh</w:t>
      </w:r>
      <w:r>
        <w:t xml:space="preserve"> </w:t>
      </w:r>
      <w:r>
        <w:t xml:space="preserve">column and</w:t>
      </w:r>
      <w:r>
        <w:t xml:space="preserve"> </w:t>
      </w:r>
      <w:r>
        <w:rPr>
          <w:rStyle w:val="VerbatimChar"/>
        </w:rPr>
        <w:t xml:space="preserve">significant_fdr05</w:t>
      </w:r>
      <w:r>
        <w:t xml:space="preserve"> </w:t>
      </w:r>
      <w:r>
        <w:t xml:space="preserve">flag. These p-values are screening statistics for the</w:t>
      </w:r>
      <w:r>
        <w:t xml:space="preserve"> </w:t>
      </w:r>
      <w:r>
        <w:t xml:space="preserve">motif-centered report, especially at small replicate counts; the SE columns are</w:t>
      </w:r>
      <w:r>
        <w:t xml:space="preserve"> </w:t>
      </w:r>
      <w:r>
        <w:t xml:space="preserve">reported separately as descriptive uncertainty summaries and are not themselves</w:t>
      </w:r>
      <w:r>
        <w:t xml:space="preserve"> </w:t>
      </w:r>
      <w:r>
        <w:t xml:space="preserve">the hypothesis-test statistic.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column is retained only</w:t>
      </w:r>
      <w:r>
        <w:t xml:space="preserve"> </w:t>
      </w:r>
      <w:r>
        <w:t xml:space="preserve">as a report-selection and visualization flag, not as a formal</w:t>
      </w:r>
      <w:r>
        <w:t xml:space="preserve"> </w:t>
      </w:r>
      <w:r>
        <w:t xml:space="preserve">multiple-testing-corrected significance label. Additional replicate-oriented</w:t>
      </w:r>
      <w:r>
        <w:t xml:space="preserve"> </w:t>
      </w:r>
      <w:r>
        <w:t xml:space="preserve">columns include replicate counts, condition score SDs, mean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mean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standard-error summaries.</w:t>
      </w:r>
    </w:p>
    <w:bookmarkEnd w:id="13"/>
    <w:bookmarkStart w:id="14" w:name="X1e7957ad6d059dc6f9da35567b1f51dd3bdb399"/>
    <w:p>
      <w:pPr>
        <w:pStyle w:val="Heading2"/>
      </w:pPr>
      <w:r>
        <w:t xml:space="preserve">Public ATAC Processing and Reproducibility Provenance</w:t>
      </w:r>
    </w:p>
    <w:p>
      <w:pPr>
        <w:pStyle w:val="FirstParagraph"/>
      </w:pPr>
      <w:r>
        <w:t xml:space="preserve">The bulk replicate demonstration uses true biological replicates from the</w:t>
      </w:r>
      <w:r>
        <w:t xml:space="preserve"> </w:t>
      </w:r>
      <w:r>
        <w:t xml:space="preserve">Buenrostro et al. ATAC-seq study </w:t>
      </w:r>
      <w:r>
        <w:t xml:space="preserve">(Buenrostro et al. 2013)</w:t>
      </w:r>
      <w:r>
        <w:t xml:space="preserve">: GM12878/B-cell samples</w:t>
      </w:r>
      <w:r>
        <w:t xml:space="preserve"> </w:t>
      </w:r>
      <w:r>
        <w:t xml:space="preserve">SRR891268 and SRR891269, and day-1 CD4 T-cell samples SRR891275 and SRR891276.</w:t>
      </w:r>
      <w:r>
        <w:t xml:space="preserve"> </w:t>
      </w:r>
      <w:r>
        <w:t xml:space="preserve">Reads were trimmed with fastp </w:t>
      </w:r>
      <w:r>
        <w:t xml:space="preserve">(Chen et al. 2018)</w:t>
      </w:r>
      <w:r>
        <w:t xml:space="preserve">, aligned with Bowtie2 </w:t>
      </w:r>
      <w:r>
        <w:t xml:space="preserve">(Langmead and Salzberg 2012)</w:t>
      </w:r>
      <w:r>
        <w:t xml:space="preserve">, processed with SAMtools </w:t>
      </w:r>
      <w:r>
        <w:t xml:space="preserve">(Li et al. 2009)</w:t>
      </w:r>
      <w:r>
        <w:t xml:space="preserve"> </w:t>
      </w:r>
      <w:r>
        <w:t xml:space="preserve">and BEDTools </w:t>
      </w:r>
      <w:r>
        <w:t xml:space="preserve">(Quinlan and Hall 2010)</w:t>
      </w:r>
      <w:r>
        <w:t xml:space="preserve">, and peaks were called with MACS3 using the MACS model-based peak-calling framework </w:t>
      </w:r>
      <w:r>
        <w:t xml:space="preserve">(Zhang et al. 2008)</w:t>
      </w:r>
      <w:r>
        <w:t xml:space="preserve">. Problematic genomic regions were filtered using the ENCODE blacklist </w:t>
      </w:r>
      <w:r>
        <w:t xml:space="preserve">(Amemiya et al. 2019)</w:t>
      </w:r>
      <w:r>
        <w:t xml:space="preserve">. Replicate peaks were merged into a common peak universe, bias-corrected, footprint-called,</w:t>
      </w:r>
      <w:r>
        <w:t xml:space="preserve"> </w:t>
      </w:r>
      <w:r>
        <w:t xml:space="preserve">and analyzed by differential footprint comparison with and without sample-level</w:t>
      </w:r>
      <w:r>
        <w:t xml:space="preserve"> </w:t>
      </w:r>
      <w:r>
        <w:t xml:space="preserve">quantile normalization. The analysis used JASPAR 2026 CORE vertebrates</w:t>
      </w:r>
      <w:r>
        <w:t xml:space="preserve"> </w:t>
      </w:r>
      <w:r>
        <w:t xml:space="preserve">non-redundant motifs </w:t>
      </w:r>
      <w:r>
        <w:t xml:space="preserve">(Ovek Baydar et al. 2026)</w:t>
      </w:r>
      <w:r>
        <w:t xml:space="preserve"> </w:t>
      </w:r>
      <w:r>
        <w:t xml:space="preserve">for known-motif 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 3 and</w:t>
      </w:r>
      <w:r>
        <w:t xml:space="preserve"> </w:t>
      </w:r>
      <w:r>
        <w:t xml:space="preserve">4.</w:t>
      </w:r>
    </w:p>
    <w:bookmarkEnd w:id="14"/>
    <w:bookmarkStart w:id="15" w:name="X3dba36dd5da1e61b1c6dd489013b360ce3991d7"/>
    <w:p>
      <w:pPr>
        <w:pStyle w:val="Heading2"/>
      </w:pPr>
      <w:r>
        <w:t xml:space="preserve">Public Data, Demonstration Tiers, and Metrics</w:t>
      </w:r>
    </w:p>
    <w:p>
      <w:pPr>
        <w:pStyle w:val="FirstParagraph"/>
      </w:pPr>
      <w:r>
        <w:t xml:space="preserve">Public inputs are organized as versioned TSV manifests recording source,</w:t>
      </w:r>
      <w:r>
        <w:t xml:space="preserve"> </w:t>
      </w:r>
      <w:r>
        <w:t xml:space="preserve">demonstration tier, cell type, donor, assay, accessions, assembly, output type,</w:t>
      </w:r>
      <w:r>
        <w:t xml:space="preserve"> </w:t>
      </w:r>
      <w:r>
        <w:t xml:space="preserve">format, URL, checksum, status, local path, split, and notes. Discovery and</w:t>
      </w:r>
      <w:r>
        <w:t xml:space="preserve"> </w:t>
      </w:r>
      <w:r>
        <w:t xml:space="preserve">download scripts query public repositories such as ENCODE </w:t>
      </w:r>
      <w:r>
        <w:t xml:space="preserve">(The ENCODE Project Consortium 2012)</w:t>
      </w:r>
      <w:r>
        <w:t xml:space="preserve"> </w:t>
      </w:r>
      <w:r>
        <w:t xml:space="preserve">for</w:t>
      </w:r>
      <w:r>
        <w:t xml:space="preserve"> </w:t>
      </w:r>
      <w:r>
        <w:t xml:space="preserve">released human GRCh38 ATAC-seq records, write resumable download reports, and</w:t>
      </w:r>
      <w:r>
        <w:t xml:space="preserve"> </w:t>
      </w:r>
      <w:r>
        <w:t xml:space="preserve">keep raw public data out of version control. The tracked repository contains the</w:t>
      </w:r>
      <w:r>
        <w:t xml:space="preserve"> </w:t>
      </w:r>
      <w:r>
        <w:t xml:space="preserve">scripts, manifests, schemas, small reference inputs, source tables, and figure</w:t>
      </w:r>
      <w:r>
        <w:t xml:space="preserve"> </w:t>
      </w:r>
      <w:r>
        <w:t xml:space="preserve">code needed to rerun the manuscript analyses.</w:t>
      </w:r>
    </w:p>
    <w:p>
      <w:pPr>
        <w:pStyle w:val="BodyText"/>
      </w:pPr>
      <w:r>
        <w:t xml:space="preserve">The demonstration design follows published recommendations for transparent and</w:t>
      </w:r>
      <w:r>
        <w:t xml:space="preserve"> </w:t>
      </w:r>
      <w:r>
        <w:t xml:space="preserve">reproducible computational method evaluation </w:t>
      </w:r>
      <w:r>
        <w:t xml:space="preserve">(Weber et al. 2019; Mangul et al. 2019)</w:t>
      </w:r>
      <w:r>
        <w:t xml:space="preserve">,</w:t>
      </w:r>
      <w:r>
        <w:t xml:space="preserve"> </w:t>
      </w:r>
      <w:r>
        <w:t xml:space="preserve">but it is not intended as an exhaustive head-to-head benchmark of all ATAC</w:t>
      </w:r>
      <w:r>
        <w:t xml:space="preserve"> </w:t>
      </w:r>
      <w:r>
        <w:t xml:space="preserve">footprinting methods. Instead, it is organized as a tiered software-evaluation</w:t>
      </w:r>
      <w:r>
        <w:t xml:space="preserve"> </w:t>
      </w:r>
      <w:r>
        <w:t xml:space="preserve">design (Table 1): a small-reference regression tier; a bulk ATAC</w:t>
      </w:r>
      <w:r>
        <w:t xml:space="preserve"> </w:t>
      </w:r>
      <w:r>
        <w:t xml:space="preserve">replicate tier; a depth-robustness tier over downsampled ATAC; a de novo</w:t>
      </w:r>
      <w:r>
        <w:t xml:space="preserve"> </w:t>
      </w:r>
      <w:r>
        <w:t xml:space="preserve">motif-preparation tier; and a real-data pseudobulk tier. Summary tables report</w:t>
      </w:r>
      <w:r>
        <w:t xml:space="preserve"> </w:t>
      </w:r>
      <w:r>
        <w:t xml:space="preserve">command success, output integrity, runtime, memory, differential footprint</w:t>
      </w:r>
      <w:r>
        <w:t xml:space="preserve"> </w:t>
      </w:r>
      <w:r>
        <w:t xml:space="preserve">summaries, motif-recovery summaries, and generated figures for the analyses</w:t>
      </w:r>
      <w:r>
        <w:t xml:space="preserve"> </w:t>
      </w:r>
      <w:r>
        <w:t xml:space="preserve">included in this manuscript.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Tiered benchmark design. Large data and outputs are untracked; only manifests, scripts, and compact reference results are committed.</w:t>
      </w:r>
    </w:p>
    <w:p>
      <w:pPr>
        <w:pStyle w:val="BodyText"/>
      </w:pPr>
      <w:r>
        <w:t xml:space="preserve">&gt;</w:t>
      </w:r>
    </w:p>
    <w:p>
      <w:pPr>
        <w:pStyle w:val="BodyText"/>
      </w:pPr>
    </w:p>
    <w:p>
      <w:pPr>
        <w:pStyle w:val="BodyText"/>
      </w:pPr>
      <w:r>
        <w:t xml:space="preserve">p</w:t>
      </w:r>
      <w:r>
        <w:t xml:space="preserve">0.23</w:t>
      </w:r>
      <w:r>
        <w:t xml:space="preserve">YY</w:t>
      </w:r>
    </w:p>
    <w:p>
      <w:pPr>
        <w:pStyle w:val="BodyText"/>
      </w:pPr>
      <w:r>
        <w:rPr>
          <w:b/>
          <w:bCs/>
        </w:rPr>
        <w:t xml:space="preserve">Tier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Primary outputs</w:t>
      </w:r>
      <w:r>
        <w:br/>
      </w:r>
      <w:r>
        <w:t xml:space="preserve">Small reference &amp; Installation and regression checks on compact inputs &amp; command success, output existence, stable summaries</w:t>
      </w:r>
      <w:r>
        <w:br/>
      </w:r>
      <w:r>
        <w:t xml:space="preserve">Bulk ATAC replicates &amp; Public bulk ATAC replicate demonstrations for footprinting and differential reports &amp; corrected tracks, footprint scores, motif reports, aggregate plots</w:t>
      </w:r>
      <w:r>
        <w:br/>
      </w:r>
      <w:r>
        <w:t xml:space="preserve">Depth robustness &amp; Shallow-depth sensitivity (50/25/10/5%) &amp; downsampled workflow summaries and output checks</w:t>
      </w:r>
      <w:r>
        <w:br/>
      </w:r>
      <w:r>
        <w:t xml:space="preserve">De novo motif prep &amp; Candidate FASTA and motif-discovery validation &amp; exported FASTA files and motif summaries</w:t>
      </w:r>
      <w:r>
        <w:br/>
      </w:r>
      <w:r>
        <w:t xml:space="preserve">Pseudobulk &amp; Single-cell extension and real-data demonstration &amp; 10x PBMC pseudobulk fragments, corrected footprint tracks, pairwise TF differential plots, KNN marker-signature UMAPs</w:t>
      </w:r>
      <w:r>
        <w:br/>
      </w:r>
    </w:p>
    <w:bookmarkEnd w:id="15"/>
    <w:bookmarkStart w:id="16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ships a unit-test suite covering numerical helpers, CLI behavior, and</w:t>
      </w:r>
      <w:r>
        <w:t xml:space="preserve"> </w:t>
      </w:r>
      <w:r>
        <w:t xml:space="preserve">deterministic golden CLI regressions for footprint calling, differential footprint analysis,</w:t>
      </w:r>
      <w:r>
        <w:t xml:space="preserve"> </w:t>
      </w:r>
      <w:r>
        <w:t xml:space="preserve">and aggregate plotting, with an opt-in slow regression for bias correction. A</w:t>
      </w:r>
      <w:r>
        <w:t xml:space="preserve"> </w:t>
      </w:r>
      <w:r>
        <w:t xml:space="preserve">continuous-integration workflow runs the suite on a clean checkout using compact</w:t>
      </w:r>
      <w:r>
        <w:t xml:space="preserve"> </w:t>
      </w:r>
      <w:r>
        <w:t xml:space="preserve">reference inputs, builds source and wheel artifacts, and verifies the installed</w:t>
      </w:r>
      <w:r>
        <w:t xml:space="preserve"> </w:t>
      </w:r>
      <w:r>
        <w:t xml:space="preserve">console scripts. The repository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 metadata, and Make targets for</w:t>
      </w:r>
      <w:r>
        <w:t xml:space="preserve"> </w:t>
      </w:r>
      <w:r>
        <w:t xml:space="preserve">test, build, and manuscript-smoke workflows; these choices follow FAIR-oriented</w:t>
      </w:r>
      <w:r>
        <w:t xml:space="preserve"> </w:t>
      </w:r>
      <w:r>
        <w:t xml:space="preserve">research-software principles and established bioinformatics environment practices </w:t>
      </w:r>
      <w:r>
        <w:t xml:space="preserve">(</w:t>
      </w:r>
      <w:r>
        <w:t xml:space="preserve">Wilkinson et al.</w:t>
      </w:r>
      <w:r>
        <w:t xml:space="preserve"> </w:t>
      </w:r>
      <w:r>
        <w:t xml:space="preserve">2016; Gruening et al. 2018; Ewels et al. 2020)</w:t>
      </w:r>
      <w:r>
        <w:t xml:space="preserve">. Detailed reviewer instructions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docs/reproduce-paper.md</w:t>
      </w:r>
      <w:r>
        <w:t xml:space="preserve">. Benchmark scripts record</w:t>
      </w:r>
      <w:r>
        <w:t xml:space="preserve"> </w:t>
      </w:r>
      <w:r>
        <w:t xml:space="preserve">random seeds, tool versions, command lines, and resolved manifests alongside the</w:t>
      </w:r>
      <w:r>
        <w:t xml:space="preserve"> </w:t>
      </w:r>
      <w:r>
        <w:t xml:space="preserve">corresponding outputs.</w:t>
      </w:r>
      <w:r>
        <w:t xml:space="preserve"> </w:t>
      </w:r>
      <w:r>
        <w:t xml:space="preserve">Figure source tables and editable figure files are retained for auditability.</w:t>
      </w:r>
    </w:p>
    <w:bookmarkEnd w:id="16"/>
    <w:bookmarkEnd w:id="17"/>
    <w:bookmarkStart w:id="43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as a software and reproducibility platform along</w:t>
      </w:r>
      <w:r>
        <w:t xml:space="preserve"> </w:t>
      </w:r>
      <w:r>
        <w:t xml:space="preserve">three axes: workflow integration and command stability, controlled local</w:t>
      </w:r>
      <w:r>
        <w:t xml:space="preserve"> </w:t>
      </w:r>
      <w:r>
        <w:t xml:space="preserve">engineering measurements, and biological plausibility in public bulk and</w:t>
      </w:r>
      <w:r>
        <w:t xml:space="preserve"> </w:t>
      </w:r>
      <w:r>
        <w:t xml:space="preserve">single-cell ATAC-seq demonstrations.</w:t>
      </w:r>
    </w:p>
    <w:bookmarkStart w:id="21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a</w:t>
      </w:r>
      <w:r>
        <w:t xml:space="preserve"> </w:t>
      </w:r>
      <w:r>
        <w:t xml:space="preserve">single, consistent workflow with shared region/signal conventions, so a complete</w:t>
      </w:r>
      <w:r>
        <w:t xml:space="preserve"> </w:t>
      </w:r>
      <w:r>
        <w:t xml:space="preserve">analysis, including bias correction, footprint calling, differential footprint analysis, and aggregate</w:t>
      </w:r>
      <w:r>
        <w:t xml:space="preserve"> </w:t>
      </w:r>
      <w:r>
        <w:t xml:space="preserve">visualization, runs without crossing package boundaries or reformatting</w:t>
      </w:r>
      <w:r>
        <w:t xml:space="preserve"> </w:t>
      </w:r>
      <w:r>
        <w:t xml:space="preserve">intermediates. YAML configuration records the same analysis in a</w:t>
      </w:r>
      <w:r>
        <w:t xml:space="preserve"> </w:t>
      </w:r>
      <w:r>
        <w:t xml:space="preserve">machine-readable form for reruns and batch processing</w:t>
      </w:r>
      <w:r>
        <w:t xml:space="preserve"> </w:t>
      </w:r>
      <w:r>
        <w:t xml:space="preserve">(Figure 1).</w:t>
      </w:r>
    </w:p>
    <w:p>
      <w:pPr>
        <w:pStyle w:val="BodyText"/>
      </w:pPr>
      <w:r>
        <w:drawing>
          <wp:inline>
            <wp:extent cx="4699000" cy="5143500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figures/Fig1.pdf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 Bulk ATAC-seq BAM/fragments and single-cell ATAC fragments with annotations enter a shared command-oriented workflow. The workflow supports Tn5 bias correction, footprint calling, motif matching against curated databases, de novo motif discovery, replicate-aware differential footprint analysis, aggregate footprint visualization, and pseudobulk single-cell footprint analysis.</w:t>
      </w:r>
    </w:p>
    <w:bookmarkEnd w:id="21"/>
    <w:bookmarkStart w:id="22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browser-based interfaces for configuring analyses and reviewing results. The GUI writes reusable YAML configurations that remain compatible with command-line execution and provides guided panels for the same core commands shown in the command-line documentation (Figure 6). Differential-footprint and aggregate-batch workflows also produce</w:t>
      </w:r>
      <w:r>
        <w:t xml:space="preserve"> </w:t>
      </w:r>
      <w:r>
        <w:t xml:space="preserve">self-contained HTML reports with embedded compressed data, searchable motif controls,</w:t>
      </w:r>
      <w:r>
        <w:t xml:space="preserve"> </w:t>
      </w:r>
      <w:r>
        <w:t xml:space="preserve">editable group colors, synchronized aggregate profiles, and SVG export for</w:t>
      </w:r>
      <w:r>
        <w:t xml:space="preserve"> </w:t>
      </w:r>
      <w:r>
        <w:t xml:space="preserve">publication-ready editing.</w:t>
      </w:r>
    </w:p>
    <w:bookmarkEnd w:id="22"/>
    <w:bookmarkStart w:id="23" w:name="regression-tested-workflow-outputs"/>
    <w:p>
      <w:pPr>
        <w:pStyle w:val="Heading2"/>
      </w:pPr>
      <w:r>
        <w:t xml:space="preserve">Regression-tested Workflow Outputs</w:t>
      </w:r>
    </w:p>
    <w:p>
      <w:pPr>
        <w:pStyle w:val="FirstParagraph"/>
      </w:pPr>
      <w:r>
        <w:t xml:space="preserve">The footprinting workflow is covered by deterministic regression tests that pin</w:t>
      </w:r>
      <w:r>
        <w:t xml:space="preserve"> </w:t>
      </w:r>
      <w:r>
        <w:t xml:space="preserve">summary outputs for footprint calling, differential footprint analysis, and</w:t>
      </w:r>
      <w:r>
        <w:t xml:space="preserve"> </w:t>
      </w:r>
      <w:r>
        <w:t xml:space="preserve">aggregate plotting. Public entry-point checks and YAML dry-runs verify that the</w:t>
      </w:r>
      <w:r>
        <w:t xml:space="preserve"> </w:t>
      </w:r>
      <w:r>
        <w:t xml:space="preserve">command surface remains stable. These tests provide a reproducible contract for</w:t>
      </w:r>
      <w:r>
        <w:t xml:space="preserve"> </w:t>
      </w:r>
      <w:r>
        <w:t xml:space="preserve">core analyses while allowing integrated modules to share the same input and output</w:t>
      </w:r>
      <w:r>
        <w:t xml:space="preserve"> </w:t>
      </w:r>
      <w:r>
        <w:t xml:space="preserve">conventions.</w:t>
      </w:r>
    </w:p>
    <w:bookmarkEnd w:id="23"/>
    <w:bookmarkStart w:id="30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exports candidate-centered FASTA files,</w:t>
      </w:r>
      <w:r>
        <w:t xml:space="preserve"> </w:t>
      </w:r>
      <w:r>
        <w:t xml:space="preserve">applies MEME, DREME, or STREME, optionally adds a Tomtom comparison against a</w:t>
      </w:r>
      <w:r>
        <w:t xml:space="preserve"> </w:t>
      </w:r>
      <w:r>
        <w:t xml:space="preserve">known motif database, and summarizes motif results into TSV/HTML reports with</w:t>
      </w:r>
      <w:r>
        <w:t xml:space="preserve"> </w:t>
      </w:r>
      <w:r>
        <w:t xml:space="preserve">inline consensus logos. This keeps motif discovery reproducible while relying</w:t>
      </w:r>
      <w:r>
        <w:t xml:space="preserve"> </w:t>
      </w:r>
      <w:r>
        <w:t xml:space="preserve">on established motif-discovery algorithms.</w:t>
      </w:r>
      <w:r>
        <w:t xml:space="preserve"> </w:t>
      </w:r>
      <w:r>
        <w:t xml:space="preserve">The workflow can be used alone to discover recurring patterns in candidate</w:t>
      </w:r>
      <w:r>
        <w:t xml:space="preserve"> </w:t>
      </w:r>
      <w:r>
        <w:t xml:space="preserve">intervals, or after known-motif scanning to find additional motifs not represented</w:t>
      </w:r>
      <w:r>
        <w:t xml:space="preserve"> </w:t>
      </w:r>
      <w:r>
        <w:t xml:space="preserve">in the selected database. In relation to TOBIAS, this section evaluates an added</w:t>
      </w:r>
      <w:r>
        <w:t xml:space="preserve"> </w:t>
      </w:r>
      <w:r>
        <w:t xml:space="preserve">motif-discovery handoff around the footprinting workflow, not a new</w:t>
      </w:r>
      <w:r>
        <w:t xml:space="preserve"> </w:t>
      </w:r>
      <w:r>
        <w:t xml:space="preserve">center-versus-flank footprint scoring model.</w:t>
      </w:r>
    </w:p>
    <w:p>
      <w:pPr>
        <w:pStyle w:val="BodyText"/>
      </w:pPr>
      <w:r>
        <w:t xml:space="preserve">We therefore evaluated whether candidate-derived motifs add information beyond a fixed</w:t>
      </w:r>
      <w:r>
        <w:t xml:space="preserve"> </w:t>
      </w:r>
      <w:r>
        <w:t xml:space="preserve">database using a 3-vs-3 public ENCODE K562 versus HepG2 ATAC-seq comparison </w:t>
      </w:r>
      <w:r>
        <w:t xml:space="preserve">(The ENCODE Project Consortium 2012)</w:t>
      </w:r>
      <w:r>
        <w:t xml:space="preserve">.</w:t>
      </w:r>
      <w:r>
        <w:t xml:space="preserve"> </w:t>
      </w:r>
      <w:r>
        <w:t xml:space="preserve">Candidate footprints were called from bias-corrected cut-site tracks,</w:t>
      </w:r>
      <w:r>
        <w:t xml:space="preserve"> </w:t>
      </w:r>
      <w:r>
        <w:t xml:space="preserve">condition-specific candidate FASTA files were exported with 75 bp flanks, and</w:t>
      </w:r>
      <w:r>
        <w:t xml:space="preserve"> </w:t>
      </w:r>
      <w:r>
        <w:t xml:space="preserve">STREME was run reciprocally with K562 candidates against HepG2 controls and</w:t>
      </w:r>
      <w:r>
        <w:t xml:space="preserve"> </w:t>
      </w:r>
      <w:r>
        <w:t xml:space="preserve">HepG2 candidates against K562 controls. These discovered motifs were then used</w:t>
      </w:r>
      <w:r>
        <w:t xml:space="preserve"> </w:t>
      </w:r>
      <w:r>
        <w:t xml:space="preserve">in two modes. In de novo-only mode, the candidate-derived motifs were tested as</w:t>
      </w:r>
      <w:r>
        <w:t xml:space="preserve"> </w:t>
      </w:r>
      <w:r>
        <w:t xml:space="preserve">their own motif set. In supplement mode, the same motifs were appended to a known</w:t>
      </w:r>
      <w:r>
        <w:t xml:space="preserve"> </w:t>
      </w:r>
      <w:r>
        <w:t xml:space="preserve">motif database before running the sample-quantile-normalized differential-footprint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full JASPAR 2026 vertebrate non-redundant set contained 1019 motifs, while</w:t>
      </w:r>
      <w:r>
        <w:t xml:space="preserve"> </w:t>
      </w:r>
      <w:r>
        <w:t xml:space="preserve">the expanded reciprocal STREME runs contributed 500 candidate-derived motifs</w:t>
      </w:r>
      <w:r>
        <w:t xml:space="preserve"> </w:t>
      </w:r>
      <w:r>
        <w:t xml:space="preserve">from both ENCODE cell lines. We therefore interpret this run as a site-recovery</w:t>
      </w:r>
      <w:r>
        <w:t xml:space="preserve"> </w:t>
      </w:r>
      <w:r>
        <w:t xml:space="preserve">demonstration of how far de novo-only discovery can cover database-supported</w:t>
      </w:r>
      <w:r>
        <w:t xml:space="preserve"> </w:t>
      </w:r>
      <w:r>
        <w:t xml:space="preserve">footprints, rather than as an exhaustive replacement for a curated motif</w:t>
      </w:r>
      <w:r>
        <w:t xml:space="preserve"> </w:t>
      </w:r>
      <w:r>
        <w:t xml:space="preserve">database. In de novo-only mode, recovery was measured as base-pair overlap after</w:t>
      </w:r>
      <w:r>
        <w:t xml:space="preserve"> </w:t>
      </w:r>
      <w:r>
        <w:t xml:space="preserve">merging the bound-site windows produced by the de novo scan and the corresponding</w:t>
      </w:r>
      <w:r>
        <w:t xml:space="preserve"> </w:t>
      </w:r>
      <w:r>
        <w:t xml:space="preserve">JASPAR-supported scan. By this operational overlap metric, the discovered motifs</w:t>
      </w:r>
      <w:r>
        <w:t xml:space="preserve"> </w:t>
      </w:r>
      <w:r>
        <w:t xml:space="preserve">recovered 84.0% of merged JASPAR-supported bound-site-window base pairs across</w:t>
      </w:r>
      <w:r>
        <w:t xml:space="preserve"> </w:t>
      </w:r>
      <w:r>
        <w:t xml:space="preserve">the K562/HepG2 comparison, while 16.0% remained unique to the full JASPAR scan.</w:t>
      </w:r>
      <w:r>
        <w:t xml:space="preserve"> </w:t>
      </w:r>
      <w:r>
        <w:t xml:space="preserve">The de novo-only scan also introduced additional candidate-derived bound-site</w:t>
      </w:r>
      <w:r>
        <w:t xml:space="preserve"> </w:t>
      </w:r>
      <w:r>
        <w:t xml:space="preserve">windows, corresponding to 6.0% of the de novo-only merged window base pairs.</w:t>
      </w:r>
      <w:r>
        <w:t xml:space="preserve"> </w:t>
      </w:r>
      <w:r>
        <w:t xml:space="preserve">In supplement mode,</w:t>
      </w:r>
      <w:r>
        <w:t xml:space="preserve"> </w:t>
      </w:r>
      <w:r>
        <w:t xml:space="preserve">discovered motifs are appended to known motif sets before the same motif-aware</w:t>
      </w:r>
      <w:r>
        <w:t xml:space="preserve"> </w:t>
      </w:r>
      <w:r>
        <w:t xml:space="preserve">differential footprint analysis. To create a sensitivity test, we also</w:t>
      </w:r>
      <w:r>
        <w:t xml:space="preserve"> </w:t>
      </w:r>
      <w:r>
        <w:t xml:space="preserve">constructed a K562/HepG2-focused restricted JASPAR 2026 set with 867 motifs by</w:t>
      </w:r>
      <w:r>
        <w:t xml:space="preserve"> </w:t>
      </w:r>
      <w:r>
        <w:t xml:space="preserve">removing common erythroid/K562 and liver/HepG2 motif families, then reran the</w:t>
      </w:r>
      <w:r>
        <w:t xml:space="preserve"> </w:t>
      </w:r>
      <w:r>
        <w:t xml:space="preserve">comparison with and without the de novo motifs. In the interactive report, the</w:t>
      </w:r>
      <w:r>
        <w:t xml:space="preserve"> </w:t>
      </w:r>
      <w:r>
        <w:t xml:space="preserve">restricted database yielded 92 display-priority motif families according to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report-selection flag; adding the 500 de novo motifs</w:t>
      </w:r>
      <w:r>
        <w:t xml:space="preserve"> </w:t>
      </w:r>
      <w:r>
        <w:t xml:space="preserve">increased this browsing set to 153 families, including 24 de novo-derived motifs.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is not a multiple-testing-corrected significance</w:t>
      </w:r>
      <w:r>
        <w:t xml:space="preserve"> </w:t>
      </w:r>
      <w:r>
        <w:t xml:space="preserve">label, these counts are interpreted only as report-prioritization output, not as</w:t>
      </w:r>
      <w:r>
        <w:t xml:space="preserve"> </w:t>
      </w:r>
      <w:r>
        <w:t xml:space="preserve">formal evidence for additional significant motif families.</w:t>
      </w:r>
      <w:r>
        <w:t xml:space="preserve"> </w:t>
      </w:r>
      <w:r>
        <w:t xml:space="preserve">This sensitivity test illustrates the intended use case: when a chosen motif</w:t>
      </w:r>
      <w:r>
        <w:t xml:space="preserve"> </w:t>
      </w:r>
      <w:r>
        <w:t xml:space="preserve">database is incomplete or conservative, candidate-derived motifs can be evaluated</w:t>
      </w:r>
      <w:r>
        <w:t xml:space="preserve"> </w:t>
      </w:r>
      <w:r>
        <w:t xml:space="preserve">on their own and can also be carried forward into the same differential footprint</w:t>
      </w:r>
      <w:r>
        <w:t xml:space="preserve"> </w:t>
      </w:r>
      <w:r>
        <w:t xml:space="preserve">report as database-supported motifs (Figure 2).</w:t>
      </w:r>
    </w:p>
    <w:p>
      <w:pPr>
        <w:pStyle w:val="BodyText"/>
      </w:pPr>
      <w:r>
        <w:drawing>
          <wp:inline>
            <wp:extent cx="5067300" cy="5243463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figures/Fig2.pdf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243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De novo motif discovery and validation workflow. (</w:t>
      </w:r>
      <w:r>
        <w:rPr>
          <w:b/>
          <w:bCs/>
        </w:rPr>
        <w:t xml:space="preserve">A</w:t>
      </w:r>
      <w:r>
        <w:t xml:space="preserve">) Candidate footprint or BED intervals are converted into centered FASTA sequences, analyzed with MEME/DREME/STREME, and summarized as motif tables and reports. (</w:t>
      </w:r>
      <w:r>
        <w:rPr>
          <w:b/>
          <w:bCs/>
        </w:rPr>
        <w:t xml:space="preserve">B</w:t>
      </w:r>
      <w:r>
        <w:t xml:space="preserve">) Merged site-window coverage compares shared and de novo-only motif-supported intervals in K562 and HepG2. (</w:t>
      </w:r>
      <w:r>
        <w:rPr>
          <w:b/>
          <w:bCs/>
        </w:rPr>
        <w:t xml:space="preserve">C,D</w:t>
      </w:r>
      <w:r>
        <w:t xml:space="preserve">) Representative K562 and HepG2 de novo motifs show footprint-like normalized cut-site aggregate profiles centered on motif instances.</w:t>
      </w:r>
    </w:p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 3.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p>
      <w:pPr>
        <w:pStyle w:val="BodyText"/>
      </w:pPr>
      <w:r>
        <w:drawing>
          <wp:inline>
            <wp:extent cx="5067300" cy="8857971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figures/Fig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885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Interactive differential footprint report for K562 versus HepG2. The browser report summarizes selected differential motifs, sample styling controls, motif logos, top differential footprint-score bar plots, a volcano plot, and replicate-level motif-centered aggregate profiles. Blue indicates HepG2-biased footprint scores and red indicates K562-biased footprint scores.</w:t>
      </w:r>
    </w:p>
    <w:bookmarkEnd w:id="30"/>
    <w:bookmarkStart w:id="31" w:name="X3d87f1cbe3b98d0199f75917ab8b41023e4a8ee"/>
    <w:p>
      <w:pPr>
        <w:pStyle w:val="Heading2"/>
      </w:pPr>
      <w:r>
        <w:t xml:space="preserve">Replicate-aware Differential Footprint Analysis and Normalization</w:t>
      </w:r>
    </w:p>
    <w:p>
      <w:pPr>
        <w:pStyle w:val="FirstParagraph"/>
      </w:pPr>
      <w:r>
        <w:t xml:space="preserve">The replicate-aware workflow summarizes differential footprint results with effect</w:t>
      </w:r>
      <w:r>
        <w:t xml:space="preserve"> </w:t>
      </w:r>
      <w:r>
        <w:t xml:space="preserve">sizes, replicate support, and uncertainty estimates while keeping the comparison</w:t>
      </w:r>
      <w:r>
        <w:t xml:space="preserve"> </w:t>
      </w:r>
      <w:r>
        <w:t xml:space="preserve">anchored to a common peak and motif-site universe. In the Buenrostro example,</w:t>
      </w:r>
      <w:r>
        <w:t xml:space="preserve"> </w:t>
      </w:r>
      <w:r>
        <w:t xml:space="preserve">B-cell and T-cell replicates are compared after motif scanning on the merged peak</w:t>
      </w:r>
      <w:r>
        <w:t xml:space="preserve"> </w:t>
      </w:r>
      <w:r>
        <w:t xml:space="preserve">set, so no additional peak alignment step is performed at the reporting stage.</w:t>
      </w:r>
    </w:p>
    <w:p>
      <w:pPr>
        <w:pStyle w:val="BodyText"/>
      </w:pPr>
      <w:r>
        <w:t xml:space="preserve">Replicate-aware differential footprint analysis adds an interpretable layer to</w:t>
      </w:r>
      <w:r>
        <w:t xml:space="preserve"> </w:t>
      </w:r>
      <w:r>
        <w:t xml:space="preserve">condition comparison: repeated condition names define biological replicate groups,</w:t>
      </w:r>
      <w:r>
        <w:t xml:space="preserve"> </w:t>
      </w:r>
      <w:r>
        <w:t xml:space="preserve">condition means are reported alongside individual replicate profiles, and</w:t>
      </w:r>
      <w:r>
        <w:t xml:space="preserve"> </w:t>
      </w:r>
      <w:r>
        <w:t xml:space="preserve">sample-level quantile normalization applies the same distribution-matching step</w:t>
      </w:r>
      <w:r>
        <w:t xml:space="preserve"> </w:t>
      </w:r>
      <w:r>
        <w:t xml:space="preserve">before replicate group averages are compared. The native distribution-comparison</w:t>
      </w:r>
      <w:r>
        <w:t xml:space="preserve"> </w:t>
      </w:r>
      <w:r>
        <w:t xml:space="preserve">view supports both single-sample contrasts and multi-sample groups; replicate</w:t>
      </w:r>
      <w:r>
        <w:t xml:space="preserve"> </w:t>
      </w:r>
      <w:r>
        <w:t xml:space="preserve">groups add condition SD, SE, and replicate-count summaries around the same</w:t>
      </w:r>
      <w:r>
        <w:t xml:space="preserve"> </w:t>
      </w:r>
      <w:r>
        <w:t xml:space="preserve">motif-background comparison. For replicate-supported matrix analyses, the</w:t>
      </w:r>
      <w:r>
        <w:t xml:space="preserve"> </w:t>
      </w:r>
      <w:r>
        <w:t xml:space="preserve">limma-like empirical-Bayes view provides a second report in which per-motif</w:t>
      </w:r>
      <w:r>
        <w:t xml:space="preserve"> </w:t>
      </w:r>
      <w:r>
        <w:t xml:space="preserve">replicate variation is moderated across the motif set before p-values and</w:t>
      </w:r>
      <w:r>
        <w:t xml:space="preserve"> </w:t>
      </w:r>
      <w:r>
        <w:t xml:space="preserve">q-values are assigned. The no-normalization mode retains the baseline comparison</w:t>
      </w:r>
      <w:r>
        <w:t xml:space="preserve"> </w:t>
      </w:r>
      <w:r>
        <w:t xml:space="preserve">without an additional sample-level distribution match, whereas the</w:t>
      </w:r>
      <w:r>
        <w:t xml:space="preserve"> </w:t>
      </w:r>
      <w:r>
        <w:t xml:space="preserve">sample-quantile mode applies distribution matching before condition-level</w:t>
      </w:r>
      <w:r>
        <w:t xml:space="preserve"> </w:t>
      </w:r>
      <w:r>
        <w:t xml:space="preserve">comparison and aggregate plotting.</w:t>
      </w:r>
    </w:p>
    <w:p>
      <w:pPr>
        <w:pStyle w:val="BodyText"/>
      </w:pPr>
      <w:r>
        <w:t xml:space="preserve">As a biological consistency check for the same 2-vs-2 Buenrostro replicate</w:t>
      </w:r>
      <w:r>
        <w:t xml:space="preserve"> </w:t>
      </w:r>
      <w:r>
        <w:t xml:space="preserve">comparison, we inspected aggregate corrected cut-site profiles for a small</w:t>
      </w:r>
      <w:r>
        <w:t xml:space="preserve"> </w:t>
      </w:r>
      <w:r>
        <w:t xml:space="preserve">illustrative set selected to show visible center depletion and known or plausible</w:t>
      </w:r>
      <w:r>
        <w:t xml:space="preserve"> </w:t>
      </w:r>
      <w:r>
        <w:t xml:space="preserve">immune-cell relevance. BACH2 showed a B/GM12878-biased pattern in this dataset while remaining biologically non-exclusive because</w:t>
      </w:r>
      <w:r>
        <w:t xml:space="preserve"> </w:t>
      </w:r>
      <w:r>
        <w:t xml:space="preserve">it is also reused in T-cell states. Conversely, JUNB and ATF7 showed stronger</w:t>
      </w:r>
      <w:r>
        <w:t xml:space="preserve"> </w:t>
      </w:r>
      <w:r>
        <w:t xml:space="preserve">T-cell aggregate depletion; JUNB is an AP-1 family regulator of T-cell</w:t>
      </w:r>
      <w:r>
        <w:t xml:space="preserve"> </w:t>
      </w:r>
      <w:r>
        <w:t xml:space="preserve">differentiation </w:t>
      </w:r>
      <w:r>
        <w:t xml:space="preserve">(Katagiri et al. 2021)</w:t>
      </w:r>
      <w:r>
        <w:t xml:space="preserve">, and ATF7 is included here as a strong</w:t>
      </w:r>
      <w:r>
        <w:t xml:space="preserve"> </w:t>
      </w:r>
      <w:r>
        <w:t xml:space="preserve">T-cell-deeper aggregate example rather than a lineage-specific marker. We also</w:t>
      </w:r>
      <w:r>
        <w:t xml:space="preserve"> </w:t>
      </w:r>
      <w:r>
        <w:t xml:space="preserve">include IRF4 because TCR signaling can drive graded IRF4 expression in T cells </w:t>
      </w:r>
      <w:r>
        <w:t xml:space="preserve">(Conley et al. 2020)</w:t>
      </w:r>
      <w:r>
        <w:t xml:space="preserve">,</w:t>
      </w:r>
      <w:r>
        <w:t xml:space="preserve"> </w:t>
      </w:r>
      <w:r>
        <w:t xml:space="preserve">although its aggregate depletion is modest in this dataset. We treat</w:t>
      </w:r>
      <w:r>
        <w:t xml:space="preserve"> </w:t>
      </w:r>
      <w:r>
        <w:t xml:space="preserve">these panels as an illustrative sanity check rather than a marker-classification</w:t>
      </w:r>
      <w:r>
        <w:t xml:space="preserve"> </w:t>
      </w:r>
      <w:r>
        <w:t xml:space="preserve">benchmark; a more negative center-versus-flank profile indicates stronger</w:t>
      </w:r>
      <w:r>
        <w:t xml:space="preserve"> </w:t>
      </w:r>
      <w:r>
        <w:t xml:space="preserve">footprint-like protection at motif centers.</w:t>
      </w:r>
    </w:p>
    <w:bookmarkEnd w:id="31"/>
    <w:bookmarkStart w:id="35" w:name="Xd36ec17224d6e40dccdc8d36c3d27f62612f49a"/>
    <w:p>
      <w:pPr>
        <w:pStyle w:val="Heading2"/>
      </w:pPr>
      <w:r>
        <w:t xml:space="preserve">Single-cell ATAC Fragments Support Pseudobulk Footprint Workflows</w:t>
      </w:r>
    </w:p>
    <w:p>
      <w:pPr>
        <w:pStyle w:val="FirstParagraph"/>
      </w:pPr>
      <w:r>
        <w:t xml:space="preserve">We evaluated pseudobulk aggregation using the public</w:t>
      </w:r>
      <w:r>
        <w:t xml:space="preserve"> </w:t>
      </w:r>
      <w:r>
        <w:t xml:space="preserve">10x Genomics PBMC granulocyte-depleted Multiome dataset </w:t>
      </w:r>
      <w:r>
        <w:t xml:space="preserve">(</w:t>
      </w:r>
      <w:r>
        <w:t xml:space="preserve">10x Genomics</w:t>
      </w:r>
      <w:r>
        <w:t xml:space="preserve"> </w:t>
      </w:r>
      <w:r>
        <w:t xml:space="preserve">2021b)</w:t>
      </w:r>
      <w:r>
        <w:t xml:space="preserve">. The</w:t>
      </w:r>
      <w:r>
        <w:t xml:space="preserve"> </w:t>
      </w:r>
      <w:r>
        <w:t xml:space="preserve">workflow used the official 10x ATAC fragments and GEX graph clusters, assigned</w:t>
      </w:r>
      <w:r>
        <w:t xml:space="preserve"> </w:t>
      </w:r>
      <w:r>
        <w:t xml:space="preserve">11,898 annotated cells to broad immune groups, and retained seven groups comprising</w:t>
      </w:r>
      <w:r>
        <w:t xml:space="preserve"> </w:t>
      </w:r>
      <w:r>
        <w:t xml:space="preserve">11,611 cells after requiring at least 300 cells and 50,000 fragments: B cells,</w:t>
      </w:r>
      <w:r>
        <w:t xml:space="preserve"> </w:t>
      </w:r>
      <w:r>
        <w:t xml:space="preserve">CD4 T cells, NK/cytotoxic T cells, CD14 monocytes, FCGR3A monocytes, dendritic</w:t>
      </w:r>
      <w:r>
        <w:t xml:space="preserve"> </w:t>
      </w:r>
      <w:r>
        <w:t xml:space="preserve">cells, and a mixed myeloid group. The</w:t>
      </w:r>
      <w:r>
        <w:t xml:space="preserve"> </w:t>
      </w:r>
      <w:r>
        <w:t xml:space="preserve">prepared figure inputs used chromosomes chr1–chr22 plus chrX. The kept</w:t>
      </w:r>
      <w:r>
        <w:t xml:space="preserve"> </w:t>
      </w:r>
      <w:r>
        <w:t xml:space="preserve">pseudobulks contained 13.6 to 144.0 million counted fragments per group and were</w:t>
      </w:r>
      <w:r>
        <w:t xml:space="preserve"> </w:t>
      </w:r>
      <w:r>
        <w:t xml:space="preserve">written as indexed fragment files plus CPM-normalized cut-site bigWigs. 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same grouped fragments to emit</w:t>
      </w:r>
      <w:r>
        <w:t xml:space="preserve"> </w:t>
      </w:r>
      <w:r>
        <w:t xml:space="preserve">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 QC and chromatin-context</w:t>
      </w:r>
      <w:r>
        <w:t xml:space="preserve"> </w:t>
      </w:r>
      <w:r>
        <w:t xml:space="preserve">signal alongside corrected footprint scores. These outputs were readable by the</w:t>
      </w:r>
      <w:r>
        <w:t xml:space="preserve"> </w:t>
      </w:r>
      <w:r>
        <w:t xml:space="preserve">same aggregate-plotting code used for bulk ATAC data. This is the main practical</w:t>
      </w:r>
      <w:r>
        <w:t xml:space="preserve"> </w:t>
      </w:r>
      <w:r>
        <w:t xml:space="preserve">extension beyond using TOBIAS directly on a prepared pseudobulk BAM or fragment</w:t>
      </w:r>
      <w:r>
        <w:t xml:space="preserve"> </w:t>
      </w:r>
      <w:r>
        <w:t xml:space="preserve">track: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keeps barcode grouping, pseudobulk QC, correction,</w:t>
      </w:r>
      <w:r>
        <w:t xml:space="preserve"> </w:t>
      </w:r>
      <w:r>
        <w:t xml:space="preserve">footprint scoring, motif-aware comparison, and aggregate plotting in one</w:t>
      </w:r>
      <w:r>
        <w:t xml:space="preserve"> </w:t>
      </w:r>
      <w:r>
        <w:t xml:space="preserve">reproducible route. This pseudobulk route is complementary to established</w:t>
      </w:r>
      <w:r>
        <w:t xml:space="preserve"> </w:t>
      </w:r>
      <w:r>
        <w:t xml:space="preserve">single-cell chromatin-accessibility ecosystems such</w:t>
      </w:r>
      <w:r>
        <w:t xml:space="preserve"> </w:t>
      </w:r>
      <w:r>
        <w:t xml:space="preserve">as ArchR and Signac and to motif-activity baselines such as</w:t>
      </w:r>
      <w:r>
        <w:t xml:space="preserve"> </w:t>
      </w:r>
      <w:r>
        <w:t xml:space="preserve">chromVAR </w:t>
      </w:r>
      <w:r>
        <w:t xml:space="preserve">(</w:t>
      </w:r>
      <w:r>
        <w:t xml:space="preserve">Granja et al.</w:t>
      </w:r>
      <w:r>
        <w:t xml:space="preserve"> </w:t>
      </w:r>
      <w:r>
        <w:t xml:space="preserve">2021; Stuart et al. 2021; Schep et al. 2017)</w:t>
      </w:r>
      <w:r>
        <w:t xml:space="preserve">.</w:t>
      </w:r>
    </w:p>
    <w:p>
      <w:pPr>
        <w:pStyle w:val="BodyText"/>
      </w:pPr>
      <w:r>
        <w:t xml:space="preserve">The pseudobulk footprint result table was also used to prioritize marker TFs for</w:t>
      </w:r>
      <w:r>
        <w:t xml:space="preserve"> </w:t>
      </w:r>
      <w:r>
        <w:t xml:space="preserve">cell-level visualization. We summarized the three broad-cell pairwise comparisons</w:t>
      </w:r>
      <w:r>
        <w:t xml:space="preserve"> </w:t>
      </w:r>
      <w:r>
        <w:t xml:space="preserve">as volcano plots and labeled only predeclared marker TFs from the two cell types</w:t>
      </w:r>
      <w:r>
        <w:t xml:space="preserve"> </w:t>
      </w:r>
      <w:r>
        <w:t xml:space="preserve">included in each comparison when the differential-footprint direction matched the</w:t>
      </w:r>
      <w:r>
        <w:t xml:space="preserve"> </w:t>
      </w:r>
      <w:r>
        <w:t xml:space="preserve">expected lineage direction. Third-lineage markers and opposite-direction markers</w:t>
      </w:r>
      <w:r>
        <w:t xml:space="preserve"> </w:t>
      </w:r>
      <w:r>
        <w:t xml:space="preserve">were not annotated.</w:t>
      </w:r>
    </w:p>
    <w:p>
      <w:pPr>
        <w:pStyle w:val="BodyText"/>
      </w:pPr>
      <w:r>
        <w:t xml:space="preserve">We also applied the per-cell KNN visualization layer to the public 10x Genomics</w:t>
      </w:r>
      <w:r>
        <w:t xml:space="preserve"> </w:t>
      </w:r>
      <w:r>
        <w:t xml:space="preserve">5k PBMC single-cell ATAC dataset </w:t>
      </w:r>
      <w:r>
        <w:t xml:space="preserve">(</w:t>
      </w:r>
      <w:r>
        <w:t xml:space="preserve">10x Genomics</w:t>
      </w:r>
      <w:r>
        <w:t xml:space="preserve"> </w:t>
      </w:r>
      <w:r>
        <w:t xml:space="preserve">2021a)</w:t>
      </w:r>
      <w:r>
        <w:t xml:space="preserve">. The demonstration</w:t>
      </w:r>
      <w:r>
        <w:t xml:space="preserve"> </w:t>
      </w:r>
      <w:r>
        <w:t xml:space="preserve">used the Cell Ranger ATAC 2.0.0 fragment dataset, broad B-cell, monocyte, and</w:t>
      </w:r>
      <w:r>
        <w:t xml:space="preserve"> </w:t>
      </w:r>
      <w:r>
        <w:t xml:space="preserve">T/NK annotations derived from the single-cell embedding, and motif-centered</w:t>
      </w:r>
      <w:r>
        <w:t xml:space="preserve"> </w:t>
      </w:r>
      <w:r>
        <w:t xml:space="preserve">marker scores for PAX5, CEBPB, TCF7, and four additional high-change marker TFs</w:t>
      </w:r>
      <w:r>
        <w:t xml:space="preserve"> </w:t>
      </w:r>
      <w:r>
        <w:t xml:space="preserve">from the pairwise pseudobulk screen: CEBPA, SPIB, ZBTB7B, and POU2F2. For each cell, the plotted value is a</w:t>
      </w:r>
      <w:r>
        <w:t xml:space="preserve"> </w:t>
      </w:r>
      <w:r>
        <w:t xml:space="preserve">KNN-smoothed footprint-signature score, not an independently bias-corrected</w:t>
      </w:r>
      <w:r>
        <w:t xml:space="preserve"> </w:t>
      </w:r>
      <w:r>
        <w:t xml:space="preserve">single-cell footprint call. We summarize these scores as a marker-by-cell-type</w:t>
      </w:r>
      <w:r>
        <w:t xml:space="preserve"> </w:t>
      </w:r>
      <w:r>
        <w:t xml:space="preserve">heatmap and as UMAP projections for one representative marker from each broad</w:t>
      </w:r>
      <w:r>
        <w:t xml:space="preserve"> </w:t>
      </w:r>
      <w:r>
        <w:t xml:space="preserve">cell type. This visualization highlights expected marker directions while avoiding</w:t>
      </w:r>
      <w:r>
        <w:t xml:space="preserve"> </w:t>
      </w:r>
      <w:r>
        <w:t xml:space="preserve">overinterpretation of sparse per-cell cut-site counts: PAX5 and POU2F2 show</w:t>
      </w:r>
      <w:r>
        <w:t xml:space="preserve"> </w:t>
      </w:r>
      <w:r>
        <w:t xml:space="preserve">B-cell-associated signal, CEBPB and CEBPA show monocyte-associated signal, and</w:t>
      </w:r>
      <w:r>
        <w:t xml:space="preserve"> </w:t>
      </w:r>
      <w:r>
        <w:t xml:space="preserve">TCF7 and ZBTB7B show T/NK-associated signal; SPIB is included as an additional</w:t>
      </w:r>
      <w:r>
        <w:t xml:space="preserve"> </w:t>
      </w:r>
      <w:r>
        <w:t xml:space="preserve">high-change B-cell marker from the pseudobulk screen</w:t>
      </w:r>
      <w:r>
        <w:t xml:space="preserve"> </w:t>
      </w:r>
      <w:r>
        <w:t xml:space="preserve">(Figure 4).</w:t>
      </w:r>
    </w:p>
    <w:p>
      <w:pPr>
        <w:pStyle w:val="BodyText"/>
      </w:pPr>
      <w:r>
        <w:drawing>
          <wp:inline>
            <wp:extent cx="5067300" cy="6557682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figures/Fig4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655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Single-cell footprinting summary in public PBMC5k single-cell ATAC data. (</w:t>
      </w:r>
      <w:r>
        <w:rPr>
          <w:b/>
          <w:bCs/>
        </w:rPr>
        <w:t xml:space="preserve">A</w:t>
      </w:r>
      <w:r>
        <w:t xml:space="preserve">) KNN-smoothed per-cell footprint-signature heatmap for selected marker TFs and top cell-type-specific motif signatures across B cells, monocytes, and T/NK cells. (</w:t>
      </w:r>
      <w:r>
        <w:rPr>
          <w:b/>
          <w:bCs/>
        </w:rPr>
        <w:t xml:space="preserve">B</w:t>
      </w:r>
      <w:r>
        <w:t xml:space="preserve">) UMAP projections show broad cell-type annotations and representative marker footprint-signature z-scores. Positive values indicate the marker-oriented footprint-signature direction after per-TF standardization; formal corrected footprint inference is performed at the pseudobulk level.</w:t>
      </w:r>
    </w:p>
    <w:bookmarkEnd w:id="35"/>
    <w:bookmarkStart w:id="42" w:name="benchmark-and-figure-reproducibility"/>
    <w:p>
      <w:pPr>
        <w:pStyle w:val="Heading2"/>
      </w:pPr>
      <w:r>
        <w:t xml:space="preserve">Benchmark and Figure Reproducibility</w:t>
      </w:r>
    </w:p>
    <w:p>
      <w:pPr>
        <w:pStyle w:val="FirstParagraph"/>
      </w:pPr>
      <w:r>
        <w:t xml:space="preserve">The tiered demonstration design (Table 1), manifest</w:t>
      </w:r>
      <w:r>
        <w:t xml:space="preserve"> </w:t>
      </w:r>
      <w:r>
        <w:t xml:space="preserve">builders, schema validator, engineering-runtime recorder, and figure-generation</w:t>
      </w:r>
      <w:r>
        <w:t xml:space="preserve"> </w:t>
      </w:r>
      <w:r>
        <w:t xml:space="preserve">scripts provide an executable path from public inputs to publication-ready</w:t>
      </w:r>
      <w:r>
        <w:t xml:space="preserve"> </w:t>
      </w:r>
      <w:r>
        <w:t xml:space="preserve">outputs. These resources serve three purposes. First, they verify that the</w:t>
      </w:r>
      <w:r>
        <w:t xml:space="preserve"> </w:t>
      </w:r>
      <w:r>
        <w:t xml:space="preserve">ATAC-seq footprinting workflow produces stable outputs on small fixtures and</w:t>
      </w:r>
      <w:r>
        <w:t xml:space="preserve"> </w:t>
      </w:r>
      <w:r>
        <w:t xml:space="preserve">public-data subsets. Second, they support the manuscript demonstrations for bulk</w:t>
      </w:r>
      <w:r>
        <w:t xml:space="preserve"> </w:t>
      </w:r>
      <w:r>
        <w:t xml:space="preserve">replicate processing, de novo motif preparation, pseudobulk aggregation,</w:t>
      </w:r>
      <w:r>
        <w:t xml:space="preserve"> </w:t>
      </w:r>
      <w:r>
        <w:t xml:space="preserve">replicate-aware normalization, and report generation. Third, they keep public</w:t>
      </w:r>
      <w:r>
        <w:t xml:space="preserve"> </w:t>
      </w:r>
      <w:r>
        <w:t xml:space="preserve">inputs, parameters, and generated figure sources auditable as the workflow is</w:t>
      </w:r>
      <w:r>
        <w:t xml:space="preserve"> </w:t>
      </w:r>
      <w:r>
        <w:t xml:space="preserve">rerun after code changes.</w:t>
      </w:r>
    </w:p>
    <w:p>
      <w:pPr>
        <w:pStyle w:val="BodyText"/>
      </w:pPr>
      <w:r>
        <w:t xml:space="preserve">The benchmark pipeline writes resolved manifests, software versions,</w:t>
      </w:r>
      <w:r>
        <w:t xml:space="preserve"> </w:t>
      </w:r>
      <w:r>
        <w:t xml:space="preserve">parameters, and plotting tables next to generated figures. This makes the</w:t>
      </w:r>
      <w:r>
        <w:t xml:space="preserve"> </w:t>
      </w:r>
      <w:r>
        <w:t xml:space="preserve">figures auditable: a reader can inspect which samples, motifs, regions, and signal</w:t>
      </w:r>
      <w:r>
        <w:t xml:space="preserve"> </w:t>
      </w:r>
      <w:r>
        <w:t xml:space="preserve">tracks were used, and the same tier can be rerun after code changes.</w:t>
      </w:r>
      <w:r>
        <w:t xml:space="preserve"> </w:t>
      </w:r>
      <w:r>
        <w:t xml:space="preserve">Representative local engineering measurements summarize runtime and peak memory</w:t>
      </w:r>
      <w:r>
        <w:t xml:space="preserve"> </w:t>
      </w:r>
      <w:r>
        <w:t xml:space="preserve">for one local workflow comparison using the same input bundle and command-level</w:t>
      </w:r>
      <w:r>
        <w:t xml:space="preserve"> </w:t>
      </w:r>
      <w:r>
        <w:t xml:space="preserve">outputs (Figure 5). The browser GUI emphasizes the same</w:t>
      </w:r>
      <w:r>
        <w:t xml:space="preserve"> </w:t>
      </w:r>
      <w:r>
        <w:t xml:space="preserve">command-first workflow while making example loading, YAML review, run history,</w:t>
      </w:r>
      <w:r>
        <w:t xml:space="preserve"> </w:t>
      </w:r>
      <w:r>
        <w:t xml:space="preserve">and report inspection accessible to users who do not routinely work at the</w:t>
      </w:r>
      <w:r>
        <w:t xml:space="preserve"> </w:t>
      </w:r>
      <w:r>
        <w:t xml:space="preserve">command line (Figure 6).</w:t>
      </w:r>
    </w:p>
    <w:p>
      <w:pPr>
        <w:pStyle w:val="BodyText"/>
      </w:pPr>
      <w:r>
        <w:drawing>
          <wp:inline>
            <wp:extent cx="5067300" cy="1534541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figures/Fig5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34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Representative local engineering comparison. (</w:t>
      </w:r>
      <w:r>
        <w:rPr>
          <w:b/>
          <w:bCs/>
        </w:rPr>
        <w:t xml:space="preserve">A</w:t>
      </w:r>
      <w:r>
        <w:t xml:space="preserve">) Runtime and (</w:t>
      </w:r>
      <w:r>
        <w:rPr>
          <w:b/>
          <w:bCs/>
        </w:rPr>
        <w:t xml:space="preserve">B</w:t>
      </w:r>
      <w:r>
        <w:t xml:space="preserve">) peak memory are summarized for one local workflow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 These measurements are included as an engineering check, not as an exhaustive cross-tool benchmark.</w:t>
      </w:r>
    </w:p>
    <w:p>
      <w:pPr>
        <w:pStyle w:val="BodyText"/>
      </w:pPr>
      <w:r>
        <w:drawing>
          <wp:inline>
            <wp:extent cx="5067300" cy="3066255"/>
            <wp:effectExtent b="0" l="0" r="0" t="0"/>
            <wp:docPr descr="image" title="" id="40" name="Picture"/>
            <a:graphic>
              <a:graphicData uri="http://schemas.openxmlformats.org/drawingml/2006/picture">
                <pic:pic>
                  <pic:nvPicPr>
                    <pic:cNvPr descr="figures/Fig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66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Browser GUI for command-compatible footprinting workflows. The GUI provides sidebar access to core commands, guided configuration panels, example loading, YAML preview, run-history review, and report/output inspection while preserving CLI-compatible configuration files.</w:t>
      </w:r>
    </w:p>
    <w:bookmarkEnd w:id="42"/>
    <w:bookmarkEnd w:id="43"/>
    <w:bookmarkStart w:id="4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contributes a reproducible platform for ATAC-seq footprinting</w:t>
      </w:r>
      <w:r>
        <w:t xml:space="preserve"> </w:t>
      </w:r>
      <w:r>
        <w:t xml:space="preserve">and motif-centered regulatory analysis. Its comparative strengths are</w:t>
      </w:r>
      <w:r>
        <w:t xml:space="preserve"> </w:t>
      </w:r>
      <w:r>
        <w:t xml:space="preserve">interface consistency across bias correction, footprint calling, differential</w:t>
      </w:r>
      <w:r>
        <w:t xml:space="preserve"> </w:t>
      </w:r>
      <w:r>
        <w:t xml:space="preserve">footprint analysis, and aggregate visualization; deterministic regression coverage; explicit</w:t>
      </w:r>
      <w:r>
        <w:t xml:space="preserve"> </w:t>
      </w:r>
      <w:r>
        <w:t xml:space="preserve">handling of replicate-aware summaries; and integrated support for de novo motif preparation and pseudobulk aggregation using the same region, motif, and signal conventions</w:t>
      </w:r>
      <w:r>
        <w:t xml:space="preserve"> </w:t>
      </w:r>
      <w:r>
        <w:t xml:space="preserve">(Table 2). Together, these properties address the fragmentation that often separates footprint scoring, motif interpretation, and report generation.</w:t>
      </w:r>
      <w:r>
        <w:t xml:space="preserve"> </w:t>
      </w:r>
      <w:r>
        <w:t xml:space="preserve">The closest comparison is TOBIAS, which established a widely used integrated</w:t>
      </w:r>
      <w:r>
        <w:t xml:space="preserve"> </w:t>
      </w:r>
      <w:r>
        <w:t xml:space="preserve">ATAC 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does not</w:t>
      </w:r>
      <w:r>
        <w:t xml:space="preserve"> </w:t>
      </w:r>
      <w:r>
        <w:t xml:space="preserve">claim a new Tn5 bias-correction model or a fundamentally different</w:t>
      </w:r>
      <w:r>
        <w:t xml:space="preserve"> </w:t>
      </w:r>
      <w:r>
        <w:t xml:space="preserve">center-versus-flank footprint statistic. The improvement is instead at the</w:t>
      </w:r>
      <w:r>
        <w:t xml:space="preserve"> </w:t>
      </w:r>
      <w:r>
        <w:t xml:space="preserve">platform layer: consistent modern command names, reusable YAML execution, report</w:t>
      </w:r>
      <w:r>
        <w:t xml:space="preserve"> </w:t>
      </w:r>
      <w:r>
        <w:t xml:space="preserve">and SVG export, explicit replicate-reporting modes, de novo motif-preparation</w:t>
      </w:r>
      <w:r>
        <w:t xml:space="preserve"> </w:t>
      </w:r>
      <w:r>
        <w:t xml:space="preserve">handoff, pseudobulk single-cell aggregation, GUI access, and regression-tested</w:t>
      </w:r>
      <w:r>
        <w:t xml:space="preserve"> </w:t>
      </w:r>
      <w:r>
        <w:t xml:space="preserve">example outputs.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Qualitative scope comparison across widely used ATAC-seq regulatory-analysis tools. , documented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partial, indirect, or adjacent support; NA, outside the tool’s primary scope. The table summarizes workflow scope from public documentation and primary publications; it is not a performance benchmark and should be read with the different goals of these tools in mind. TOBIAS is the closest core footprinting comparator;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columns emphasize workflow extensions around that motif-centered model rather than a claim of superior footprint biology.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scPrinter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BPNet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Deep sequence-to-profile models such as ChromBPNet provide powerful</w:t>
      </w:r>
      <w:r>
        <w:t xml:space="preserve"> </w:t>
      </w:r>
      <w:r>
        <w:t xml:space="preserve">sequence-driven occupancy and variant-effect analyses </w:t>
      </w:r>
      <w:r>
        <w:t xml:space="preserve">(</w:t>
      </w:r>
      <w:r>
        <w:t xml:space="preserve">Pampari et al.</w:t>
      </w:r>
      <w:r>
        <w:t xml:space="preserve"> </w:t>
      </w:r>
      <w:r>
        <w:t xml:space="preserve">2024)</w:t>
      </w:r>
      <w:r>
        <w:t xml:space="preserve">. Differential TF activity was also considered relative to orthogonal accessibility-based frameworks such as diffTF </w:t>
      </w:r>
      <w:r>
        <w:t xml:space="preserve">(Berest et al. 2019)</w:t>
      </w:r>
      <w:r>
        <w:t xml:space="preserve">.</w:t>
      </w:r>
      <w:r>
        <w:t xml:space="preserve"> </w:t>
      </w:r>
      <w:r>
        <w:t xml:space="preserve">In this broader landscape,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best viewed as a practical</w:t>
      </w:r>
      <w:r>
        <w:t xml:space="preserve"> </w:t>
      </w:r>
      <w:r>
        <w:t xml:space="preserve">extension of motif-centered ATAC footprinting rather than a replacement for</w:t>
      </w:r>
      <w:r>
        <w:t xml:space="preserve"> </w:t>
      </w:r>
      <w:r>
        <w:t xml:space="preserve">specialized single-cell, deep-learning, or occupancy-prediction methods. The</w:t>
      </w:r>
      <w:r>
        <w:t xml:space="preserve"> </w:t>
      </w:r>
      <w:r>
        <w:t xml:space="preserve">replicate-aware summaries reported here use</w:t>
      </w:r>
      <w:r>
        <w:t xml:space="preserve"> </w:t>
      </w:r>
      <w:r>
        <w:t xml:space="preserve">condition-level and replicate-level score variation to aid interpretation of</w:t>
      </w:r>
      <w:r>
        <w:t xml:space="preserve"> </w:t>
      </w:r>
      <w:r>
        <w:t xml:space="preserve">differential footprint comparisons. The default distribution-comparison report is</w:t>
      </w:r>
      <w:r>
        <w:t xml:space="preserve"> </w:t>
      </w:r>
      <w:r>
        <w:t xml:space="preserve">available for single-sample or multi-sample condition groups, and the</w:t>
      </w:r>
      <w:r>
        <w:t xml:space="preserve"> </w:t>
      </w:r>
      <w:r>
        <w:t xml:space="preserve">empirical-Bayes matrix view provides a limma-like moderated replicate analysis</w:t>
      </w:r>
      <w:r>
        <w:t xml:space="preserve"> </w:t>
      </w:r>
      <w:r>
        <w:t xml:space="preserve">when a per-replicate motif-score matrix is available.</w:t>
      </w:r>
    </w:p>
    <w:bookmarkStart w:id="44" w:name="threats-to-validity-and-scope"/>
    <w:p>
      <w:pPr>
        <w:pStyle w:val="Heading2"/>
      </w:pPr>
      <w:r>
        <w:t xml:space="preserve">Threats to Validity and Scope</w:t>
      </w:r>
    </w:p>
    <w:p>
      <w:pPr>
        <w:pStyle w:val="FirstParagraph"/>
      </w:pPr>
      <w:r>
        <w:t xml:space="preserve">The present manuscript emphasizes reproducible workflow demonstrations, local</w:t>
      </w:r>
      <w:r>
        <w:t xml:space="preserve"> </w:t>
      </w:r>
      <w:r>
        <w:t xml:space="preserve">engineering checks, and public-data examples; it is not a comprehensive</w:t>
      </w:r>
      <w:r>
        <w:t xml:space="preserve"> </w:t>
      </w:r>
      <w:r>
        <w:t xml:space="preserve">cross-tool benchmark. Larger whole-genome transfer studies, including training on</w:t>
      </w:r>
      <w:r>
        <w:t xml:space="preserve"> </w:t>
      </w:r>
      <w:r>
        <w:t xml:space="preserve">some cell lines and testing on others, and direct head-to-head runs of external</w:t>
      </w:r>
      <w:r>
        <w:t xml:space="preserve"> </w:t>
      </w:r>
      <w:r>
        <w:t xml:space="preserve">tools such as TOBIAS, HINT-ATAC, PRINT/scPrinter, maxATAC, and ChromBPNet on</w:t>
      </w:r>
      <w:r>
        <w:t xml:space="preserve"> </w:t>
      </w:r>
      <w:r>
        <w:t xml:space="preserve">identical locus sets will require larger controlled benchmark runs with repeated</w:t>
      </w:r>
      <w:r>
        <w:t xml:space="preserve"> </w:t>
      </w:r>
      <w:r>
        <w:t xml:space="preserve">measurements, matched parameters, and explicit uncertainty. The runtime and</w:t>
      </w:r>
      <w:r>
        <w:t xml:space="preserve"> </w:t>
      </w:r>
      <w:r>
        <w:t xml:space="preserve">memory measurements in Figure 5 are representative local</w:t>
      </w:r>
      <w:r>
        <w:t xml:space="preserve"> </w:t>
      </w:r>
      <w:r>
        <w:t xml:space="preserve">engineering checks, not general performance claims.</w:t>
      </w:r>
    </w:p>
    <w:p>
      <w:pPr>
        <w:pStyle w:val="BodyText"/>
      </w:pPr>
      <w:r>
        <w:t xml:space="preserve">Several biological panels are illustrative by design. The de novo recovery</w:t>
      </w:r>
      <w:r>
        <w:t xml:space="preserve"> </w:t>
      </w:r>
      <w:r>
        <w:t xml:space="preserve">summary uses a merged-window overlap metric rather than an independent binding</w:t>
      </w:r>
      <w:r>
        <w:t xml:space="preserve"> </w:t>
      </w:r>
      <w:r>
        <w:t xml:space="preserve">truth set, and the restricted-database sensitivity analysis depends on a</w:t>
      </w:r>
      <w:r>
        <w:t xml:space="preserve"> </w:t>
      </w:r>
      <w:r>
        <w:t xml:space="preserve">specified motif-family removal list.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column is a report</w:t>
      </w:r>
      <w:r>
        <w:t xml:space="preserve"> </w:t>
      </w:r>
      <w:r>
        <w:t xml:space="preserve">selection flag and should not be interpreted as statistical significance. The</w:t>
      </w:r>
      <w:r>
        <w:t xml:space="preserve"> </w:t>
      </w:r>
      <w:r>
        <w:t xml:space="preserve">PBMC marker labels and aggregate examples emphasize expected-direction markers to</w:t>
      </w:r>
      <w:r>
        <w:t xml:space="preserve"> </w:t>
      </w:r>
      <w:r>
        <w:t xml:space="preserve">show whether outputs are biologically plausible; full ranked tables are needed</w:t>
      </w:r>
      <w:r>
        <w:t xml:space="preserve"> </w:t>
      </w:r>
      <w:r>
        <w:t xml:space="preserve">for formal marker-discovery claims. Finally, KNN-smoothed single-cell</w:t>
      </w:r>
      <w:r>
        <w:t xml:space="preserve"> </w:t>
      </w:r>
      <w:r>
        <w:t xml:space="preserve">footprint-signature scores are visualization summaries over neighboring cells,</w:t>
      </w:r>
      <w:r>
        <w:t xml:space="preserve"> </w:t>
      </w:r>
      <w:r>
        <w:t xml:space="preserve">whereas formal bias-corrected footprint inference is performed on grouped</w:t>
      </w:r>
      <w:r>
        <w:t xml:space="preserve"> </w:t>
      </w:r>
      <w:r>
        <w:t xml:space="preserve">pseudobulk data.</w:t>
      </w:r>
    </w:p>
    <w:p>
      <w:pPr>
        <w:pStyle w:val="BodyText"/>
      </w:pPr>
      <w:r>
        <w:t xml:space="preserve">Large public-benchmark inputs depend on external data acquisition and are</w:t>
      </w:r>
      <w:r>
        <w:t xml:space="preserve"> </w:t>
      </w:r>
      <w:r>
        <w:t xml:space="preserve">therefore regenerated from committed manifests rather than stored directly in the</w:t>
      </w:r>
      <w:r>
        <w:t xml:space="preserve"> </w:t>
      </w:r>
      <w:r>
        <w:t xml:space="preserve">repository. Natural next steps include larger external-tool comparisons,</w:t>
      </w:r>
      <w:r>
        <w:t xml:space="preserve"> </w:t>
      </w:r>
      <w:r>
        <w:t xml:space="preserve">additional public validation datasets, expanded pseudobulk analyses across donors</w:t>
      </w:r>
      <w:r>
        <w:t xml:space="preserve"> </w:t>
      </w:r>
      <w:r>
        <w:t xml:space="preserve">and tissues, and richer hierarchical models for experiments with larger</w:t>
      </w:r>
      <w:r>
        <w:t xml:space="preserve"> </w:t>
      </w:r>
      <w:r>
        <w:t xml:space="preserve">replicate counts.</w:t>
      </w:r>
    </w:p>
    <w:bookmarkEnd w:id="44"/>
    <w:bookmarkEnd w:id="45"/>
    <w:bookmarkStart w:id="46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reproducible platform</w:t>
      </w:r>
      <w:r>
        <w:t xml:space="preserve"> </w:t>
      </w:r>
      <w:r>
        <w:t xml:space="preserve">that unifies ATAC-seq footprinting with motif-discovery preparation, pseudobulk aggregation, and replicate-aware reporting.</w:t>
      </w:r>
      <w:r>
        <w:t xml:space="preserve"> </w:t>
      </w:r>
      <w:r>
        <w:t xml:space="preserve">By pairing test-covered workflows with public-data manifests, source</w:t>
      </w:r>
      <w:r>
        <w:t xml:space="preserve"> </w:t>
      </w:r>
      <w:r>
        <w:t xml:space="preserve">tables, and reproducible figure generation, the package supports standardized and</w:t>
      </w:r>
      <w:r>
        <w:t xml:space="preserve"> </w:t>
      </w:r>
      <w:r>
        <w:t xml:space="preserve">auditable regulatory-genomics analysis. Future work will add larger whole-genome transfer studies, direct external-tool</w:t>
      </w:r>
      <w:r>
        <w:t xml:space="preserve"> </w:t>
      </w:r>
      <w:r>
        <w:t xml:space="preserve">comparisons, multiscale and nucleosome-aware validation, and stronger hierarchical</w:t>
      </w:r>
      <w:r>
        <w:t xml:space="preserve"> </w:t>
      </w:r>
      <w:r>
        <w:t xml:space="preserve">differential-binding validation.</w:t>
      </w:r>
    </w:p>
    <w:bookmarkEnd w:id="46"/>
    <w:bookmarkStart w:id="47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bookmarkEnd w:id="47"/>
    <w:bookmarkStart w:id="4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8"/>
    <w:bookmarkStart w:id="49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bookmarkEnd w:id="49"/>
    <w:bookmarkStart w:id="50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50"/>
    <w:bookmarkStart w:id="52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51">
        <w:r>
          <w:rPr>
            <w:rStyle w:val="VerbatimChar"/>
          </w:rPr>
          <w:t xml:space="preserve">oncologylab/fp-tools</w:t>
        </w:r>
      </w:hyperlink>
      <w:r>
        <w:t xml:space="preserve">;</w:t>
      </w:r>
      <w:r>
        <w:t xml:space="preserve"> </w:t>
      </w:r>
      <w:r>
        <w:t xml:space="preserve">the source state for this manuscript revision is identified by the Git tag</w:t>
      </w:r>
      <w:r>
        <w:t xml:space="preserve"> </w:t>
      </w:r>
      <w:r>
        <w:rPr>
          <w:rStyle w:val="VerbatimChar"/>
        </w:rPr>
        <w:t xml:space="preserve">manuscript-revision-2026-06-22</w:t>
      </w:r>
      <w:r>
        <w:t xml:space="preserve">.</w:t>
      </w:r>
      <w:r>
        <w:t xml:space="preserve"> </w:t>
      </w:r>
      <w:r>
        <w:t xml:space="preserve">The repository contains the</w:t>
      </w:r>
      <w:r>
        <w:t xml:space="preserve"> </w:t>
      </w:r>
      <w:r>
        <w:t xml:space="preserve">benchmark manifests, schemas, analysis scripts, figure generators, source tables,</w:t>
      </w:r>
      <w:r>
        <w:t xml:space="preserve"> </w:t>
      </w:r>
      <w:r>
        <w:t xml:space="preserve">and small result tables used in this manuscript. Public input data are obtained</w:t>
      </w:r>
      <w:r>
        <w:t xml:space="preserve"> </w:t>
      </w:r>
      <w:r>
        <w:t xml:space="preserve">from the ENCODE Project </w:t>
      </w:r>
      <w:r>
        <w:t xml:space="preserve">(The ENCODE Project Consortium 2012)</w:t>
      </w:r>
      <w:r>
        <w:t xml:space="preserve">, the 10x Genomics PBMC Multiome</w:t>
      </w:r>
      <w:r>
        <w:t xml:space="preserve"> </w:t>
      </w:r>
      <w:r>
        <w:t xml:space="preserve">example </w:t>
      </w:r>
      <w:r>
        <w:t xml:space="preserve">(</w:t>
      </w:r>
      <w:r>
        <w:t xml:space="preserve">10x Genomics</w:t>
      </w:r>
      <w:r>
        <w:t xml:space="preserve"> </w:t>
      </w:r>
      <w:r>
        <w:t xml:space="preserve">2021b)</w:t>
      </w:r>
      <w:r>
        <w:t xml:space="preserve">, the 10x Genomics PBMC5k single-cell ATAC</w:t>
      </w:r>
      <w:r>
        <w:t xml:space="preserve"> </w:t>
      </w:r>
      <w:r>
        <w:t xml:space="preserve">example </w:t>
      </w:r>
      <w:r>
        <w:t xml:space="preserve">(</w:t>
      </w:r>
      <w:r>
        <w:t xml:space="preserve">10x Genomics</w:t>
      </w:r>
      <w:r>
        <w:t xml:space="preserve"> </w:t>
      </w:r>
      <w:r>
        <w:t xml:space="preserve">2021a)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(Ovek Baydar et al. 2026)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Reviewer reproduction instructions are provided in</w:t>
      </w:r>
      <w:r>
        <w:t xml:space="preserve"> </w:t>
      </w:r>
      <w:r>
        <w:rPr>
          <w:rStyle w:val="VerbatimChar"/>
        </w:rPr>
        <w:t xml:space="preserve">docs/reproduce-paper.md</w:t>
      </w:r>
      <w:r>
        <w:t xml:space="preserve">; 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 repository Dockerfile. Full raw public inputs are not stored in version control and are</w:t>
      </w:r>
      <w:r>
        <w:t xml:space="preserve"> </w:t>
      </w:r>
      <w:r>
        <w:t xml:space="preserve">regenerated from committed manifests.</w:t>
      </w:r>
    </w:p>
    <w:bookmarkEnd w:id="52"/>
    <w:bookmarkStart w:id="53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bookmarkEnd w:id="53"/>
    <w:bookmarkStart w:id="54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</w:t>
      </w:r>
    </w:p>
    <w:bookmarkEnd w:id="54"/>
    <w:bookmarkStart w:id="55" w:name="appendix"/>
    <w:p>
      <w:pPr>
        <w:pStyle w:val="Heading1"/>
      </w:pPr>
      <w:r>
        <w:t xml:space="preserve">Appendix</w:t>
      </w:r>
    </w:p>
    <w:p>
      <w:pPr>
        <w:pStyle w:val="FirstParagraph"/>
      </w:pPr>
      <w:r>
        <w:rPr>
          <w:b/>
          <w:bCs/>
        </w:rPr>
        <w:t xml:space="preserve">Table 3.</w:t>
      </w:r>
      <w:r>
        <w:t xml:space="preserve"> </w:t>
      </w:r>
      <w:r>
        <w:t xml:space="preserve">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“Primary analysis parameters”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Buenrostro B-cell/T-cell FASTQs and ENCODE K562/HepG2 replicate tracks. Pseudobulk examples use public granulocyte-depleted 10x PBMC Multiome and PBMC5k scATAC fragment datasets. Motif analyses use JASPAR 2026 CORE vertebrate non-redundant motifs.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FASTQ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adapter detection and trimming with</w:t>
            </w:r>
            <w:r>
              <w:t xml:space="preserve"> </w:t>
            </w:r>
            <w:r>
              <w:rPr>
                <w:rStyle w:val="VerbatimChar"/>
              </w:rPr>
              <w:t xml:space="preserve">fastp</w:t>
            </w:r>
            <w:r>
              <w:t xml:space="preserve">; HTML and JSON QC reports written for each sample.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Alignment and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aligned to hg38 with</w:t>
            </w:r>
            <w:r>
              <w:t xml:space="preserve"> </w:t>
            </w:r>
            <w:r>
              <w:rPr>
                <w:rStyle w:val="VerbatimChar"/>
              </w:rPr>
              <w:t xml:space="preserve">bowtie2 --very-sensitive -X 2000</w:t>
            </w:r>
            <w:r>
              <w:t xml:space="preserve">; proper pairs retained with</w:t>
            </w:r>
            <w:r>
              <w:t xml:space="preserve"> </w:t>
            </w:r>
            <w:r>
              <w:rPr>
                <w:rStyle w:val="VerbatimChar"/>
              </w:rPr>
              <w:t xml:space="preserve">samtools view -f 2 -F 2828 -q 30</w:t>
            </w:r>
            <w:r>
              <w:t xml:space="preserve">; BAMs sorted, fixed with</w:t>
            </w:r>
            <w:r>
              <w:t xml:space="preserve"> </w:t>
            </w:r>
            <w:r>
              <w:rPr>
                <w:rStyle w:val="VerbatimChar"/>
              </w:rPr>
              <w:t xml:space="preserve">fixmate -m</w:t>
            </w:r>
            <w:r>
              <w:t xml:space="preserve">, duplicate-marked with</w:t>
            </w:r>
            <w:r>
              <w:t xml:space="preserve"> </w:t>
            </w:r>
            <w:r>
              <w:rPr>
                <w:rStyle w:val="VerbatimChar"/>
              </w:rPr>
              <w:t xml:space="preserve">markdup -r</w:t>
            </w:r>
            <w:r>
              <w:t xml:space="preserve">, indexed, and summarized with flagstat/idxstats.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MACS3 paired-end peaks called at q-value 0.01 and merged across replicates into one analysis peak set.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--score footprint</w:t>
            </w:r>
            <w:r>
              <w:t xml:space="preserve"> </w:t>
            </w:r>
            <w:r>
              <w:t xml:space="preserve">run on corrected cut-site bigWigs with default footprint and flank windows.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Buenrostro and ENCODE replicate footprint tracks analyzed with repeated condition labels, JASPAR 2026 motifs, and replicate reporting enabled. Runs include no-normalization and sample-quantile-normalized distribution-comparison settings where indicated; replicate-supported motif-score matrix reviews additionally use the limma-like empirical-Bayes view.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condition-level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--dna --nmotifs 250</w:t>
            </w:r>
            <w:r>
              <w:t xml:space="preserve">; Tomtom 5.5.9 matched discovered motifs to JASPAR 2026; de novo motifs were evaluated alone and as additions to known motif sets.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Pseudobulk PBMC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PBMC fragments grouped by broad immune labels, retaining groups with at least 300 cells and 50,000 fragments.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and aggregate plots. The PBMC5k demonstration uses broad B-cell/monocyte/T–NK labels, marker sites, pairwise volcano plots, and KNN-smoothed footprint-signature UMAPs.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Software and resource versions used for manuscript analyses. The complete source table is provided in the Supplementary Materials as</w:t>
      </w:r>
      <w:r>
        <w:t xml:space="preserve"> </w:t>
      </w:r>
      <w:r>
        <w:t xml:space="preserve">“Software and resource versions”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bowtie2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hg38 read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 Multiome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FASTQ adapter detection, trimming, and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alignment and sequence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ATAC-seq peak calling in paired-end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filtering, sorting, fixmate, duplicate marking,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End w:id="55"/>
    <w:bookmarkStart w:id="127" w:name="bibliography"/>
    <w:p>
      <w:pPr>
        <w:pStyle w:val="Heading1"/>
      </w:pPr>
      <w:r>
        <w:t xml:space="preserve">References</w:t>
      </w:r>
    </w:p>
    <w:bookmarkStart w:id="126" w:name="refs"/>
    <w:bookmarkStart w:id="57" w:name="ref-tenxpbmc5katac2021"/>
    <w:p>
      <w:pPr>
        <w:pStyle w:val="Bibliography"/>
      </w:pPr>
      <w:r>
        <w:t xml:space="preserve">10x Genomics</w:t>
      </w:r>
      <w:r>
        <w:t xml:space="preserve">. 2021a.</w:t>
      </w:r>
      <w:r>
        <w:t xml:space="preserve"> </w:t>
      </w:r>
      <w:r>
        <w:rPr>
          <w:i/>
          <w:iCs/>
        </w:rPr>
        <w:t xml:space="preserve">5k Peripheral Blood Mononuclear Cells (PBMCs) from a Healthy Donor (Next GEM v1.1)</w:t>
      </w:r>
      <w:r>
        <w:t xml:space="preserve">. 10x Genomics public dataset, Cell Ranger ATAC 2.0.0.</w:t>
      </w:r>
      <w:r>
        <w:t xml:space="preserve"> </w:t>
      </w:r>
      <w:hyperlink r:id="rId56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  <w:r>
        <w:t xml:space="preserve">.</w:t>
      </w:r>
    </w:p>
    <w:bookmarkEnd w:id="57"/>
    <w:bookmarkStart w:id="59" w:name="ref-tenxpbmc2021"/>
    <w:p>
      <w:pPr>
        <w:pStyle w:val="Bibliography"/>
      </w:pPr>
      <w:r>
        <w:t xml:space="preserve">10x Genomics</w:t>
      </w:r>
      <w:r>
        <w:t xml:space="preserve">. 2021b.</w:t>
      </w:r>
      <w:r>
        <w:t xml:space="preserve"> </w:t>
      </w:r>
      <w:r>
        <w:rPr>
          <w:i/>
          <w:iCs/>
        </w:rPr>
        <w:t xml:space="preserve">PBMC from a healthy donor, granulocytes removed through cell sorting, single cell multiome ATAC + gene expression</w:t>
      </w:r>
      <w:r>
        <w:t xml:space="preserve">. 10x Genomics public dataset, Cell Ranger ARC 2.0.0.</w:t>
      </w:r>
      <w:r>
        <w:t xml:space="preserve"> </w:t>
      </w:r>
      <w:hyperlink r:id="rId58">
        <w:r>
          <w:rPr>
            <w:rStyle w:val="Hyperlink"/>
          </w:rPr>
          <w:t xml:space="preserve">https://www.10xgenomics.com/datasets/pbmc-from-a-healthy-donor-granulocytes-removed-through-cell-sorting-10-k-1-standard-2-0-0</w:t>
        </w:r>
      </w:hyperlink>
      <w:r>
        <w:t xml:space="preserve">.</w:t>
      </w:r>
    </w:p>
    <w:bookmarkEnd w:id="59"/>
    <w:bookmarkStart w:id="61" w:name="ref-Amemiya2019_Blacklist"/>
    <w:p>
      <w:pPr>
        <w:pStyle w:val="Bibliography"/>
      </w:pPr>
      <w:r>
        <w:t xml:space="preserve">Amemiya, Haley M., Anshul Kundaje, and Alan P. Boyle. 2019.</w:t>
      </w:r>
      <w:r>
        <w:t xml:space="preserve"> </w:t>
      </w:r>
      <w:r>
        <w:t xml:space="preserve">“The ENCODE Blacklist: Identification of Problematic Regions of the Genome.”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9: 9354.</w:t>
      </w:r>
      <w:r>
        <w:t xml:space="preserve"> </w:t>
      </w:r>
      <w:hyperlink r:id="rId60">
        <w:r>
          <w:rPr>
            <w:rStyle w:val="Hyperlink"/>
          </w:rPr>
          <w:t xml:space="preserve">https://doi.org/10.1038/s41598-019-45839-z</w:t>
        </w:r>
      </w:hyperlink>
      <w:r>
        <w:t xml:space="preserve">.</w:t>
      </w:r>
    </w:p>
    <w:bookmarkEnd w:id="61"/>
    <w:bookmarkStart w:id="63" w:name="ref-Bailey2011_DREME"/>
    <w:p>
      <w:pPr>
        <w:pStyle w:val="Bibliography"/>
      </w:pPr>
      <w:r>
        <w:t xml:space="preserve">Bailey, Timothy L. 2011.</w:t>
      </w:r>
      <w:r>
        <w:t xml:space="preserve"> </w:t>
      </w:r>
      <w:r>
        <w:t xml:space="preserve">“DREME: Motif Discovery in Transcription Factor ChIP-Seq Data.”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27 (12): 1653–59.</w:t>
      </w:r>
      <w:r>
        <w:t xml:space="preserve"> </w:t>
      </w:r>
      <w:hyperlink r:id="rId62">
        <w:r>
          <w:rPr>
            <w:rStyle w:val="Hyperlink"/>
          </w:rPr>
          <w:t xml:space="preserve">https://doi.org/10.1093/bioinformatics/btr261</w:t>
        </w:r>
      </w:hyperlink>
      <w:r>
        <w:t xml:space="preserve">.</w:t>
      </w:r>
    </w:p>
    <w:bookmarkEnd w:id="63"/>
    <w:bookmarkStart w:id="65" w:name="ref-Bailey2021_STREME"/>
    <w:p>
      <w:pPr>
        <w:pStyle w:val="Bibliography"/>
      </w:pPr>
      <w:r>
        <w:t xml:space="preserve">Bailey, Timothy L. 2021.</w:t>
      </w:r>
      <w:r>
        <w:t xml:space="preserve"> </w:t>
      </w:r>
      <w:r>
        <w:t xml:space="preserve">“STREME: Accurate and Versatile Sequence Motif Discovery.”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37 (18): 2834–40.</w:t>
      </w:r>
      <w:r>
        <w:t xml:space="preserve"> </w:t>
      </w:r>
      <w:hyperlink r:id="rId64">
        <w:r>
          <w:rPr>
            <w:rStyle w:val="Hyperlink"/>
          </w:rPr>
          <w:t xml:space="preserve">https://doi.org/10.1093/bioinformatics/btab203</w:t>
        </w:r>
      </w:hyperlink>
      <w:r>
        <w:t xml:space="preserve">.</w:t>
      </w:r>
    </w:p>
    <w:bookmarkEnd w:id="65"/>
    <w:bookmarkStart w:id="67" w:name="ref-bailey2015meme"/>
    <w:p>
      <w:pPr>
        <w:pStyle w:val="Bibliography"/>
      </w:pPr>
      <w:r>
        <w:t xml:space="preserve">Bailey, Timothy L., James Johnson, Charles E. Grant, and William S. Noble. 2015.</w:t>
      </w:r>
      <w:r>
        <w:t xml:space="preserve"> </w:t>
      </w:r>
      <w:r>
        <w:t xml:space="preserve">“The</w:t>
      </w:r>
      <w:r>
        <w:t xml:space="preserve"> </w:t>
      </w:r>
      <w:r>
        <w:t xml:space="preserve">MEME</w:t>
      </w:r>
      <w:r>
        <w:t xml:space="preserve"> </w:t>
      </w:r>
      <w:r>
        <w:t xml:space="preserve">Suite.”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(W1): W39–49.</w:t>
      </w:r>
      <w:r>
        <w:t xml:space="preserve"> </w:t>
      </w:r>
      <w:hyperlink r:id="rId66">
        <w:r>
          <w:rPr>
            <w:rStyle w:val="Hyperlink"/>
          </w:rPr>
          <w:t xml:space="preserve">https://doi.org/10.1093/nar/gkv416</w:t>
        </w:r>
      </w:hyperlink>
      <w:r>
        <w:t xml:space="preserve">.</w:t>
      </w:r>
    </w:p>
    <w:bookmarkEnd w:id="67"/>
    <w:bookmarkStart w:id="69" w:name="ref-bentsen2020"/>
    <w:p>
      <w:pPr>
        <w:pStyle w:val="Bibliography"/>
      </w:pPr>
      <w:r>
        <w:t xml:space="preserve">Bentsen, Mette, Philipp Goymann, Hendrik Schultheis, et al. 2020.</w:t>
      </w:r>
      <w:r>
        <w:t xml:space="preserve"> </w:t>
      </w:r>
      <w:r>
        <w:t xml:space="preserve">“</w:t>
      </w:r>
      <w:r>
        <w:t xml:space="preserve">ATAC</w:t>
      </w:r>
      <w:r>
        <w:t xml:space="preserve">-Seq Footprinting Unravels Kinetics of Transcription Factor Binding During Zygotic Genome Activation.”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11: 4267.</w:t>
      </w:r>
      <w:r>
        <w:t xml:space="preserve"> </w:t>
      </w:r>
      <w:hyperlink r:id="rId68">
        <w:r>
          <w:rPr>
            <w:rStyle w:val="Hyperlink"/>
          </w:rPr>
          <w:t xml:space="preserve">https://doi.org/10.1038/s41467-020-18035-1</w:t>
        </w:r>
      </w:hyperlink>
      <w:r>
        <w:t xml:space="preserve">.</w:t>
      </w:r>
    </w:p>
    <w:bookmarkEnd w:id="69"/>
    <w:bookmarkStart w:id="71" w:name="ref-Berest2019_diffTF"/>
    <w:p>
      <w:pPr>
        <w:pStyle w:val="Bibliography"/>
      </w:pPr>
      <w:r>
        <w:t xml:space="preserve">Berest, Inga, Claudia Arnold, Alfonso Reyes-Palomares, et al. 2019.</w:t>
      </w:r>
      <w:r>
        <w:t xml:space="preserve"> </w:t>
      </w:r>
      <w:r>
        <w:t xml:space="preserve">“Quantification of Differential Transcription Factor Activity and Multiomics-Based Classification into Activators and Repressors: diffTF.”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t xml:space="preserve">29 (10): 3147–3159.e12.</w:t>
      </w:r>
      <w:r>
        <w:t xml:space="preserve"> </w:t>
      </w:r>
      <w:hyperlink r:id="rId70">
        <w:r>
          <w:rPr>
            <w:rStyle w:val="Hyperlink"/>
          </w:rPr>
          <w:t xml:space="preserve">https://doi.org/10.1016/j.celrep.2019.10.106</w:t>
        </w:r>
      </w:hyperlink>
      <w:r>
        <w:t xml:space="preserve">.</w:t>
      </w:r>
    </w:p>
    <w:bookmarkEnd w:id="71"/>
    <w:bookmarkStart w:id="73" w:name="ref-buenrostro2013"/>
    <w:p>
      <w:pPr>
        <w:pStyle w:val="Bibliography"/>
      </w:pPr>
      <w:r>
        <w:t xml:space="preserve">Buenrostro, Jason D., Paul G. Giresi, Lisa C. Zaba, Howard Y. Chang, and William J. Greenleaf. 2013.</w:t>
      </w:r>
      <w:r>
        <w:t xml:space="preserve"> </w:t>
      </w:r>
      <w:r>
        <w:t xml:space="preserve">“Transposition of Native Chromatin for Fast and Sensitive Epigenomic Profiling of Open Chromatin,</w:t>
      </w:r>
      <w:r>
        <w:t xml:space="preserve"> </w:t>
      </w:r>
      <w:r>
        <w:t xml:space="preserve">DNA</w:t>
      </w:r>
      <w:r>
        <w:t xml:space="preserve">-Binding Proteins and Nucleosome Position.”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10 (12): 1213–18.</w:t>
      </w:r>
      <w:r>
        <w:t xml:space="preserve"> </w:t>
      </w:r>
      <w:hyperlink r:id="rId72">
        <w:r>
          <w:rPr>
            <w:rStyle w:val="Hyperlink"/>
          </w:rPr>
          <w:t xml:space="preserve">https://doi.org/10.1038/nmeth.2688</w:t>
        </w:r>
      </w:hyperlink>
      <w:r>
        <w:t xml:space="preserve">.</w:t>
      </w:r>
    </w:p>
    <w:bookmarkEnd w:id="73"/>
    <w:bookmarkStart w:id="75" w:name="ref-cazares2023maxatac"/>
    <w:p>
      <w:pPr>
        <w:pStyle w:val="Bibliography"/>
      </w:pPr>
      <w:r>
        <w:t xml:space="preserve">Cazares, Tareian A., Faiz W. Rizvi, Balaji Iyer, et al. 2023.</w:t>
      </w:r>
      <w:r>
        <w:t xml:space="preserve"> </w:t>
      </w:r>
      <w:r>
        <w:t xml:space="preserve">“</w:t>
      </w:r>
      <w:r>
        <w:t xml:space="preserve">maxATAC</w:t>
      </w:r>
      <w:r>
        <w:t xml:space="preserve">: Genome-Scale Transcription-Factor Binding Prediction from</w:t>
      </w:r>
      <w:r>
        <w:t xml:space="preserve"> </w:t>
      </w:r>
      <w:r>
        <w:t xml:space="preserve">ATAC</w:t>
      </w:r>
      <w:r>
        <w:t xml:space="preserve">-Seq with Deep Neural Networks.”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19 (1): e1010863.</w:t>
      </w:r>
      <w:r>
        <w:t xml:space="preserve"> </w:t>
      </w:r>
      <w:hyperlink r:id="rId74">
        <w:r>
          <w:rPr>
            <w:rStyle w:val="Hyperlink"/>
          </w:rPr>
          <w:t xml:space="preserve">https://doi.org/10.1371/journal.pcbi.1010863</w:t>
        </w:r>
      </w:hyperlink>
      <w:r>
        <w:t xml:space="preserve">.</w:t>
      </w:r>
    </w:p>
    <w:bookmarkEnd w:id="75"/>
    <w:bookmarkStart w:id="77" w:name="ref-Chen2018_fastp"/>
    <w:p>
      <w:pPr>
        <w:pStyle w:val="Bibliography"/>
      </w:pPr>
      <w:r>
        <w:t xml:space="preserve">Chen, Shifu, Yanqing Zhou, Yaru Chen, and Jia Gu. 2018.</w:t>
      </w:r>
      <w:r>
        <w:t xml:space="preserve"> </w:t>
      </w:r>
      <w:r>
        <w:t xml:space="preserve">“Fastp: An Ultra-Fast All-in-One FASTQ Preprocessor.”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 (17): i884–90.</w:t>
      </w:r>
      <w:r>
        <w:t xml:space="preserve"> </w:t>
      </w:r>
      <w:hyperlink r:id="rId76">
        <w:r>
          <w:rPr>
            <w:rStyle w:val="Hyperlink"/>
          </w:rPr>
          <w:t xml:space="preserve">https://doi.org/10.1093/bioinformatics/bty560</w:t>
        </w:r>
      </w:hyperlink>
      <w:r>
        <w:t xml:space="preserve">.</w:t>
      </w:r>
    </w:p>
    <w:bookmarkEnd w:id="77"/>
    <w:bookmarkStart w:id="79" w:name="ref-andrews2020itk"/>
    <w:p>
      <w:pPr>
        <w:pStyle w:val="Bibliography"/>
      </w:pPr>
      <w:r>
        <w:t xml:space="preserve">Conley, Jeremy M., Michael P. Gallagher, Anjana Rao, and Leslie J. Berg. 2020.</w:t>
      </w:r>
      <w:r>
        <w:t xml:space="preserve"> </w:t>
      </w:r>
      <w:r>
        <w:t xml:space="preserve">“Activation of the Tec Kinase ITK Controls Graded IRF4 Expression in Response to Variations in TCR Signal Strength.”</w:t>
      </w:r>
      <w:r>
        <w:t xml:space="preserve"> </w:t>
      </w:r>
      <w:r>
        <w:rPr>
          <w:i/>
          <w:iCs/>
        </w:rPr>
        <w:t xml:space="preserve">Journal of Immunology</w:t>
      </w:r>
      <w:r>
        <w:t xml:space="preserve"> </w:t>
      </w:r>
      <w:r>
        <w:t xml:space="preserve">205 (2): 335–45.</w:t>
      </w:r>
      <w:r>
        <w:t xml:space="preserve"> </w:t>
      </w:r>
      <w:hyperlink r:id="rId78">
        <w:r>
          <w:rPr>
            <w:rStyle w:val="Hyperlink"/>
          </w:rPr>
          <w:t xml:space="preserve">https://doi.org/10.4049/jimmunol.1900853</w:t>
        </w:r>
      </w:hyperlink>
      <w:r>
        <w:t xml:space="preserve">.</w:t>
      </w:r>
    </w:p>
    <w:bookmarkEnd w:id="79"/>
    <w:bookmarkStart w:id="81" w:name="ref-Ewels2020_nfcore"/>
    <w:p>
      <w:pPr>
        <w:pStyle w:val="Bibliography"/>
      </w:pPr>
      <w:r>
        <w:t xml:space="preserve">Ewels, Philip A., Alexander Peltzer, Sven Fillinger, et al. 2020.</w:t>
      </w:r>
      <w:r>
        <w:t xml:space="preserve"> </w:t>
      </w:r>
      <w:r>
        <w:t xml:space="preserve">“The Nf-Core Framework for Community-Curated Bioinformatics Pipelines.”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38: 276–78.</w:t>
      </w:r>
      <w:r>
        <w:t xml:space="preserve"> </w:t>
      </w:r>
      <w:hyperlink r:id="rId80">
        <w:r>
          <w:rPr>
            <w:rStyle w:val="Hyperlink"/>
          </w:rPr>
          <w:t xml:space="preserve">https://doi.org/10.1038/s41587-020-0439-x</w:t>
        </w:r>
      </w:hyperlink>
      <w:r>
        <w:t xml:space="preserve">.</w:t>
      </w:r>
    </w:p>
    <w:bookmarkEnd w:id="81"/>
    <w:bookmarkStart w:id="83" w:name="ref-Granja2021_ArchR"/>
    <w:p>
      <w:pPr>
        <w:pStyle w:val="Bibliography"/>
      </w:pPr>
      <w:r>
        <w:t xml:space="preserve">Granja, Jeffrey M., M. Ryan Corces, Sarah E. Pierce, et al.</w:t>
      </w:r>
      <w:r>
        <w:t xml:space="preserve"> 2021.</w:t>
      </w:r>
      <w:r>
        <w:t xml:space="preserve"> </w:t>
      </w:r>
      <w:r>
        <w:t xml:space="preserve">“ArchR Is a Scalable Software Package for Integrative Single-Cell Chromatin Accessibility Analysis.”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t xml:space="preserve">53: 403–11.</w:t>
      </w:r>
      <w:r>
        <w:t xml:space="preserve"> </w:t>
      </w:r>
      <w:hyperlink r:id="rId82">
        <w:r>
          <w:rPr>
            <w:rStyle w:val="Hyperlink"/>
          </w:rPr>
          <w:t xml:space="preserve">https://doi.org/10.1038/s41588-021-00790-6</w:t>
        </w:r>
      </w:hyperlink>
      <w:r>
        <w:t xml:space="preserve">.</w:t>
      </w:r>
    </w:p>
    <w:bookmarkEnd w:id="83"/>
    <w:bookmarkStart w:id="85" w:name="ref-Gruning2018_Bioconda"/>
    <w:p>
      <w:pPr>
        <w:pStyle w:val="Bibliography"/>
      </w:pPr>
      <w:r>
        <w:t xml:space="preserve">Gruening, Bjoern, Ryan Dale, Andreas Sjoedin, et al. 2018.</w:t>
      </w:r>
      <w:r>
        <w:t xml:space="preserve"> </w:t>
      </w:r>
      <w:r>
        <w:t xml:space="preserve">“Bioconda: Sustainable and Comprehensive Software Distribution for the Life Sciences.”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 475–76.</w:t>
      </w:r>
      <w:r>
        <w:t xml:space="preserve"> </w:t>
      </w:r>
      <w:hyperlink r:id="rId84">
        <w:r>
          <w:rPr>
            <w:rStyle w:val="Hyperlink"/>
          </w:rPr>
          <w:t xml:space="preserve">https://doi.org/10.1038/s41592-018-0046-7</w:t>
        </w:r>
      </w:hyperlink>
      <w:r>
        <w:t xml:space="preserve">.</w:t>
      </w:r>
    </w:p>
    <w:bookmarkEnd w:id="85"/>
    <w:bookmarkStart w:id="87" w:name="ref-gupta2007tomtom"/>
    <w:p>
      <w:pPr>
        <w:pStyle w:val="Bibliography"/>
      </w:pPr>
      <w:r>
        <w:t xml:space="preserve">Gupta, Shobhit, John A. Stamatoyannopoulos, Timothy L. Bailey, and William S. Noble. 2007.</w:t>
      </w:r>
      <w:r>
        <w:t xml:space="preserve"> </w:t>
      </w:r>
      <w:r>
        <w:t xml:space="preserve">“Quantifying Similarity Between Motifs.”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8 (2): R24.</w:t>
      </w:r>
      <w:r>
        <w:t xml:space="preserve"> </w:t>
      </w:r>
      <w:hyperlink r:id="rId86">
        <w:r>
          <w:rPr>
            <w:rStyle w:val="Hyperlink"/>
          </w:rPr>
          <w:t xml:space="preserve">https://doi.org/10.1186/gb-2007-8-2-r24</w:t>
        </w:r>
      </w:hyperlink>
      <w:r>
        <w:t xml:space="preserve">.</w:t>
      </w:r>
    </w:p>
    <w:bookmarkEnd w:id="87"/>
    <w:bookmarkStart w:id="89" w:name="ref-hu2024print"/>
    <w:p>
      <w:pPr>
        <w:pStyle w:val="Bibliography"/>
      </w:pPr>
      <w:r>
        <w:t xml:space="preserve">Hu, Yan, Max A. Horlbeck, Ruochi Zhang, et al. 2025.</w:t>
      </w:r>
      <w:r>
        <w:t xml:space="preserve"> </w:t>
      </w:r>
      <w:r>
        <w:t xml:space="preserve">“Multiscale Footprints Reveal the Organization of Cis-Regulatory Elements.”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638 (8051): 779–86.</w:t>
      </w:r>
      <w:r>
        <w:t xml:space="preserve"> </w:t>
      </w:r>
      <w:hyperlink r:id="rId88">
        <w:r>
          <w:rPr>
            <w:rStyle w:val="Hyperlink"/>
          </w:rPr>
          <w:t xml:space="preserve">https://doi.org/10.1038/s41586-024-08443-4</w:t>
        </w:r>
      </w:hyperlink>
      <w:r>
        <w:t xml:space="preserve">.</w:t>
      </w:r>
    </w:p>
    <w:bookmarkEnd w:id="89"/>
    <w:bookmarkStart w:id="91" w:name="ref-koizumi2021junb"/>
    <w:p>
      <w:pPr>
        <w:pStyle w:val="Bibliography"/>
      </w:pPr>
      <w:r>
        <w:t xml:space="preserve">Katagiri, Takayuki, Hideto Kameda, Hiroaki Nakano, and Shin Yamazaki. 2021.</w:t>
      </w:r>
      <w:r>
        <w:t xml:space="preserve"> </w:t>
      </w:r>
      <w:r>
        <w:t xml:space="preserve">“Regulation of t Cell Differentiation by the AP-1 Transcription Factor JunB.”</w:t>
      </w:r>
      <w:r>
        <w:t xml:space="preserve"> </w:t>
      </w:r>
      <w:r>
        <w:rPr>
          <w:i/>
          <w:iCs/>
        </w:rPr>
        <w:t xml:space="preserve">Immunological Medicine</w:t>
      </w:r>
      <w:r>
        <w:t xml:space="preserve"> </w:t>
      </w:r>
      <w:r>
        <w:t xml:space="preserve">44 (3): 197–203.</w:t>
      </w:r>
      <w:r>
        <w:t xml:space="preserve"> </w:t>
      </w:r>
      <w:hyperlink r:id="rId90">
        <w:r>
          <w:rPr>
            <w:rStyle w:val="Hyperlink"/>
          </w:rPr>
          <w:t xml:space="preserve">https://doi.org/10.1080/25785826.2021.1872838</w:t>
        </w:r>
      </w:hyperlink>
      <w:r>
        <w:t xml:space="preserve">.</w:t>
      </w:r>
    </w:p>
    <w:bookmarkEnd w:id="91"/>
    <w:bookmarkStart w:id="93" w:name="ref-Langmead2012_Bowtie2"/>
    <w:p>
      <w:pPr>
        <w:pStyle w:val="Bibliography"/>
      </w:pPr>
      <w:r>
        <w:t xml:space="preserve">Langmead, Ben, and Steven L. Salzberg. 2012.</w:t>
      </w:r>
      <w:r>
        <w:t xml:space="preserve"> </w:t>
      </w:r>
      <w:r>
        <w:t xml:space="preserve">“Fast Gapped-Read Alignment with Bowtie 2.”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9: 357–59.</w:t>
      </w:r>
      <w:r>
        <w:t xml:space="preserve"> </w:t>
      </w:r>
      <w:hyperlink r:id="rId92">
        <w:r>
          <w:rPr>
            <w:rStyle w:val="Hyperlink"/>
          </w:rPr>
          <w:t xml:space="preserve">https://doi.org/10.1038/nmeth.1923</w:t>
        </w:r>
      </w:hyperlink>
      <w:r>
        <w:t xml:space="preserve">.</w:t>
      </w:r>
    </w:p>
    <w:bookmarkEnd w:id="93"/>
    <w:bookmarkStart w:id="95" w:name="ref-Li2009_SAMtools"/>
    <w:p>
      <w:pPr>
        <w:pStyle w:val="Bibliography"/>
      </w:pPr>
      <w:r>
        <w:t xml:space="preserve">Li, Heng, Bob Handsaker, Alec Wysoker, et al. 2009.</w:t>
      </w:r>
      <w:r>
        <w:t xml:space="preserve"> </w:t>
      </w:r>
      <w:r>
        <w:t xml:space="preserve">“The Sequence Alignment/Map Format and SAMtools.”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25 (16): 2078–79.</w:t>
      </w:r>
      <w:r>
        <w:t xml:space="preserve"> </w:t>
      </w:r>
      <w:hyperlink r:id="rId94">
        <w:r>
          <w:rPr>
            <w:rStyle w:val="Hyperlink"/>
          </w:rPr>
          <w:t xml:space="preserve">https://doi.org/10.1093/bioinformatics/btp352</w:t>
        </w:r>
      </w:hyperlink>
      <w:r>
        <w:t xml:space="preserve">.</w:t>
      </w:r>
    </w:p>
    <w:bookmarkEnd w:id="95"/>
    <w:bookmarkStart w:id="97" w:name="ref-li2019hint"/>
    <w:p>
      <w:pPr>
        <w:pStyle w:val="Bibliography"/>
      </w:pPr>
      <w:r>
        <w:t xml:space="preserve">Li, Zhijian, Marcel H. Schulz, Thomas Look, Matthias Begemann, Martin Zenke, and Ivan G. Costa. 2019.</w:t>
      </w:r>
      <w:r>
        <w:t xml:space="preserve"> </w:t>
      </w:r>
      <w:r>
        <w:t xml:space="preserve">“Identification of Transcription Factor Binding Sites Using</w:t>
      </w:r>
      <w:r>
        <w:t xml:space="preserve"> </w:t>
      </w:r>
      <w:r>
        <w:t xml:space="preserve">ATAC</w:t>
      </w:r>
      <w:r>
        <w:t xml:space="preserve">-Seq.”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 45.</w:t>
      </w:r>
      <w:r>
        <w:t xml:space="preserve"> </w:t>
      </w:r>
      <w:hyperlink r:id="rId96">
        <w:r>
          <w:rPr>
            <w:rStyle w:val="Hyperlink"/>
          </w:rPr>
          <w:t xml:space="preserve">https://doi.org/10.1186/s13059-019-1642-2</w:t>
        </w:r>
      </w:hyperlink>
      <w:r>
        <w:t xml:space="preserve">.</w:t>
      </w:r>
    </w:p>
    <w:bookmarkEnd w:id="97"/>
    <w:bookmarkStart w:id="99" w:name="ref-Mangul2019_SystematicBenchmarking"/>
    <w:p>
      <w:pPr>
        <w:pStyle w:val="Bibliography"/>
      </w:pPr>
      <w:r>
        <w:t xml:space="preserve">Mangul, Sergei, Lorenzo S. Martin, Brian L. Hill, et al. 2019.</w:t>
      </w:r>
      <w:r>
        <w:t xml:space="preserve"> </w:t>
      </w:r>
      <w:r>
        <w:t xml:space="preserve">“Systematic Benchmarking of Omics Computational Tools.”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10: 1393.</w:t>
      </w:r>
      <w:r>
        <w:t xml:space="preserve"> </w:t>
      </w:r>
      <w:hyperlink r:id="rId98">
        <w:r>
          <w:rPr>
            <w:rStyle w:val="Hyperlink"/>
          </w:rPr>
          <w:t xml:space="preserve">https://doi.org/10.1038/s41467-019-09406-4</w:t>
        </w:r>
      </w:hyperlink>
      <w:r>
        <w:t xml:space="preserve">.</w:t>
      </w:r>
    </w:p>
    <w:bookmarkEnd w:id="99"/>
    <w:bookmarkStart w:id="101" w:name="ref-jaspar2026"/>
    <w:p>
      <w:pPr>
        <w:pStyle w:val="Bibliography"/>
      </w:pPr>
      <w:r>
        <w:t xml:space="preserve">Ovek Baydar, Damla, Ieva Rauluseviciute, Dina R. Aronsen, et al. 2026.</w:t>
      </w:r>
      <w:r>
        <w:t xml:space="preserve"> </w:t>
      </w:r>
      <w:r>
        <w:t xml:space="preserve">“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54 (D1): D184–93.</w:t>
      </w:r>
      <w:r>
        <w:t xml:space="preserve"> </w:t>
      </w:r>
      <w:hyperlink r:id="rId100">
        <w:r>
          <w:rPr>
            <w:rStyle w:val="Hyperlink"/>
          </w:rPr>
          <w:t xml:space="preserve">https://doi.org/10.1093/nar/gkaf1209</w:t>
        </w:r>
      </w:hyperlink>
      <w:r>
        <w:t xml:space="preserve">.</w:t>
      </w:r>
    </w:p>
    <w:bookmarkEnd w:id="101"/>
    <w:bookmarkStart w:id="103" w:name="ref-chrombpnet2024"/>
    <w:p>
      <w:pPr>
        <w:pStyle w:val="Bibliography"/>
      </w:pPr>
      <w:r>
        <w:t xml:space="preserve">Pampari, Anusri, Anna Shcherbina, Evgeny Z. Kvon,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ChromBPNet</w:t>
      </w:r>
      <w:r>
        <w:t xml:space="preserve">: Bias Factorized, Base-Resolution Deep Learning Models of Chromatin Accessibility Reveal Cis-Regulatory Sequence Syntax, Transcription Factor Footprints and Regulatory Variants.”</w:t>
      </w:r>
      <w:r>
        <w:t xml:space="preserve"> </w:t>
      </w:r>
      <w:r>
        <w:rPr>
          <w:i/>
          <w:iCs/>
        </w:rPr>
        <w:t xml:space="preserve">bioRxiv</w:t>
      </w:r>
      <w:r>
        <w:t xml:space="preserve">, ahead of print.</w:t>
      </w:r>
      <w:r>
        <w:t xml:space="preserve"> </w:t>
      </w:r>
      <w:hyperlink r:id="rId102">
        <w:r>
          <w:rPr>
            <w:rStyle w:val="Hyperlink"/>
          </w:rPr>
          <w:t xml:space="preserve">https://doi.org/10.1101/2024.12.25.630221</w:t>
        </w:r>
      </w:hyperlink>
      <w:r>
        <w:t xml:space="preserve">.</w:t>
      </w:r>
    </w:p>
    <w:bookmarkEnd w:id="103"/>
    <w:bookmarkStart w:id="105" w:name="ref-piper2013wellington"/>
    <w:p>
      <w:pPr>
        <w:pStyle w:val="Bibliography"/>
      </w:pPr>
      <w:r>
        <w:t xml:space="preserve">Piper, Jason, Markus C. Elze, Pierre Cauchy, Peter N. Cockerill, Constanze Bonifer, and Sascha Ott. 2013.</w:t>
      </w:r>
      <w:r>
        <w:t xml:space="preserve"> </w:t>
      </w:r>
      <w:r>
        <w:t xml:space="preserve">“Wellington: A Novel Method for the Accurate Identification of Digital Genomic Footprints from</w:t>
      </w:r>
      <w:r>
        <w:t xml:space="preserve"> </w:t>
      </w:r>
      <w:r>
        <w:t xml:space="preserve">DNase-seq</w:t>
      </w:r>
      <w:r>
        <w:t xml:space="preserve"> </w:t>
      </w:r>
      <w:r>
        <w:t xml:space="preserve">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41 (21): e201.</w:t>
      </w:r>
      <w:r>
        <w:t xml:space="preserve"> </w:t>
      </w:r>
      <w:hyperlink r:id="rId104">
        <w:r>
          <w:rPr>
            <w:rStyle w:val="Hyperlink"/>
          </w:rPr>
          <w:t xml:space="preserve">https://doi.org/10.1093/nar/gkt850</w:t>
        </w:r>
      </w:hyperlink>
      <w:r>
        <w:t xml:space="preserve">.</w:t>
      </w:r>
    </w:p>
    <w:bookmarkEnd w:id="105"/>
    <w:bookmarkStart w:id="107" w:name="ref-pique2011centipede"/>
    <w:p>
      <w:pPr>
        <w:pStyle w:val="Bibliography"/>
      </w:pPr>
      <w:r>
        <w:t xml:space="preserve">Pique-Regi, Roger, Jacob F. Degner, Athma A. Pai, Daniel J. Gaffney, Yoav Gilad, and Jonathan K. Pritchard. 2011.</w:t>
      </w:r>
      <w:r>
        <w:t xml:space="preserve"> </w:t>
      </w:r>
      <w:r>
        <w:t xml:space="preserve">“Accurate Inference of Transcription Factor Binding from</w:t>
      </w:r>
      <w:r>
        <w:t xml:space="preserve"> </w:t>
      </w:r>
      <w:r>
        <w:t xml:space="preserve">DNA</w:t>
      </w:r>
      <w:r>
        <w:t xml:space="preserve"> </w:t>
      </w:r>
      <w:r>
        <w:t xml:space="preserve">Sequence and Chromatin Accessibility Data.”</w:t>
      </w:r>
      <w:r>
        <w:t xml:space="preserve"> </w:t>
      </w:r>
      <w:r>
        <w:rPr>
          <w:i/>
          <w:iCs/>
        </w:rPr>
        <w:t xml:space="preserve">Genome Research</w:t>
      </w:r>
      <w:r>
        <w:t xml:space="preserve"> </w:t>
      </w:r>
      <w:r>
        <w:t xml:space="preserve">21 (3): 447–55.</w:t>
      </w:r>
      <w:r>
        <w:t xml:space="preserve"> </w:t>
      </w:r>
      <w:hyperlink r:id="rId106">
        <w:r>
          <w:rPr>
            <w:rStyle w:val="Hyperlink"/>
          </w:rPr>
          <w:t xml:space="preserve">https://doi.org/10.1101/gr.112623.110</w:t>
        </w:r>
      </w:hyperlink>
      <w:r>
        <w:t xml:space="preserve">.</w:t>
      </w:r>
    </w:p>
    <w:bookmarkEnd w:id="107"/>
    <w:bookmarkStart w:id="109" w:name="ref-quach2017defcom"/>
    <w:p>
      <w:pPr>
        <w:pStyle w:val="Bibliography"/>
      </w:pPr>
      <w:r>
        <w:t xml:space="preserve">Quach, Bryan, and Terrence S. Furey. 2017.</w:t>
      </w:r>
      <w:r>
        <w:t xml:space="preserve"> </w:t>
      </w:r>
      <w:r>
        <w:t xml:space="preserve">“</w:t>
      </w:r>
      <w:r>
        <w:t xml:space="preserve">DeFCoM</w:t>
      </w:r>
      <w:r>
        <w:t xml:space="preserve">: Analysis and Modeling of Transcription Factor Binding Sites Using a Motif-Centric Genomic Footprinter.”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33 (7): 956–63.</w:t>
      </w:r>
      <w:r>
        <w:t xml:space="preserve"> </w:t>
      </w:r>
      <w:hyperlink r:id="rId108">
        <w:r>
          <w:rPr>
            <w:rStyle w:val="Hyperlink"/>
          </w:rPr>
          <w:t xml:space="preserve">https://doi.org/10.1093/bioinformatics/btw740</w:t>
        </w:r>
      </w:hyperlink>
      <w:r>
        <w:t xml:space="preserve">.</w:t>
      </w:r>
    </w:p>
    <w:bookmarkEnd w:id="109"/>
    <w:bookmarkStart w:id="111" w:name="ref-Quinlan2010_BEDTools"/>
    <w:p>
      <w:pPr>
        <w:pStyle w:val="Bibliography"/>
      </w:pPr>
      <w:r>
        <w:t xml:space="preserve">Quinlan, Aaron R., and Ira M. Hall. 2010.</w:t>
      </w:r>
      <w:r>
        <w:t xml:space="preserve"> </w:t>
      </w:r>
      <w:r>
        <w:t xml:space="preserve">“BEDTools: A Flexible Suite of Utilities for Comparing Genomic Features.”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26 (6): 841–42.</w:t>
      </w:r>
      <w:r>
        <w:t xml:space="preserve"> </w:t>
      </w:r>
      <w:hyperlink r:id="rId110">
        <w:r>
          <w:rPr>
            <w:rStyle w:val="Hyperlink"/>
          </w:rPr>
          <w:t xml:space="preserve">https://doi.org/10.1093/bioinformatics/btq033</w:t>
        </w:r>
      </w:hyperlink>
      <w:r>
        <w:t xml:space="preserve">.</w:t>
      </w:r>
    </w:p>
    <w:bookmarkEnd w:id="111"/>
    <w:bookmarkStart w:id="113" w:name="ref-Schep2017_chromVAR"/>
    <w:p>
      <w:pPr>
        <w:pStyle w:val="Bibliography"/>
      </w:pPr>
      <w:r>
        <w:t xml:space="preserve">Schep, Alicia N., Beijing Wu, Jason D. Buenrostro, and William J. Greenleaf. 2017.</w:t>
      </w:r>
      <w:r>
        <w:t xml:space="preserve"> </w:t>
      </w:r>
      <w:r>
        <w:t xml:space="preserve">“chromVAR: Inferring Transcription-Factor-Associated Accessibility from Single-Cell Epigenomic Data.”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14: 975–78.</w:t>
      </w:r>
      <w:r>
        <w:t xml:space="preserve"> </w:t>
      </w:r>
      <w:hyperlink r:id="rId112">
        <w:r>
          <w:rPr>
            <w:rStyle w:val="Hyperlink"/>
          </w:rPr>
          <w:t xml:space="preserve">https://doi.org/10.1038/nmeth.4401</w:t>
        </w:r>
      </w:hyperlink>
      <w:r>
        <w:t xml:space="preserve">.</w:t>
      </w:r>
    </w:p>
    <w:bookmarkEnd w:id="113"/>
    <w:bookmarkStart w:id="115" w:name="ref-sherwood2014piq"/>
    <w:p>
      <w:pPr>
        <w:pStyle w:val="Bibliography"/>
      </w:pPr>
      <w:r>
        <w:t xml:space="preserve">Sherwood, Richard I., Toshiro Hashimoto, Colin W. O’Donnell, et al. 2014.</w:t>
      </w:r>
      <w:r>
        <w:t xml:space="preserve"> </w:t>
      </w:r>
      <w:r>
        <w:t xml:space="preserve">“Discovery of Directional and Nondirectional Pioneer Transcription Factors by Modeling</w:t>
      </w:r>
      <w:r>
        <w:t xml:space="preserve"> </w:t>
      </w:r>
      <w:r>
        <w:t xml:space="preserve">DNase</w:t>
      </w:r>
      <w:r>
        <w:t xml:space="preserve"> </w:t>
      </w:r>
      <w:r>
        <w:t xml:space="preserve">Profile Magnitude and Shape.”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32 (2): 171–78.</w:t>
      </w:r>
      <w:r>
        <w:t xml:space="preserve"> </w:t>
      </w:r>
      <w:hyperlink r:id="rId114">
        <w:r>
          <w:rPr>
            <w:rStyle w:val="Hyperlink"/>
          </w:rPr>
          <w:t xml:space="preserve">https://doi.org/10.1038/nbt.2798</w:t>
        </w:r>
      </w:hyperlink>
      <w:r>
        <w:t xml:space="preserve">.</w:t>
      </w:r>
    </w:p>
    <w:bookmarkEnd w:id="115"/>
    <w:bookmarkStart w:id="117" w:name="ref-Stuart2021_Signac"/>
    <w:p>
      <w:pPr>
        <w:pStyle w:val="Bibliography"/>
      </w:pPr>
      <w:r>
        <w:t xml:space="preserve">Stuart, Tim, Avi Srivastava, Shaista Madad, Caleb Lareau, and Rahul Satija. 2021.</w:t>
      </w:r>
      <w:r>
        <w:t xml:space="preserve"> </w:t>
      </w:r>
      <w:r>
        <w:t xml:space="preserve">“Single-Cell Chromatin State Analysis with Signac.”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18: 1333–41.</w:t>
      </w:r>
      <w:r>
        <w:t xml:space="preserve"> </w:t>
      </w:r>
      <w:hyperlink r:id="rId116">
        <w:r>
          <w:rPr>
            <w:rStyle w:val="Hyperlink"/>
          </w:rPr>
          <w:t xml:space="preserve">https://doi.org/10.1038/s41592-021-01282-5</w:t>
        </w:r>
      </w:hyperlink>
      <w:r>
        <w:t xml:space="preserve">.</w:t>
      </w:r>
    </w:p>
    <w:bookmarkEnd w:id="117"/>
    <w:bookmarkStart w:id="119" w:name="ref-encode2012"/>
    <w:p>
      <w:pPr>
        <w:pStyle w:val="Bibliography"/>
      </w:pPr>
      <w:r>
        <w:t xml:space="preserve">The ENCODE Project Consortium. 2012.</w:t>
      </w:r>
      <w:r>
        <w:t xml:space="preserve"> </w:t>
      </w:r>
      <w:r>
        <w:t xml:space="preserve">“An Integrated Encyclopedia of</w:t>
      </w:r>
      <w:r>
        <w:t xml:space="preserve"> </w:t>
      </w:r>
      <w:r>
        <w:t xml:space="preserve">DNA</w:t>
      </w:r>
      <w:r>
        <w:t xml:space="preserve"> </w:t>
      </w:r>
      <w:r>
        <w:t xml:space="preserve">Elements in the Human Genome.”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489 (7414): 57–74.</w:t>
      </w:r>
      <w:r>
        <w:t xml:space="preserve"> </w:t>
      </w:r>
      <w:hyperlink r:id="rId118">
        <w:r>
          <w:rPr>
            <w:rStyle w:val="Hyperlink"/>
          </w:rPr>
          <w:t xml:space="preserve">https://doi.org/10.1038/nature11247</w:t>
        </w:r>
      </w:hyperlink>
      <w:r>
        <w:t xml:space="preserve">.</w:t>
      </w:r>
    </w:p>
    <w:bookmarkEnd w:id="119"/>
    <w:bookmarkStart w:id="121" w:name="ref-Weber2019_Benchmarking"/>
    <w:p>
      <w:pPr>
        <w:pStyle w:val="Bibliography"/>
      </w:pPr>
      <w:r>
        <w:t xml:space="preserve">Weber, Lukas M., Elizabeth H. Hare, Charlotte Soneson, and Mark D. Robinson. 2019.</w:t>
      </w:r>
      <w:r>
        <w:t xml:space="preserve"> </w:t>
      </w:r>
      <w:r>
        <w:t xml:space="preserve">“Essential Guidelines for Computational Method Benchmarking.”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 125.</w:t>
      </w:r>
      <w:r>
        <w:t xml:space="preserve"> </w:t>
      </w:r>
      <w:hyperlink r:id="rId120">
        <w:r>
          <w:rPr>
            <w:rStyle w:val="Hyperlink"/>
          </w:rPr>
          <w:t xml:space="preserve">https://doi.org/10.1186/s13059-019-1738-8</w:t>
        </w:r>
      </w:hyperlink>
      <w:r>
        <w:t xml:space="preserve">.</w:t>
      </w:r>
    </w:p>
    <w:bookmarkEnd w:id="121"/>
    <w:bookmarkStart w:id="123" w:name="ref-Wilkinson2016_FAIR"/>
    <w:p>
      <w:pPr>
        <w:pStyle w:val="Bibliography"/>
      </w:pPr>
      <w:r>
        <w:t xml:space="preserve">Wilkinson, Mark D., Michel Dumontier, IJsbrand Jan Aalbersberg, et al.</w:t>
      </w:r>
      <w:r>
        <w:t xml:space="preserve"> 2016.</w:t>
      </w:r>
      <w:r>
        <w:t xml:space="preserve"> </w:t>
      </w:r>
      <w:r>
        <w:t xml:space="preserve">“The FAIR Guiding Principles for Scientific Data Management and Stewardship.”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3: 160018.</w:t>
      </w:r>
      <w:r>
        <w:t xml:space="preserve"> </w:t>
      </w:r>
      <w:hyperlink r:id="rId122">
        <w:r>
          <w:rPr>
            <w:rStyle w:val="Hyperlink"/>
          </w:rPr>
          <w:t xml:space="preserve">https://doi.org/10.1038/sdata.2016.18</w:t>
        </w:r>
      </w:hyperlink>
      <w:r>
        <w:t xml:space="preserve">.</w:t>
      </w:r>
    </w:p>
    <w:bookmarkEnd w:id="123"/>
    <w:bookmarkStart w:id="125" w:name="ref-Zhang2008_MACS"/>
    <w:p>
      <w:pPr>
        <w:pStyle w:val="Bibliography"/>
      </w:pPr>
      <w:r>
        <w:t xml:space="preserve">Zhang, Yong, Tao Liu, Clifford A. Meyer, et al. 2008.</w:t>
      </w:r>
      <w:r>
        <w:t xml:space="preserve"> </w:t>
      </w:r>
      <w:r>
        <w:t xml:space="preserve">“Model-Based Analysis of ChIP-Seq (MACS).”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9: R137.</w:t>
      </w:r>
      <w:r>
        <w:t xml:space="preserve"> </w:t>
      </w:r>
      <w:hyperlink r:id="rId124">
        <w:r>
          <w:rPr>
            <w:rStyle w:val="Hyperlink"/>
          </w:rPr>
          <w:t xml:space="preserve">https://doi.org/10.1186/gb-2008-9-9-r137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df" /><Relationship Type="http://schemas.openxmlformats.org/officeDocument/2006/relationships/image" Id="rId24" Target="media/rId24.pdf" /><Relationship Type="http://schemas.openxmlformats.org/officeDocument/2006/relationships/image" Id="rId27" Target="media/rId27.png" /><Relationship Type="http://schemas.openxmlformats.org/officeDocument/2006/relationships/image" Id="rId32" Target="media/rId32.pdf" /><Relationship Type="http://schemas.openxmlformats.org/officeDocument/2006/relationships/image" Id="rId36" Target="media/rId36.pdf" /><Relationship Type="http://schemas.openxmlformats.org/officeDocument/2006/relationships/image" Id="rId39" Target="media/rId39.png" /><Relationship Type="http://schemas.openxmlformats.org/officeDocument/2006/relationships/hyperlink" Id="rId70" Target="https://doi.org/10.1016/j.celrep.2019.10.106" TargetMode="External" /><Relationship Type="http://schemas.openxmlformats.org/officeDocument/2006/relationships/hyperlink" Id="rId118" Target="https://doi.org/10.1038/nature11247" TargetMode="External" /><Relationship Type="http://schemas.openxmlformats.org/officeDocument/2006/relationships/hyperlink" Id="rId114" Target="https://doi.org/10.1038/nbt.2798" TargetMode="External" /><Relationship Type="http://schemas.openxmlformats.org/officeDocument/2006/relationships/hyperlink" Id="rId92" Target="https://doi.org/10.1038/nmeth.1923" TargetMode="External" /><Relationship Type="http://schemas.openxmlformats.org/officeDocument/2006/relationships/hyperlink" Id="rId72" Target="https://doi.org/10.1038/nmeth.2688" TargetMode="External" /><Relationship Type="http://schemas.openxmlformats.org/officeDocument/2006/relationships/hyperlink" Id="rId112" Target="https://doi.org/10.1038/nmeth.4401" TargetMode="External" /><Relationship Type="http://schemas.openxmlformats.org/officeDocument/2006/relationships/hyperlink" Id="rId98" Target="https://doi.org/10.1038/s41467-019-09406-4" TargetMode="External" /><Relationship Type="http://schemas.openxmlformats.org/officeDocument/2006/relationships/hyperlink" Id="rId68" Target="https://doi.org/10.1038/s41467-020-18035-1" TargetMode="External" /><Relationship Type="http://schemas.openxmlformats.org/officeDocument/2006/relationships/hyperlink" Id="rId88" Target="https://doi.org/10.1038/s41586-024-08443-4" TargetMode="External" /><Relationship Type="http://schemas.openxmlformats.org/officeDocument/2006/relationships/hyperlink" Id="rId80" Target="https://doi.org/10.1038/s41587-020-0439-x" TargetMode="External" /><Relationship Type="http://schemas.openxmlformats.org/officeDocument/2006/relationships/hyperlink" Id="rId82" Target="https://doi.org/10.1038/s41588-021-00790-6" TargetMode="External" /><Relationship Type="http://schemas.openxmlformats.org/officeDocument/2006/relationships/hyperlink" Id="rId84" Target="https://doi.org/10.1038/s41592-018-0046-7" TargetMode="External" /><Relationship Type="http://schemas.openxmlformats.org/officeDocument/2006/relationships/hyperlink" Id="rId116" Target="https://doi.org/10.1038/s41592-021-01282-5" TargetMode="External" /><Relationship Type="http://schemas.openxmlformats.org/officeDocument/2006/relationships/hyperlink" Id="rId60" Target="https://doi.org/10.1038/s41598-019-45839-z" TargetMode="External" /><Relationship Type="http://schemas.openxmlformats.org/officeDocument/2006/relationships/hyperlink" Id="rId122" Target="https://doi.org/10.1038/sdata.2016.18" TargetMode="External" /><Relationship Type="http://schemas.openxmlformats.org/officeDocument/2006/relationships/hyperlink" Id="rId90" Target="https://doi.org/10.1080/25785826.2021.1872838" TargetMode="External" /><Relationship Type="http://schemas.openxmlformats.org/officeDocument/2006/relationships/hyperlink" Id="rId64" Target="https://doi.org/10.1093/bioinformatics/btab203" TargetMode="External" /><Relationship Type="http://schemas.openxmlformats.org/officeDocument/2006/relationships/hyperlink" Id="rId94" Target="https://doi.org/10.1093/bioinformatics/btp352" TargetMode="External" /><Relationship Type="http://schemas.openxmlformats.org/officeDocument/2006/relationships/hyperlink" Id="rId110" Target="https://doi.org/10.1093/bioinformatics/btq033" TargetMode="External" /><Relationship Type="http://schemas.openxmlformats.org/officeDocument/2006/relationships/hyperlink" Id="rId62" Target="https://doi.org/10.1093/bioinformatics/btr261" TargetMode="External" /><Relationship Type="http://schemas.openxmlformats.org/officeDocument/2006/relationships/hyperlink" Id="rId108" Target="https://doi.org/10.1093/bioinformatics/btw740" TargetMode="External" /><Relationship Type="http://schemas.openxmlformats.org/officeDocument/2006/relationships/hyperlink" Id="rId76" Target="https://doi.org/10.1093/bioinformatics/bty560" TargetMode="External" /><Relationship Type="http://schemas.openxmlformats.org/officeDocument/2006/relationships/hyperlink" Id="rId100" Target="https://doi.org/10.1093/nar/gkaf1209" TargetMode="External" /><Relationship Type="http://schemas.openxmlformats.org/officeDocument/2006/relationships/hyperlink" Id="rId104" Target="https://doi.org/10.1093/nar/gkt850" TargetMode="External" /><Relationship Type="http://schemas.openxmlformats.org/officeDocument/2006/relationships/hyperlink" Id="rId66" Target="https://doi.org/10.1093/nar/gkv416" TargetMode="External" /><Relationship Type="http://schemas.openxmlformats.org/officeDocument/2006/relationships/hyperlink" Id="rId102" Target="https://doi.org/10.1101/2024.12.25.630221" TargetMode="External" /><Relationship Type="http://schemas.openxmlformats.org/officeDocument/2006/relationships/hyperlink" Id="rId106" Target="https://doi.org/10.1101/gr.112623.110" TargetMode="External" /><Relationship Type="http://schemas.openxmlformats.org/officeDocument/2006/relationships/hyperlink" Id="rId86" Target="https://doi.org/10.1186/gb-2007-8-2-r24" TargetMode="External" /><Relationship Type="http://schemas.openxmlformats.org/officeDocument/2006/relationships/hyperlink" Id="rId124" Target="https://doi.org/10.1186/gb-2008-9-9-r137" TargetMode="External" /><Relationship Type="http://schemas.openxmlformats.org/officeDocument/2006/relationships/hyperlink" Id="rId96" Target="https://doi.org/10.1186/s13059-019-1642-2" TargetMode="External" /><Relationship Type="http://schemas.openxmlformats.org/officeDocument/2006/relationships/hyperlink" Id="rId120" Target="https://doi.org/10.1186/s13059-019-1738-8" TargetMode="External" /><Relationship Type="http://schemas.openxmlformats.org/officeDocument/2006/relationships/hyperlink" Id="rId74" Target="https://doi.org/10.1371/journal.pcbi.1010863" TargetMode="External" /><Relationship Type="http://schemas.openxmlformats.org/officeDocument/2006/relationships/hyperlink" Id="rId78" Target="https://doi.org/10.4049/jimmunol.1900853" TargetMode="External" /><Relationship Type="http://schemas.openxmlformats.org/officeDocument/2006/relationships/hyperlink" Id="rId51" Target="https://github.com/oncologylab/fp-tools" TargetMode="External" /><Relationship Type="http://schemas.openxmlformats.org/officeDocument/2006/relationships/hyperlink" Id="rId56" Target="https://www.10xgenomics.com/datasets/5-k-peripheral-blood-mononuclear-cells-pbm-cs-from-a-healthy-donor-next-gem-v-1-1-1-1-standard-2-0-0" TargetMode="External" /><Relationship Type="http://schemas.openxmlformats.org/officeDocument/2006/relationships/hyperlink" Id="rId58" Target="https://www.10xgenomics.com/datasets/pbmc-from-a-healthy-donor-granulocytes-removed-through-cell-sorting-10-k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16/j.celrep.2019.10.106" TargetMode="External" /><Relationship Type="http://schemas.openxmlformats.org/officeDocument/2006/relationships/hyperlink" Id="rId118" Target="https://doi.org/10.1038/nature11247" TargetMode="External" /><Relationship Type="http://schemas.openxmlformats.org/officeDocument/2006/relationships/hyperlink" Id="rId114" Target="https://doi.org/10.1038/nbt.2798" TargetMode="External" /><Relationship Type="http://schemas.openxmlformats.org/officeDocument/2006/relationships/hyperlink" Id="rId92" Target="https://doi.org/10.1038/nmeth.1923" TargetMode="External" /><Relationship Type="http://schemas.openxmlformats.org/officeDocument/2006/relationships/hyperlink" Id="rId72" Target="https://doi.org/10.1038/nmeth.2688" TargetMode="External" /><Relationship Type="http://schemas.openxmlformats.org/officeDocument/2006/relationships/hyperlink" Id="rId112" Target="https://doi.org/10.1038/nmeth.4401" TargetMode="External" /><Relationship Type="http://schemas.openxmlformats.org/officeDocument/2006/relationships/hyperlink" Id="rId98" Target="https://doi.org/10.1038/s41467-019-09406-4" TargetMode="External" /><Relationship Type="http://schemas.openxmlformats.org/officeDocument/2006/relationships/hyperlink" Id="rId68" Target="https://doi.org/10.1038/s41467-020-18035-1" TargetMode="External" /><Relationship Type="http://schemas.openxmlformats.org/officeDocument/2006/relationships/hyperlink" Id="rId88" Target="https://doi.org/10.1038/s41586-024-08443-4" TargetMode="External" /><Relationship Type="http://schemas.openxmlformats.org/officeDocument/2006/relationships/hyperlink" Id="rId80" Target="https://doi.org/10.1038/s41587-020-0439-x" TargetMode="External" /><Relationship Type="http://schemas.openxmlformats.org/officeDocument/2006/relationships/hyperlink" Id="rId82" Target="https://doi.org/10.1038/s41588-021-00790-6" TargetMode="External" /><Relationship Type="http://schemas.openxmlformats.org/officeDocument/2006/relationships/hyperlink" Id="rId84" Target="https://doi.org/10.1038/s41592-018-0046-7" TargetMode="External" /><Relationship Type="http://schemas.openxmlformats.org/officeDocument/2006/relationships/hyperlink" Id="rId116" Target="https://doi.org/10.1038/s41592-021-01282-5" TargetMode="External" /><Relationship Type="http://schemas.openxmlformats.org/officeDocument/2006/relationships/hyperlink" Id="rId60" Target="https://doi.org/10.1038/s41598-019-45839-z" TargetMode="External" /><Relationship Type="http://schemas.openxmlformats.org/officeDocument/2006/relationships/hyperlink" Id="rId122" Target="https://doi.org/10.1038/sdata.2016.18" TargetMode="External" /><Relationship Type="http://schemas.openxmlformats.org/officeDocument/2006/relationships/hyperlink" Id="rId90" Target="https://doi.org/10.1080/25785826.2021.1872838" TargetMode="External" /><Relationship Type="http://schemas.openxmlformats.org/officeDocument/2006/relationships/hyperlink" Id="rId64" Target="https://doi.org/10.1093/bioinformatics/btab203" TargetMode="External" /><Relationship Type="http://schemas.openxmlformats.org/officeDocument/2006/relationships/hyperlink" Id="rId94" Target="https://doi.org/10.1093/bioinformatics/btp352" TargetMode="External" /><Relationship Type="http://schemas.openxmlformats.org/officeDocument/2006/relationships/hyperlink" Id="rId110" Target="https://doi.org/10.1093/bioinformatics/btq033" TargetMode="External" /><Relationship Type="http://schemas.openxmlformats.org/officeDocument/2006/relationships/hyperlink" Id="rId62" Target="https://doi.org/10.1093/bioinformatics/btr261" TargetMode="External" /><Relationship Type="http://schemas.openxmlformats.org/officeDocument/2006/relationships/hyperlink" Id="rId108" Target="https://doi.org/10.1093/bioinformatics/btw740" TargetMode="External" /><Relationship Type="http://schemas.openxmlformats.org/officeDocument/2006/relationships/hyperlink" Id="rId76" Target="https://doi.org/10.1093/bioinformatics/bty560" TargetMode="External" /><Relationship Type="http://schemas.openxmlformats.org/officeDocument/2006/relationships/hyperlink" Id="rId100" Target="https://doi.org/10.1093/nar/gkaf1209" TargetMode="External" /><Relationship Type="http://schemas.openxmlformats.org/officeDocument/2006/relationships/hyperlink" Id="rId104" Target="https://doi.org/10.1093/nar/gkt850" TargetMode="External" /><Relationship Type="http://schemas.openxmlformats.org/officeDocument/2006/relationships/hyperlink" Id="rId66" Target="https://doi.org/10.1093/nar/gkv416" TargetMode="External" /><Relationship Type="http://schemas.openxmlformats.org/officeDocument/2006/relationships/hyperlink" Id="rId102" Target="https://doi.org/10.1101/2024.12.25.630221" TargetMode="External" /><Relationship Type="http://schemas.openxmlformats.org/officeDocument/2006/relationships/hyperlink" Id="rId106" Target="https://doi.org/10.1101/gr.112623.110" TargetMode="External" /><Relationship Type="http://schemas.openxmlformats.org/officeDocument/2006/relationships/hyperlink" Id="rId86" Target="https://doi.org/10.1186/gb-2007-8-2-r24" TargetMode="External" /><Relationship Type="http://schemas.openxmlformats.org/officeDocument/2006/relationships/hyperlink" Id="rId124" Target="https://doi.org/10.1186/gb-2008-9-9-r137" TargetMode="External" /><Relationship Type="http://schemas.openxmlformats.org/officeDocument/2006/relationships/hyperlink" Id="rId96" Target="https://doi.org/10.1186/s13059-019-1642-2" TargetMode="External" /><Relationship Type="http://schemas.openxmlformats.org/officeDocument/2006/relationships/hyperlink" Id="rId120" Target="https://doi.org/10.1186/s13059-019-1738-8" TargetMode="External" /><Relationship Type="http://schemas.openxmlformats.org/officeDocument/2006/relationships/hyperlink" Id="rId74" Target="https://doi.org/10.1371/journal.pcbi.1010863" TargetMode="External" /><Relationship Type="http://schemas.openxmlformats.org/officeDocument/2006/relationships/hyperlink" Id="rId78" Target="https://doi.org/10.4049/jimmunol.1900853" TargetMode="External" /><Relationship Type="http://schemas.openxmlformats.org/officeDocument/2006/relationships/hyperlink" Id="rId51" Target="https://github.com/oncologylab/fp-tools" TargetMode="External" /><Relationship Type="http://schemas.openxmlformats.org/officeDocument/2006/relationships/hyperlink" Id="rId56" Target="https://www.10xgenomics.com/datasets/5-k-peripheral-blood-mononuclear-cells-pbm-cs-from-a-healthy-donor-next-gem-v-1-1-1-1-standard-2-0-0" TargetMode="External" /><Relationship Type="http://schemas.openxmlformats.org/officeDocument/2006/relationships/hyperlink" Id="rId58" Target="https://www.10xgenomics.com/datasets/pbmc-from-a-healthy-donor-granulocytes-removed-through-cell-sorting-10-k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fp-tools: A Reproducible Platform for ATAC-seq Footprinting and Regulatory Motif Analysis</dc:title>
  <dc:creator>Yaoxiang Li and Chunling Yi</dc:creator>
  <cp:keywords/>
  <dcterms:created xsi:type="dcterms:W3CDTF">2026-06-22T20:10:37Z</dcterms:created>
  <dcterms:modified xsi:type="dcterms:W3CDTF">2026-06-22T20:10:37Z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ATAC-seq footprinting enables near-base-resolution inference of transcription-factor (TF) occupancy across the genome. However, the field lacks a computationally efficient, user-friendly, and integrated platform that accepts both bulk and single-cell ATAC-seq data, supports both de novo motif discovery and matching to public motif databases, and generates interactive and publication-ready visual outputs. Here, we present fp-tools, a Python package that builds on the widely used ATAC-seq footprinting framework TOBIAS. We substantially improve computational efficiency across key steps, including Tn5 bias correction, footprint calling, and motif matching. In addition, fp-tools introduces de novo motif discovery, replicate-aware differential footprinting, and aggregation analysis, features not provided as native TOBIAS workflows. We further streamline a single-cell ATAC-seq footprinting workflow, provide interactive visualization of analysis results, and implement a graphical user interface (GUI) that enables code-free execution of all package commands. Using public bulk ATAC-seq replicates and single-cell datasets, we demonstrate that fp-tools quantitatively recovers cell-type-specific TF-binding patterns and identifies de novo binding motifs that are not captured by existing public motif databases. Together, fp-tools provides an efficient, accessible, and comprehensive platform for TF footprint analysis across bulk and single-cell ATAC-seq studies.</vt:lpwstr>
  </property>
  <property fmtid="{D5CDD505-2E9C-101B-9397-08002B2CF9AE}" pid="3" name="bibliography">
    <vt:lpwstr>manuscript/references.bib</vt:lpwstr>
  </property>
  <property fmtid="{D5CDD505-2E9C-101B-9397-08002B2CF9AE}" pid="4" name="date">
    <vt:lpwstr/>
  </property>
  <property fmtid="{D5CDD505-2E9C-101B-9397-08002B2CF9AE}" pid="5" name="reference-section-title">
    <vt:lpwstr>References</vt:lpwstr>
  </property>
</Properties>
</file>