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0"/>
        </w:tabs>
        <w:spacing w:after="0" w:line="360" w:lineRule="auto"/>
        <w:ind w:firstLine="283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Курсовой проект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«Радиоприёмные устройства» 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приёмника базовой станции UMTS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right="-85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студент гр. </w:t>
      </w:r>
    </w:p>
    <w:p w:rsidR="00000000" w:rsidDel="00000000" w:rsidP="00000000" w:rsidRDefault="00000000" w:rsidRPr="00000000" w14:paraId="0000001D">
      <w:pPr>
        <w:spacing w:after="0" w:line="240" w:lineRule="auto"/>
        <w:ind w:left="2124" w:right="-851" w:firstLine="707.999999999999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2124" w:right="-851" w:firstLine="707.999999999999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Проверил:.</w:t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 г.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структуры приёмника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Заданные параметры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чувствительности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 избирательности по соседнему каналу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Требуемое сквозное усиление приёмника и АРУ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используемой литературы </w:t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84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радиоприёмное устройство базовой станции стандарта UMTS[1] (универсальной мобильной телекоммуникационной системы с прямым расширением спектра) с диапазоном частоты 1710 - 1785 МГц, используя техническое задание, представленное в таблице 1:</w:t>
      </w:r>
    </w:p>
    <w:tbl>
      <w:tblPr>
        <w:tblStyle w:val="Table1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47"/>
        <w:gridCol w:w="4849"/>
        <w:tblGridChange w:id="0">
          <w:tblGrid>
            <w:gridCol w:w="3447"/>
            <w:gridCol w:w="48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Технические характеристики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Принцип дуплексирования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Частотное разделение 95 МГц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Диапазон принимаемых частот, МГц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1710 - 1785 МГц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Диапазон передаваемых частот 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1805 - 1880 МГц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 модуляции 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QPSK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Шаг перестройки по частоте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МГц с дискретом 200кГц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Допустимая нестабильность частоты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/>
              <w:drawing>
                <wp:inline distB="0" distT="0" distL="0" distR="0">
                  <wp:extent cx="2761615" cy="30226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302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Предельные показатели качества приёма(BER, Eb/N0)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должна превышать 0.001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Чувствительность 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617.0" w:type="dxa"/>
              <w:jc w:val="center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400"/>
            </w:tblPr>
            <w:tblGrid>
              <w:gridCol w:w="969"/>
              <w:gridCol w:w="1465"/>
              <w:gridCol w:w="1211"/>
              <w:gridCol w:w="972"/>
              <w:tblGridChange w:id="0">
                <w:tblGrid>
                  <w:gridCol w:w="969"/>
                  <w:gridCol w:w="1465"/>
                  <w:gridCol w:w="1211"/>
                  <w:gridCol w:w="972"/>
                </w:tblGrid>
              </w:tblGridChange>
            </w:tblGrid>
            <w:tr>
              <w:trPr>
                <w:cantSplit w:val="1"/>
                <w:tblHeader w:val="0"/>
              </w:trPr>
              <w:tc>
                <w:tcPr/>
                <w:p w:rsidR="00000000" w:rsidDel="00000000" w:rsidP="00000000" w:rsidRDefault="00000000" w:rsidRPr="00000000" w14:paraId="0000006A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BS Class</w:t>
                  </w:r>
                </w:p>
              </w:tc>
              <w:tc>
                <w:tcPr/>
                <w:p w:rsidR="00000000" w:rsidDel="00000000" w:rsidP="00000000" w:rsidRDefault="00000000" w:rsidRPr="00000000" w14:paraId="0000006B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Reference measurement channel data rate</w:t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BS reference sensitivity level (dBm)</w:t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BER</w:t>
                  </w:r>
                </w:p>
              </w:tc>
            </w:tr>
            <w:tr>
              <w:trPr>
                <w:cantSplit w:val="1"/>
                <w:tblHeader w:val="0"/>
              </w:trPr>
              <w:tc>
                <w:tcPr/>
                <w:p w:rsidR="00000000" w:rsidDel="00000000" w:rsidP="00000000" w:rsidRDefault="00000000" w:rsidRPr="00000000" w14:paraId="0000006E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Wide Area BS</w:t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12.2 kbps</w:t>
                  </w:r>
                </w:p>
              </w:tc>
              <w:tc>
                <w:tcPr/>
                <w:p w:rsidR="00000000" w:rsidDel="00000000" w:rsidP="00000000" w:rsidRDefault="00000000" w:rsidRPr="00000000" w14:paraId="00000070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-121</w:t>
                  </w:r>
                </w:p>
              </w:tc>
              <w:tc>
                <w:tcPr/>
                <w:p w:rsidR="00000000" w:rsidDel="00000000" w:rsidP="00000000" w:rsidRDefault="00000000" w:rsidRPr="00000000" w14:paraId="00000071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BER shall not exceed 0.001</w:t>
                  </w:r>
                </w:p>
              </w:tc>
            </w:tr>
          </w:tbl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Избирательность по соседнему каналу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219.0" w:type="dxa"/>
              <w:jc w:val="center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630"/>
              <w:gridCol w:w="1589"/>
              <w:tblGridChange w:id="0">
                <w:tblGrid>
                  <w:gridCol w:w="2630"/>
                  <w:gridCol w:w="1589"/>
                </w:tblGrid>
              </w:tblGridChange>
            </w:tblGrid>
            <w:tr>
              <w:trPr>
                <w:cantSplit w:val="0"/>
                <w:trHeight w:val="81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5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</w:t>
                  </w:r>
                </w:p>
              </w:tc>
              <w:tc>
                <w:tcPr/>
                <w:p w:rsidR="00000000" w:rsidDel="00000000" w:rsidP="00000000" w:rsidRDefault="00000000" w:rsidRPr="00000000" w14:paraId="00000076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Level</w:t>
                  </w:r>
                </w:p>
                <w:p w:rsidR="00000000" w:rsidDel="00000000" w:rsidP="00000000" w:rsidRDefault="00000000" w:rsidRPr="00000000" w14:paraId="00000077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Wide Area BS</w:t>
                  </w:r>
                </w:p>
              </w:tc>
            </w:tr>
            <w:tr>
              <w:trPr>
                <w:cantSplit w:val="0"/>
                <w:trHeight w:val="28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8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Data rate</w:t>
                  </w:r>
                </w:p>
              </w:tc>
              <w:tc>
                <w:tcPr/>
                <w:p w:rsidR="00000000" w:rsidDel="00000000" w:rsidP="00000000" w:rsidRDefault="00000000" w:rsidRPr="00000000" w14:paraId="00000079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12.2</w:t>
                  </w:r>
                </w:p>
              </w:tc>
            </w:tr>
            <w:tr>
              <w:trPr>
                <w:cantSplit w:val="0"/>
                <w:trHeight w:val="548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A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Wanted signal mean power</w:t>
                  </w:r>
                </w:p>
              </w:tc>
              <w:tc>
                <w:tcPr/>
                <w:p w:rsidR="00000000" w:rsidDel="00000000" w:rsidP="00000000" w:rsidRDefault="00000000" w:rsidRPr="00000000" w14:paraId="0000007B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-115</w:t>
                  </w:r>
                </w:p>
              </w:tc>
            </w:tr>
            <w:tr>
              <w:trPr>
                <w:cantSplit w:val="0"/>
                <w:trHeight w:val="548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C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Interfering signal mean power</w:t>
                  </w:r>
                </w:p>
              </w:tc>
              <w:tc>
                <w:tcPr/>
                <w:p w:rsidR="00000000" w:rsidDel="00000000" w:rsidP="00000000" w:rsidRDefault="00000000" w:rsidRPr="00000000" w14:paraId="0000007D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-52</w:t>
                  </w:r>
                </w:p>
              </w:tc>
            </w:tr>
            <w:tr>
              <w:trPr>
                <w:cantSplit w:val="0"/>
                <w:trHeight w:val="30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E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Fuw offset (Modulated)</w:t>
                  </w:r>
                </w:p>
              </w:tc>
              <w:tc>
                <w:tcPr/>
                <w:p w:rsidR="00000000" w:rsidDel="00000000" w:rsidP="00000000" w:rsidRDefault="00000000" w:rsidRPr="00000000" w14:paraId="0000007F">
                  <w:pPr>
                    <w:keepNext w:val="1"/>
                    <w:keepLines w:val="1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±5</w:t>
                  </w:r>
                </w:p>
              </w:tc>
            </w:tr>
          </w:tbl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Избирательность по побочным каналам приёма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Динамический диапазон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vertAlign w:val="subscript"/>
                <w:rtl w:val="0"/>
              </w:rPr>
              <w:t xml:space="preserve">RX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vertAlign w:val="superscript"/>
                <w:rtl w:val="0"/>
              </w:rPr>
              <w:t xml:space="preserve">MIN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= -110.7 дБм</w:t>
            </w:r>
          </w:p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vertAlign w:val="subscript"/>
                <w:rtl w:val="0"/>
              </w:rPr>
              <w:t xml:space="preserve">RX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vertAlign w:val="superscript"/>
                <w:rtl w:val="0"/>
              </w:rPr>
              <w:t xml:space="preserve">MAX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-25 дБм</w:t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= 110.7 - 25 = 85.7 дБ</w:t>
            </w:r>
          </w:p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8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Выбор структуры приёмника:</w:t>
      </w:r>
    </w:p>
    <w:p w:rsidR="00000000" w:rsidDel="00000000" w:rsidP="00000000" w:rsidRDefault="00000000" w:rsidRPr="00000000" w14:paraId="0000008A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выбора схемы приёмника проведем сравнение возможных вариантов реализации.</w:t>
      </w:r>
    </w:p>
    <w:p w:rsidR="00000000" w:rsidDel="00000000" w:rsidP="00000000" w:rsidRDefault="00000000" w:rsidRPr="00000000" w14:paraId="0000008B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Супергетеродинный приёмник с двукратным преобразованием частоты. Схема такого приёмника представлена на рис. 1 </w:t>
      </w:r>
    </w:p>
    <w:p w:rsidR="00000000" w:rsidDel="00000000" w:rsidP="00000000" w:rsidRDefault="00000000" w:rsidRPr="00000000" w14:paraId="0000008C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70064" cy="1804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064" cy="18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2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– Схема супергетеродинного приёмника с двукратным преобразованием частоты</w:t>
      </w:r>
    </w:p>
    <w:p w:rsidR="00000000" w:rsidDel="00000000" w:rsidP="00000000" w:rsidRDefault="00000000" w:rsidRPr="00000000" w14:paraId="0000008E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нем ПФ1 совместно с фильтром ПФ2 ослабляет уровень помех по зеркальному и другим побочным каналам. МШУ (малошумящий усилитель) обеспечивает заданную чувствительность приемника. Побочные продукты преобразования подавляются ФПЧ1. Достоинства такой схемы в стабильности параметров, высоких значениях селективности и чувствительности. В качестве недостатков схемы выделяют увеличение стоимости устройства, его размеров и энергопотребления за счет применения внешних высокодобротных полосовых фильтров, необходимых для подавления зеркального канала и выбора рабочего канала. Сложность микроминиатюризации. Усложнение преселектора.</w:t>
      </w:r>
    </w:p>
    <w:p w:rsidR="00000000" w:rsidDel="00000000" w:rsidP="00000000" w:rsidRDefault="00000000" w:rsidRPr="00000000" w14:paraId="0000009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Приёмник прямого преобразования.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0" distT="0" distL="0" distR="0">
            <wp:extent cx="5272405" cy="158813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– Схема приёмника с прямым преобразованием</w:t>
      </w:r>
    </w:p>
    <w:p w:rsidR="00000000" w:rsidDel="00000000" w:rsidP="00000000" w:rsidRDefault="00000000" w:rsidRPr="00000000" w14:paraId="00000094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таком приёмнике квадратурный преобразователь частоты осуществляет перенос спектра на две низкочастотных составляющие. Тракты НЧ содержат УНЧ (от постоянного тока) и ФНЧ, осуществляющие частотную селекцию полезного сигнала (избирательность по соседнему каналу).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преимуществ такой схемы выделяют: </w:t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Простота такой схемы из-за отсутствия 2-го гетеродина, и отсутствие ряда побочных каналов приёма в том числе зеркального, усложняющих преселектор.</w:t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Более низкий потребляемый ток усилителями радиочастоты, по сравнению со схемами супергетеродинных приемников.</w:t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Минимум навесных компонентов, что дает возможность реализации приемника в одной ИМС.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недостатков стоит отметить:</w:t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Изменяющееся во времени смещение постоянной составляющей.</w:t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Необходимость учета интермодуляционных искажений второго порядка.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Высокие требования к идентичности каналов по амплитуде и фазе.</w:t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Утечка сигнала гетеродина возникает вследствие емкостных связей, связи по подложке и печатной плате между сигнальным и гетеродинным входами смесителя и МШУ. Появление постоянной составляющей на выходе ФНЧ связано в первую очередь из-за утечки сигнала гетеродина. 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Появление постоянной составляющей на выходе ФНЧ связано в первую очередь из-за утечки сигнала гетеродина. В качестве эффективного решения данной проблемы обычно применяют переход на синтезатор частоты с удвоенной рабочей частотой. Частота равная частоте входного сигнала получается уже внутри ИМС путем деления на 2, что приводит к почти полному исчезновению излучения через паразитные цепи. Также, правильная компоновка компонентов РЧ блоков, экранирование узлов и применение специальных алгоритмов оценивания в цифровом блоке обработки, помогают устранить большинство недостатков присущих данной схеме.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указанных плюсов и минусов структур приёмника была выбрана схема приёмника прямого преобразования. Расширенная схема такого приёмника на рис. 3.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 счёт малой элементной базы. Структура приемника прямого преобразования будет более простой для реализации, а большинство недостатков удастся избежать правильно подобранной элементной базой, различным экранированием, использованием дифференциальных схем гетеродинов и смесителей, а также применением схем (алгоритмов) оценки и компенсации дрейфа постоянной составляющей и не идентичности каналов. За счёт чего удаётся существенно ослабить проблему дрейфа постоянной составляющей сигнала на выходе перемножителей.</w:t>
      </w:r>
    </w:p>
    <w:p w:rsidR="00000000" w:rsidDel="00000000" w:rsidP="00000000" w:rsidRDefault="00000000" w:rsidRPr="00000000" w14:paraId="000000A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67770" cy="2068444"/>
            <wp:effectExtent b="0" l="0" r="0" t="0"/>
            <wp:docPr descr="C:\Users\dimak\YandexDisk\Учёба\Радиоприёмные ус-ва\Без имени-3.jpg" id="18" name="image17.jpg"/>
            <a:graphic>
              <a:graphicData uri="http://schemas.openxmlformats.org/drawingml/2006/picture">
                <pic:pic>
                  <pic:nvPicPr>
                    <pic:cNvPr descr="C:\Users\dimak\YandexDisk\Учёба\Радиоприёмные ус-ва\Без имени-3.jpg"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770" cy="2068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– Расширенная схема приёмника прямого преобразования</w:t>
      </w:r>
    </w:p>
    <w:p w:rsidR="00000000" w:rsidDel="00000000" w:rsidP="00000000" w:rsidRDefault="00000000" w:rsidRPr="00000000" w14:paraId="000000A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схеме обозначения следующие: ПРМ - тракт приёма, ПРД - тракт передачи, МШУ - малошумящий усилитель, ПФ - полосовой фильтр, ФНЧ - фильтр нижних частот, УНЧ - усилитель низкой частоты, LO – сигнал от гетеродина.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8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Расчёт: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расчёта были использованы исходные данные из расчетного технического задания и характеристики реальных компонентов, которых подбирались под заданный стандарт (UMTS BS) и частоты.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Заданные параметры: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DPCH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-121 дБм=-151 дБВт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мощность полезного сигнала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LNA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=17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дБ - коэффициент усиления МШУ [9]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LNA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дБ - коэффициент шума МШУ [9]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BPF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=2.5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дБ - затухание в полосовом фильтре  [7]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br w:type="textWrapping"/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=2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дБ - запас на неточности реализации цифровой обработки </w:t>
        <w:br w:type="textWrapping"/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DEM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11.6 дБ - коэффициент шума в демодуляторе [8]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DEM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1.5 дБ - коэффициент усиления демодулятора [8]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затухание в дуплексере между выводами "ANT – RX" в диапазоне частот приёма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TX/RX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35 дБ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затухание в дуплексере между выводами "TX - ANT" в диапазоне частот приёма</w:t>
        <w:br w:type="textWrapping"/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BW=3.84*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МГц – полоса частот сигнала </w:t>
        <w:br w:type="textWrapping"/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=1.38*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Вт/Гц×Кельвин – постоянная Больцмана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=273°К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стандартная комнатная температура </w:t>
        <w:br w:type="textWrapping"/>
        <w:t xml:space="preserve">Технические характеристики подобранных элементов описаны в Приложении 1</w:t>
        <w:tab/>
      </w:r>
    </w:p>
    <w:p w:rsidR="00000000" w:rsidDel="00000000" w:rsidP="00000000" w:rsidRDefault="00000000" w:rsidRPr="00000000" w14:paraId="000000AF">
      <w:pPr>
        <w:ind w:left="708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 Расчёт чувствительности: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Реальная чувствительность приёмника определяется как минимальный уровень мощности полезного сигнала 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DPCH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входе антенны BS, при котором выходная вероятность ошибки на бит BER стандартного измерительного канала передачи данных не превышает заданной величины.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Суммарная мощность сигнала (принятая мощность сигнала нисходящей линии связи, измеренная на разъёме антенны абонентского оборудования):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NiF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мощность шумов и помех.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DPCH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NiF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-121 + 10.3 = -110.7 дБм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Мощность только помеховой составляющей ("системного" шума) на входе приёмника можно рассчитать по формуле [6]: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486150" cy="4000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- 111.1 дБм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системных имеется ещё два источника помех: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аддитивный белый гауссовский шум (Additive White Gaussian Noise AWGN) обусловленный собственными тепловыми шумами каскадов усиления приемника (особенно его входного LNA);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шумовая составляющая шумов передатчика BS в диапазоне принимаемых частот, спектральную плотность которого можно также считать постоянной. Рассчитывается с учетом затухания сигнала в дуплексере, применяемых в схеме, и мощности собственных шумов передатчика в диапазоне частот приёма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(BW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= -70 дБм, эта величина была получена на основе анализа шумов типовых передатчиков данного диапазона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Мощности этих помеховых составляющих, пересчитанных к антенному входу UE, рассчитываются, соответственно, как: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240339" cy="838539"/>
            <wp:effectExtent b="0" l="0" r="0" t="0"/>
            <wp:docPr descr="ad.png" id="20" name="image2.png"/>
            <a:graphic>
              <a:graphicData uri="http://schemas.openxmlformats.org/drawingml/2006/picture">
                <pic:pic>
                  <pic:nvPicPr>
                    <pic:cNvPr descr="ad.png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339" cy="838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NF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суммарный коэффициент шума приёмного тракта. [3]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1.38 ·10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-23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Вт/Гц·°К - постоянная Больцмана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273 °К - стандартная комнатная температура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TX/RX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DUP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затухание в дуплексере между выводами "TX – ANT" в диапазоне частот приёма.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=10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ox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lg</m:t>
            </m:r>
          </m:e>
        </m:box>
        <m:r>
          <w:rPr>
            <w:rFonts w:ascii="Cambria Math" w:cs="Cambria Math" w:eastAsia="Cambria Math" w:hAnsi="Cambria Math"/>
            <w:sz w:val="28"/>
            <w:szCs w:val="28"/>
          </w:rPr>
          <m:t xml:space="preserve">lg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NF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LNA</m:t>
                        </m:r>
                      </m:sub>
                    </m:sSub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den>
                </m:f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NF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DEM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10</m:t>
                        </m:r>
                      </m:den>
                    </m:f>
                  </m:sup>
                </m:s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-1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d>
                          <m:dPr>
                            <m:begChr m:val="("/>
                            <m:endChr m:val=")"/>
                            <m:ctrlP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  <m:t xml:space="preserve">G</m:t>
                                </m:r>
                              </m:e>
                              <m:sub>
                                <m: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  <m:t xml:space="preserve">LNA</m:t>
                                </m:r>
                              </m:sub>
                            </m:sSub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-</m:t>
                            </m:r>
                            <m:sSub>
                              <m:sSubPr>
                                <m:ctrlP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  <m:t xml:space="preserve">L</m:t>
                                </m:r>
                              </m:e>
                              <m:sub>
                                <m: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  <m:t xml:space="preserve">BPF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10</m:t>
                        </m:r>
                      </m:den>
                    </m:f>
                  </m:sup>
                </m:sSup>
              </m:den>
            </m:f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>
          <w:rPr/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1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=10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ox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lg</m:t>
            </m:r>
          </m:e>
        </m:box>
        <m:r>
          <w:rPr>
            <w:rFonts w:ascii="Cambria Math" w:cs="Cambria Math" w:eastAsia="Cambria Math" w:hAnsi="Cambria Math"/>
            <w:sz w:val="28"/>
            <w:szCs w:val="28"/>
          </w:rPr>
          <m:t xml:space="preserve">lg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den>
                </m:f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11.6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10</m:t>
                        </m:r>
                      </m:den>
                    </m:f>
                  </m:sup>
                </m:s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-1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d>
                          <m:dPr>
                            <m:begChr m:val="("/>
                            <m:endChr m:val=")"/>
                            <m:ctrlP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17-2.5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10</m:t>
                        </m:r>
                      </m:den>
                    </m:f>
                  </m:sup>
                </m:sSup>
              </m:den>
            </m:f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=2.4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дБ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+10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ox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log</m:t>
            </m:r>
          </m:e>
        </m:box>
        <m:r>
          <w:rPr>
            <w:rFonts w:ascii="Cambria Math" w:cs="Cambria Math" w:eastAsia="Cambria Math" w:hAnsi="Cambria Math"/>
            <w:sz w:val="28"/>
            <w:szCs w:val="28"/>
          </w:rPr>
          <m:t xml:space="preserve">log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В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BW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DUP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RX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2.4+10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ox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log</m:t>
            </m:r>
          </m:e>
        </m:box>
        <m:r>
          <w:rPr>
            <w:rFonts w:ascii="Cambria Math" w:cs="Cambria Math" w:eastAsia="Cambria Math" w:hAnsi="Cambria Math"/>
            <w:sz w:val="28"/>
            <w:szCs w:val="28"/>
          </w:rPr>
          <m:t xml:space="preserve">log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1.38 ·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-23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·273·3.84·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6</m:t>
                </m:r>
              </m:sup>
            </m:sSup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+35 = -103 дБм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TX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BW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DUP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TX/RX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 -70-35= -105</m:t>
        </m:r>
      </m:oMath>
      <w:r w:rsidDel="00000000" w:rsidR="00000000" w:rsidRPr="00000000">
        <w:rPr>
          <w:sz w:val="28"/>
          <w:szCs w:val="28"/>
          <w:rtl w:val="0"/>
        </w:rPr>
        <w:t xml:space="preserve"> дБм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Результирующее значение "сигнал / шум + помеха":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924425" cy="590549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9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N+I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=-121-10lg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-111.2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+10</m:t>
                </m:r>
              </m:e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-103.01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den>
                </m:f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-105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10</m:t>
                    </m:r>
                  </m:den>
                </m:f>
              </m:sup>
            </m:sSup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 -17.3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перехода к эффективному значению необходимо учитывать запас на неточности реализации цифровой части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margin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895350" cy="26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энергетический выигрыш вследствие свёртки шумоподобного сигнала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processing gain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(определяется из соотношения ширины спектра сигнала WCDMA и полосы полезного информационного сигнала после свёртки):</w:t>
      </w:r>
    </w:p>
    <w:p w:rsidR="00000000" w:rsidDel="00000000" w:rsidP="00000000" w:rsidRDefault="00000000" w:rsidRPr="00000000" w14:paraId="000000C9">
      <w:pPr>
        <w:spacing w:line="360" w:lineRule="auto"/>
        <w:ind w:left="7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2543175" cy="647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эффективное значение "сигнал / шум + помеха":</w:t>
      </w:r>
    </w:p>
    <w:p w:rsidR="00000000" w:rsidDel="00000000" w:rsidP="00000000" w:rsidRDefault="00000000" w:rsidRPr="00000000" w14:paraId="000000CB">
      <w:pPr>
        <w:spacing w:line="360" w:lineRule="auto"/>
        <w:ind w:left="7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2695575" cy="6096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7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N+I</m:t>
                </m:r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N+I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PG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=-17.3 -2+25 = 5,7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left="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полученного значения с требуемым для достижения заданного значения вероятности ошибки EB/N0 = 5.2 dB показывает, что представленная совокупность параметров реализует заданную реальную чувствительность с запасом около 0.5 dB.</w:t>
      </w:r>
    </w:p>
    <w:p w:rsidR="00000000" w:rsidDel="00000000" w:rsidP="00000000" w:rsidRDefault="00000000" w:rsidRPr="00000000" w14:paraId="000000CE">
      <w:pPr>
        <w:spacing w:line="360" w:lineRule="auto"/>
        <w:ind w:left="70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 Расчёт избирательности по соседнему каналу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Избирательность по соседнему каналу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ACS – Adjacent Channel Selectivity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является мерой способности приёмника принимать полезный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WCDMA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сигнал с заданным уровнем качества (величина BER не превышает 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в присутствии мешающего сигнала по соседнему каналу (смещение по частоте на </w:t>
      </w:r>
      <w:r w:rsidDel="00000000" w:rsidR="00000000" w:rsidRPr="00000000">
        <w:rPr>
          <w:rFonts w:ascii="Noto Sans Symbols" w:cs="Noto Sans Symbols" w:eastAsia="Noto Sans Symbols" w:hAnsi="Noto Sans Symbols"/>
          <w:sz w:val="28"/>
          <w:szCs w:val="28"/>
          <w:rtl w:val="0"/>
        </w:rPr>
        <w:t xml:space="preserve">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МГц).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Измерения проводятся при следующих параметра тестовых сигналов, рекомендованных в стандарте [1]: Мощность полезного сигнала - энергия на бит  ПСП канала DPCH в полосе 3.84 МГц: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Измерения проводятся при следующих параметра тестовых сигналов, рекомендованных в стандарте [1]: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DPCH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-121 + 6 = -115 дБм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Измерения проводятся при следующих параметра тестовых сигналов, рекомендованных в стандарте [1]: СПМ суммарного полезного  сигнала в полосе 3.84 МГц: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-110.7 + 6 = 104.7 дБм 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СПМ суммарного мешающего сигнала  (при наличии модуляции) в полосе 3.84 МГц [6]: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ACI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-52 дБм.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Селективность по соседнему каналу выбранной схемы определяется только фильтрами нижних частот LPF в каждой из квадратурных ветвей демодулятора[6]. 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Новые параметры мощности полезного сигнала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DPCH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суммарной мощности сигнала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[6]: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-110.7 + 6 = 104.7 дБм 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DPCH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-121 + 6 = -115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3486150" cy="40005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- 105.1 дБ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0" distT="0" distL="0" distR="0">
            <wp:extent cx="4924425" cy="590549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9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N+I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=-115-10lg(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-105.1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den>
            </m:f>
          </m:sup>
        </m:sSup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+10</m:t>
            </m:r>
          </m:e>
          <m:sup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-103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den>
            </m:f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-105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den>
            </m:f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) = -15.5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N+I</m:t>
                </m:r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N+I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PG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=-15.5 -2+25  = 7.5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дБ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Эффективное отношение "сигнал/шум + помеха" в случае переноса рассматриваемой помехи целиком в полосу полезного сигнала и добавления к другим шумовым и помеховым составляющим составит: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74310" cy="104394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</m:t>
                </m:r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AC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DPCH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IAC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PG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LPF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(∆F)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Эффективное отношение «сигнал/помеха» на входе цифровой части, где учитывается мощность полезного сигнала, затухание в фильтре и помеха по соседнему каналу [1]:</w:t>
      </w:r>
    </w:p>
    <w:p w:rsidR="00000000" w:rsidDel="00000000" w:rsidP="00000000" w:rsidRDefault="00000000" w:rsidRPr="00000000" w14:paraId="000000E3">
      <w:pP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  <m:t xml:space="preserve"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I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AC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DPCH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ACI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+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LPF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>Δ</m:t>
            </m:r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F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PG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IM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  &gt;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B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0</m:t>
                </m:r>
              </m:sub>
            </m:sSub>
          </m:den>
        </m:f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=5.2 дБ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Чтобы определить минимальное значение подавления помехи по СК для допустимого отношения «сигнал/помеха», оценим какое значение «сигнал/помеха» получается без фильтра:</w:t>
      </w:r>
    </w:p>
    <w:p w:rsidR="00000000" w:rsidDel="00000000" w:rsidP="00000000" w:rsidRDefault="00000000" w:rsidRPr="00000000" w14:paraId="000000E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I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AC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DPCH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ACI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PG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 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=-115+52+25-2=- 40 дБ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Так как нужно добиться показателя </w:t>
      </w:r>
      <m:oMath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&gt;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B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0</m:t>
                </m:r>
              </m:sub>
            </m:sSub>
          </m:den>
        </m:f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=5.2 дБ,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или минимального значения эффективного отношения «сигнал/помеха»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  <m:t xml:space="preserve"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I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AC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=6 дБ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определим необходимое подавление фильтра в полосе СК:</w:t>
      </w:r>
    </w:p>
    <w:p w:rsidR="00000000" w:rsidDel="00000000" w:rsidP="00000000" w:rsidRDefault="00000000" w:rsidRPr="00000000" w14:paraId="000000E7">
      <w:pPr>
        <w:jc w:val="left"/>
        <w:rPr>
          <w:rFonts w:ascii="Cambria Math" w:cs="Cambria Math" w:eastAsia="Cambria Math" w:hAnsi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  <m:t xml:space="preserve"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I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AC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LPF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>Δ</m:t>
            </m:r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F</m:t>
            </m:r>
          </m:e>
        </m:d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+40=6 дБ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rFonts w:ascii="Cambria Math" w:cs="Cambria Math" w:eastAsia="Cambria Math" w:hAnsi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LPF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>Δ</m:t>
            </m:r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F</m:t>
            </m:r>
          </m:e>
        </m:d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=6+ 40 =46 дБ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Отсюда следует, что минимальное ослабление помехи по соседнему каналу за счет избирательных свойств LPF составляет: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LPF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>Δ</m:t>
            </m:r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F</m:t>
            </m:r>
          </m:e>
        </m:d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=46 дБ.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[2]: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Полученное  значение соответствует нашим требованиям. Из сделанных расчётов можно сделать вывод, что затухание должно быть не меньше 46 дБ для обеспечения заданной селективности.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Данную избирательность мы с запасом можем реализовать при помощи микросхемы LTC6603: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-62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881566" cy="2311031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566" cy="2311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00131" cy="2621866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131" cy="262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Рассчитаем новое значение эффективного отношения «сигнал/шум» и «сигнал/шум + помеха» c учётом реального подавления ФНЧ в ИМС,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LPF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>Δ</m:t>
            </m:r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F</m:t>
            </m:r>
          </m:e>
        </m:d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=60 дБ: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rFonts w:ascii="Cambria Math" w:cs="Cambria Math" w:eastAsia="Cambria Math" w:hAnsi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  <m:t xml:space="preserve"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I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8"/>
                            <w:szCs w:val="28"/>
                          </w:rPr>
                          <m:t xml:space="preserve">AC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LPF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>Δ</m:t>
            </m:r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F</m:t>
            </m:r>
          </m:e>
        </m:d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-40=60-40=20 дБ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S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N+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I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AC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EFF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=10</m:t>
        </m:r>
        <m:box>
          <m:boxPr>
            <m:opEmu m:val="1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lg</m:t>
            </m:r>
          </m:e>
        </m:box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lg</m:t>
        </m:r>
        <m:r>
          <w:rPr/>
          <m:t xml:space="preserve"> 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1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-</m:t>
                        </m:r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(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f>
                              <m:fPr>
                                <m:ctrlP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  <m:t xml:space="preserve">S</m:t>
                                </m:r>
                              </m:num>
                              <m:den>
                                <m:r>
                                  <w:rPr>
                                    <w:rFonts w:ascii="Cambria Math" w:cs="Cambria Math" w:eastAsia="Cambria Math" w:hAnsi="Cambria Math"/>
                                    <w:sz w:val="28"/>
                                    <w:szCs w:val="28"/>
                                  </w:rPr>
                                  <m:t xml:space="preserve">N+I</m:t>
                                </m:r>
                              </m:den>
                            </m:f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)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EFF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10</m:t>
                        </m:r>
                      </m:den>
                    </m:f>
                  </m:sup>
                </m:s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-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color w:val="000000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d>
                              <m:dPr>
                                <m:begChr m:val="("/>
                                <m:endChr m:val=")"/>
                                <m:ctrlPr>
                                  <w:rPr>
                                    <w:rFonts w:ascii="Cambria Math" w:cs="Cambria Math" w:eastAsia="Cambria Math" w:hAnsi="Cambria Math"/>
                                    <w:color w:val="000000"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cs="Cambria Math" w:eastAsia="Cambria Math" w:hAnsi="Cambria Math"/>
                                        <w:color w:val="000000"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cs="Cambria Math" w:eastAsia="Cambria Math" w:hAnsi="Cambria Math"/>
                                        <w:color w:val="000000"/>
                                        <w:sz w:val="26"/>
                                        <w:szCs w:val="26"/>
                                      </w:rPr>
                                      <m:t xml:space="preserve">S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cs="Cambria Math" w:eastAsia="Cambria Math" w:hAnsi="Cambria Math"/>
                                            <w:color w:val="000000"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cs="Cambria Math" w:eastAsia="Cambria Math" w:hAnsi="Cambria Math"/>
                                            <w:color w:val="000000"/>
                                            <w:sz w:val="26"/>
                                            <w:szCs w:val="26"/>
                                          </w:rPr>
                                          <m:t xml:space="preserve"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cs="Cambria Math" w:eastAsia="Cambria Math" w:hAnsi="Cambria Math"/>
                                            <w:color w:val="000000"/>
                                            <w:sz w:val="26"/>
                                            <w:szCs w:val="26"/>
                                          </w:rPr>
                                          <m:t xml:space="preserve">AC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color w:val="000000"/>
                                <w:sz w:val="26"/>
                                <w:szCs w:val="26"/>
                              </w:rPr>
                              <m:t xml:space="preserve">EFF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10</m:t>
                        </m:r>
                      </m:den>
                    </m:f>
                  </m:sup>
                </m:sSup>
              </m:den>
            </m:f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r>
          <w:rPr/>
          <m:t xml:space="preserve"> 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10</m:t>
        </m:r>
        <m:box>
          <m:boxPr>
            <m:opEmu m:val="1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lg</m:t>
            </m:r>
          </m:e>
        </m:box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lg</m:t>
        </m:r>
        <m:r>
          <w:rPr/>
          <m:t xml:space="preserve"> 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1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-10.04 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10</m:t>
                        </m:r>
                      </m:den>
                    </m:f>
                  </m:sup>
                </m:s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10</m:t>
                    </m:r>
                  </m:e>
                  <m:sup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-20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color w:val="000000"/>
                            <w:sz w:val="26"/>
                            <w:szCs w:val="26"/>
                          </w:rPr>
                          <m:t xml:space="preserve">10</m:t>
                        </m:r>
                      </m:den>
                    </m:f>
                  </m:sup>
                </m:sSup>
              </m:den>
            </m:f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=9.6 дБ&gt;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B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0</m:t>
                </m:r>
              </m:sub>
            </m:sSub>
          </m:den>
        </m:f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=5.2 дБ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color w:val="000000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Запас помогает бороться со многими дополнительными факторами (помехами), которые не учитывались в расчёте.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-62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3.4 Требуемое сквозное усиление приёмника.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Минимальная и максимальная мощность на входе приёмника: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MIN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-110.7 дБм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-25 дБм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(используем из технической документации по стандарту UMTS значения максимальной и минимальной мощностей входного сигнала)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Динамический диапазон: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110.7 - 25 = 85.7 дБ</w:t>
      </w:r>
    </w:p>
    <w:p w:rsidR="00000000" w:rsidDel="00000000" w:rsidP="00000000" w:rsidRDefault="00000000" w:rsidRPr="00000000" w14:paraId="000000FB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всём динамическом диапазоне на выходе аналоговой части приемного тракта должен быть обеспечен уровень напряжения, примерно соответствующий половине полной шкалы используемого в Baseband процессоре АЦП, этот запас по номинальному уровню в 6дБ (2 раза) необходим для отсутствия искажений сигнала из-за ограничения изменяющейся амплитудной огибающей.  </w:t>
      </w:r>
    </w:p>
    <w:p w:rsidR="00000000" w:rsidDel="00000000" w:rsidP="00000000" w:rsidRDefault="00000000" w:rsidRPr="00000000" w14:paraId="000000FC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АЦП был выбран Analog Devices AD6600 [11]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– Технические характеристики подобранного АЦП, техническая спецификация которого описана в приложении </w:t>
      </w:r>
    </w:p>
    <w:tbl>
      <w:tblPr>
        <w:tblStyle w:val="Table4"/>
        <w:tblW w:w="867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9"/>
        <w:gridCol w:w="4340"/>
        <w:tblGridChange w:id="0">
          <w:tblGrid>
            <w:gridCol w:w="4339"/>
            <w:gridCol w:w="4340"/>
          </w:tblGrid>
        </w:tblGridChange>
      </w:tblGrid>
      <w:tr>
        <w:trPr>
          <w:cantSplit w:val="0"/>
          <w:trHeight w:val="453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Фирма-изготовитель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Analog devices [11]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AD6600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Дифференциальный вход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501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Уровень дифф. Сигнала полной шкалы, 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(пик-пик)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Требуемый запас, дБ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598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Тактовая частота</w:t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450 MHz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Число разрядов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 бит</w:t>
            </w:r>
          </w:p>
        </w:tc>
      </w:tr>
      <w:tr>
        <w:trPr>
          <w:cantSplit w:val="0"/>
          <w:trHeight w:val="580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Нагрузка 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 Oм</w:t>
            </w:r>
          </w:p>
        </w:tc>
      </w:tr>
    </w:tbl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АЦП имеет дифференциальный 2-х канальный входной тракт, уровень дифференциального сигнала полной шкалы на входе = 2В.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аналоговый тракт перед АЦП двухполярный (дифференциальный) и что необходимо учитывать запас в 6 дБ, тогда напряжение на выходе такого тракта (пик-пик) составляет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876300" cy="266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(0,5 полной шкалы АЦП), амплитуда - 0.5 В, а эффективное значение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2143125" cy="257175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мощность от 1мВт, при нагрузке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200 Ом составит:</w:t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P = 10lg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U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эфф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2</m:t>
                            </m:r>
                          </m:sup>
                        </m:sSup>
                      </m:sub>
                    </m:sSub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den>
                </m:f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0.001</m:t>
                </m:r>
              </m:den>
            </m:f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=10lg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0.356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200</m:t>
                    </m:r>
                  </m:den>
                </m:f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0.001</m:t>
                </m:r>
              </m:den>
            </m:f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 -2</m:t>
        </m:r>
      </m:oMath>
      <w:r w:rsidDel="00000000" w:rsidR="00000000" w:rsidRPr="00000000">
        <w:rPr>
          <w:sz w:val="28"/>
          <w:szCs w:val="28"/>
          <w:rtl w:val="0"/>
        </w:rPr>
        <w:t xml:space="preserve"> дБм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Тогда, с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учетом минимального и максимального уровней напряжений на антенном входе приемника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получить диапазон сквозного усиления тракта, для максимального и минимального сигналов, соответственно:</w:t>
      </w:r>
    </w:p>
    <w:p w:rsidR="00000000" w:rsidDel="00000000" w:rsidP="00000000" w:rsidRDefault="00000000" w:rsidRPr="00000000" w14:paraId="000001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-25 -1.98 = 26.98 …  -111 -2 = -113</w:t>
      </w:r>
    </w:p>
    <w:p w:rsidR="00000000" w:rsidDel="00000000" w:rsidP="00000000" w:rsidRDefault="00000000" w:rsidRPr="00000000" w14:paraId="000001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26.98 … 113  дБ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Сквозное усиление всего тракта складывается из следующих составляющих: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усиление радиотракта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усиление видеотракта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Усиление видеотракта определяется коэффициентом передачи усилителя низкой частоты с учетом потерь сигнала в фильтре нижних частот.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видеотракта выбираем усилитель низкой частоты (УНЧ) со встроенным фильтром нижних частот (ФНЧ). 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 – Технические характеристики выбранного УНЧ </w:t>
      </w:r>
    </w:p>
    <w:tbl>
      <w:tblPr>
        <w:tblStyle w:val="Table5"/>
        <w:tblW w:w="94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39"/>
        <w:gridCol w:w="5000"/>
        <w:tblGridChange w:id="0">
          <w:tblGrid>
            <w:gridCol w:w="4439"/>
            <w:gridCol w:w="5000"/>
          </w:tblGrid>
        </w:tblGridChange>
      </w:tblGrid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Фирма-изготовитель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Linear Technology [10]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LTC6603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частот до, МГц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</w:tr>
      <w:tr>
        <w:trPr>
          <w:cantSplit w:val="0"/>
          <w:trHeight w:val="1429" w:hRule="atLeast"/>
          <w:tblHeader w:val="0"/>
        </w:trPr>
        <w:tc>
          <w:tcPr/>
          <w:p w:rsidR="00000000" w:rsidDel="00000000" w:rsidP="00000000" w:rsidRDefault="00000000" w:rsidRPr="00000000" w14:paraId="000001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шума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Gain = 0 dB Noise = -124 dBm/Hz </w:t>
            </w:r>
          </w:p>
          <w:p w:rsidR="00000000" w:rsidDel="00000000" w:rsidP="00000000" w:rsidRDefault="00000000" w:rsidRPr="00000000" w14:paraId="000001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Gain = 6 dB Noise = -129 dBm/Hz 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Gain = 12 dB Noise = -135 dBm/Hz 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Gain = 24 dB Noise = -145 dBm/Hz </w:t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Усиление, дБ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0/6/12/24</w:t>
            </w:r>
          </w:p>
        </w:tc>
      </w:tr>
    </w:tbl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рт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RX</w:t>
      </w:r>
      <m:oMath>
        <m:r>
          <w:rPr>
            <w:rFonts w:ascii="Cambria Math" w:cs="Cambria Math" w:eastAsia="Cambria Math" w:hAnsi="Cambria Math"/>
            <w:sz w:val="28"/>
            <w:szCs w:val="28"/>
            <w:vertAlign w:val="subscript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LNA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BPF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+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DEM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= - 4 - 1.8 + 15 + 2 = 11.2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Сквозное усиление всего тракта: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vertAlign w:val="subscript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=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vertAlign w:val="subscript"/>
          <w:rtl w:val="0"/>
        </w:rPr>
        <w:t xml:space="preserve">рт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+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vertAlign w:val="subscript"/>
          <w:rtl w:val="0"/>
        </w:rPr>
        <w:t xml:space="preserve">VGA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= 11.2 + 24 = 35.2 дб 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Полученного коэффициента передачи недостаточно для обеспечения требуемого сквозного усиления, необходимо добавить ещё УНЧ. В качестве УНЧ2 был выбран Analog Devices AD8338 [12], обладающий подходящим диапазоном усиления. 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86.87 - 11 = 76 дБ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VGA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менее 76 дБ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4 - Технические характеристики дополнительного УНЧ</w:t>
      </w:r>
    </w:p>
    <w:tbl>
      <w:tblPr>
        <w:tblStyle w:val="Table6"/>
        <w:tblW w:w="965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43"/>
        <w:gridCol w:w="5116"/>
        <w:tblGridChange w:id="0">
          <w:tblGrid>
            <w:gridCol w:w="4543"/>
            <w:gridCol w:w="5116"/>
          </w:tblGrid>
        </w:tblGridChange>
      </w:tblGrid>
      <w:tr>
        <w:trPr>
          <w:cantSplit w:val="0"/>
          <w:trHeight w:val="526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Фирма-изготовитель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Analog Devices [12]</w:t>
            </w:r>
          </w:p>
        </w:tc>
      </w:tr>
      <w:tr>
        <w:trPr>
          <w:cantSplit w:val="0"/>
          <w:trHeight w:val="445" w:hRule="atLeast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AD8338</w:t>
            </w:r>
          </w:p>
        </w:tc>
      </w:tr>
      <w:tr>
        <w:trPr>
          <w:cantSplit w:val="0"/>
          <w:trHeight w:val="445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Диапазон частот до, МГц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</w:tr>
      <w:tr>
        <w:trPr>
          <w:cantSplit w:val="0"/>
          <w:trHeight w:val="445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Шаг изменения усиления, дБ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Усиление, дБ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0…80</w:t>
            </w:r>
          </w:p>
        </w:tc>
      </w:tr>
    </w:tbl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Учитывая УНЧ 2 в расчете сквозного усиления всего тракта, получим: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=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рт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+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VGA1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+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VGA2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11.2 + 24 + 80 = 115.2 дб 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обеспечения минимального коэффициента передачи (29.03 дБ), необходимо уменьшить усиление в низкочастотном тракте минимум до</w:t>
      </w:r>
    </w:p>
    <w:p w:rsidR="00000000" w:rsidDel="00000000" w:rsidP="00000000" w:rsidRDefault="00000000" w:rsidRPr="00000000" w14:paraId="0000013F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-30.1=39.6-30.1=9.5 дБ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|11.4 - 11| = 0.4 дБ</w:t>
      </w:r>
    </w:p>
    <w:p w:rsidR="00000000" w:rsidDel="00000000" w:rsidP="00000000" w:rsidRDefault="00000000" w:rsidRPr="00000000" w14:paraId="00000141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этого можно уменьшить усиление в демодуляторе или АРУ VGA (так как у них переменный коэффициент передачи).</w:t>
      </w:r>
    </w:p>
    <w:p w:rsidR="00000000" w:rsidDel="00000000" w:rsidP="00000000" w:rsidRDefault="00000000" w:rsidRPr="00000000" w14:paraId="00000142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Демодулятор может уменьшить усиление от 0 вплоть до 15 дБ, что с обеспечивает необходимое уменьшение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дБ.</w:t>
      </w:r>
    </w:p>
    <w:p w:rsidR="00000000" w:rsidDel="00000000" w:rsidP="00000000" w:rsidRDefault="00000000" w:rsidRPr="00000000" w14:paraId="00000143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Характеристики демодулятора позволяют реализовать данное действие с большим запасом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].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выходе  АРУ  включается ФНЧ, а постоянное управляющее напряжение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vertAlign w:val="sub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поступает на усилительные каскады и соответствующим образом изменяет режим работы активных элементов по постоянному току.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74310" cy="8614301"/>
            <wp:effectExtent b="0" l="0" r="0" t="0"/>
            <wp:docPr descr="C:\Users\dimak\YandexDisk\Учёба\Радиоприёмные ус-ва\Без имени-1.jpg" id="29" name="image24.jpg"/>
            <a:graphic>
              <a:graphicData uri="http://schemas.openxmlformats.org/drawingml/2006/picture">
                <pic:pic>
                  <pic:nvPicPr>
                    <pic:cNvPr descr="C:\Users\dimak\YandexDisk\Учёба\Радиоприёмные ус-ва\Без имени-1.jpg"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74310" cy="7998317"/>
            <wp:effectExtent b="0" l="0" r="0" t="0"/>
            <wp:docPr descr="C:\Users\dimak\YandexDisk\Учёба\Радиоприёмные ус-ва\4.jpg" id="30" name="image19.jpg"/>
            <a:graphic>
              <a:graphicData uri="http://schemas.openxmlformats.org/drawingml/2006/picture">
                <pic:pic>
                  <pic:nvPicPr>
                    <pic:cNvPr descr="C:\Users\dimak\YandexDisk\Учёба\Радиоприёмные ус-ва\4.jpg" id="0" name="image1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ind w:left="8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используемой литературы</w:t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3GPP TS 25.101 Technical Specification Group Radio Access Network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[2] Клич С.М., Кривенко А.С., Носикова Г.Н. и др., Проектирование радиоприёмных устройств: Учебное пособие для вузов / Под ред. А.П. Сиверс. –  М.: Советское радио, 1976 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[3] Логвинов В.В. Радиоприёмные устройства систем мобильной связи: Учебно-методическое пособие – М.: МТУСИ, 2016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[4] Косичкина Т.П. Курсовое проектирование радиоприёмных устройств для телерадиовещания: Учебно-методическое пособие – М.: МТУСИ, 2018</w:t>
      </w:r>
    </w:p>
    <w:p w:rsidR="00000000" w:rsidDel="00000000" w:rsidP="00000000" w:rsidRDefault="00000000" w:rsidRPr="00000000" w14:paraId="0000015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[5]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Фомин Н.Н., Буга Н.Н., Головин О.В., и др., Радиоприемные устройства: Учебник для вузов / Под ред. Н.Н.Фомина. – М.: Горячая линия –Телеком, 2007.</w:t>
      </w:r>
    </w:p>
    <w:p w:rsidR="00000000" w:rsidDel="00000000" w:rsidP="00000000" w:rsidRDefault="00000000" w:rsidRPr="00000000" w14:paraId="000001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[6] Пестряков А.В. Проектирование радиоприёмных устройств мобильной связи: Практические занятия, Москва, 2024.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[7]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https://www.transko.com/Word/RF%20SAW%20Filter/TF-9187-ND.pdf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[8]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https://www.analog.com/media/en/technical-documentation/data-sheets/5510fa.pdf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[9]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https://www.analog.com/media/en/technical-documentation/data-sheets/hmc382.pdf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[10]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https://pdf1.alldatasheet.com/datasheet-pdf/view/265342/LINER/LTC6603.html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[11]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https://pdf1.alldatasheet.com/datasheet-pdf/view/48122/AD/AD6600.html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[12]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https://pdf1.alldatasheet.com/datasheet-pdf/view/513439/AD/AD8338.html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Фильтр 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F-9187-ND</w:t>
      </w:r>
    </w:p>
    <w:p w:rsidR="00000000" w:rsidDel="00000000" w:rsidP="00000000" w:rsidRDefault="00000000" w:rsidRPr="00000000" w14:paraId="0000015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344898" cy="7064969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898" cy="7064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https://www.transko.com/Word/RF%20SAW%20Filter/TF-9187-ND.pdf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v3189pefwiei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I/Q демодулятор </w:t>
      </w:r>
    </w:p>
    <w:p w:rsidR="00000000" w:rsidDel="00000000" w:rsidP="00000000" w:rsidRDefault="00000000" w:rsidRPr="00000000" w14:paraId="00000165">
      <w:pPr>
        <w:spacing w:after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172787" cy="369980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787" cy="369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19700" cy="981075"/>
            <wp:effectExtent b="0" l="0" r="0" t="0"/>
            <wp:docPr descr="C:\Users\Сергей Халков\Downloads\параметры демодулятора 2.png" id="3" name="image21.png"/>
            <a:graphic>
              <a:graphicData uri="http://schemas.openxmlformats.org/drawingml/2006/picture">
                <pic:pic>
                  <pic:nvPicPr>
                    <pic:cNvPr descr="C:\Users\Сергей Халков\Downloads\параметры демодулятора 2.png"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https://www.micro-semiconductor.com/datasheet/13-ADRF6820ACPZ-R7.pdf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МШУ Analog Devices HMC376LP3</w:t>
      </w:r>
    </w:p>
    <w:p w:rsidR="00000000" w:rsidDel="00000000" w:rsidP="00000000" w:rsidRDefault="00000000" w:rsidRPr="00000000" w14:paraId="0000017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92385" cy="607230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385" cy="607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https://www.analog.com/media/en/technical-documentation/data-sheets/hmc382.pdf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Усилитель с переменным усилением(VGA) Linear Technology LTC6603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9790" cy="314071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54370" cy="217043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17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21655" cy="220408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220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https://pdf1.alldatasheet.com/datasheet-pdf/view/265342/LINER/LTC6603.html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АЦП Analog Devices AD6600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71135" cy="409448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365760</wp:posOffset>
            </wp:positionV>
            <wp:extent cx="5273040" cy="1703070"/>
            <wp:effectExtent b="0" l="0" r="0" t="0"/>
            <wp:wrapSquare wrapText="bothSides" distB="0" distT="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3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https://pdf1.alldatasheet.com/datasheet-pdf/view/48122/AD/AD6600.html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5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Дуплексёр AD1747-1842D457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45344" cy="61779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5344" cy="61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530143" cy="7109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0143" cy="71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https://disk.yandex.ru/d/avGYevNArT-eHg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УНЧ 2 Analog Devices AD8338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74310" cy="483489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https://pdf1.alldatasheet.com/datasheet-pdf/view/513439/AD/AD8338.html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510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708" w:firstLine="0"/>
      </w:pPr>
      <w:rPr/>
    </w:lvl>
    <w:lvl w:ilvl="2">
      <w:start w:val="1"/>
      <w:numFmt w:val="decimal"/>
      <w:lvlText w:val="%1.%2.%3"/>
      <w:lvlJc w:val="left"/>
      <w:pPr>
        <w:ind w:left="708" w:firstLine="0"/>
      </w:pPr>
      <w:rPr/>
    </w:lvl>
    <w:lvl w:ilvl="3">
      <w:start w:val="1"/>
      <w:numFmt w:val="decimal"/>
      <w:lvlText w:val="%1.%2.%3.%4"/>
      <w:lvlJc w:val="left"/>
      <w:pPr>
        <w:ind w:left="708" w:firstLine="0"/>
      </w:pPr>
      <w:rPr/>
    </w:lvl>
    <w:lvl w:ilvl="4">
      <w:start w:val="1"/>
      <w:numFmt w:val="decimal"/>
      <w:lvlText w:val="%1.%2.%3.%4.%5"/>
      <w:lvlJc w:val="left"/>
      <w:pPr>
        <w:ind w:left="708" w:firstLine="0"/>
      </w:pPr>
      <w:rPr/>
    </w:lvl>
    <w:lvl w:ilvl="5">
      <w:start w:val="1"/>
      <w:numFmt w:val="decimal"/>
      <w:lvlText w:val="%1.%2.%3.%4.%5.%6"/>
      <w:lvlJc w:val="left"/>
      <w:pPr>
        <w:ind w:left="708" w:firstLine="0"/>
      </w:pPr>
      <w:rPr/>
    </w:lvl>
    <w:lvl w:ilvl="6">
      <w:start w:val="1"/>
      <w:numFmt w:val="decimal"/>
      <w:lvlText w:val="%1.%2.%3.%4.%5.%6.%7"/>
      <w:lvlJc w:val="left"/>
      <w:pPr>
        <w:ind w:left="708" w:firstLine="0"/>
      </w:pPr>
      <w:rPr/>
    </w:lvl>
    <w:lvl w:ilvl="7">
      <w:start w:val="1"/>
      <w:numFmt w:val="decimal"/>
      <w:lvlText w:val="%1.%2.%3.%4.%5.%6.%7.%8"/>
      <w:lvlJc w:val="left"/>
      <w:pPr>
        <w:ind w:left="708" w:firstLine="0"/>
      </w:pPr>
      <w:rPr/>
    </w:lvl>
    <w:lvl w:ilvl="8">
      <w:start w:val="1"/>
      <w:numFmt w:val="decimal"/>
      <w:lvlText w:val="%1.%2.%3.%4.%5.%6.%7.%8.%9"/>
      <w:lvlJc w:val="left"/>
      <w:pPr>
        <w:ind w:left="708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40" w:hanging="840"/>
      </w:pPr>
      <w:rPr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2"/>
      <w:numFmt w:val="decimal"/>
      <w:lvlText w:val="%1."/>
      <w:lvlJc w:val="left"/>
      <w:pPr>
        <w:ind w:left="840" w:hanging="84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[%1]"/>
      <w:lvlJc w:val="left"/>
      <w:pPr>
        <w:ind w:left="0" w:firstLine="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before="320" w:lineRule="auto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spacing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before="200" w:lineRule="auto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29.png"/><Relationship Id="rId42" Type="http://schemas.openxmlformats.org/officeDocument/2006/relationships/hyperlink" Target="https://pdf1.alldatasheet.com/datasheet-pdf/view/48122/AD/AD6600.html" TargetMode="External"/><Relationship Id="rId41" Type="http://schemas.openxmlformats.org/officeDocument/2006/relationships/image" Target="media/image12.png"/><Relationship Id="rId22" Type="http://schemas.openxmlformats.org/officeDocument/2006/relationships/image" Target="media/image19.jpg"/><Relationship Id="rId44" Type="http://schemas.openxmlformats.org/officeDocument/2006/relationships/image" Target="media/image11.png"/><Relationship Id="rId21" Type="http://schemas.openxmlformats.org/officeDocument/2006/relationships/image" Target="media/image24.jpg"/><Relationship Id="rId43" Type="http://schemas.openxmlformats.org/officeDocument/2006/relationships/image" Target="media/image15.png"/><Relationship Id="rId24" Type="http://schemas.openxmlformats.org/officeDocument/2006/relationships/hyperlink" Target="https://www.analog.com/media/en/technical-documentation/data-sheets/5510fa.pdf" TargetMode="External"/><Relationship Id="rId46" Type="http://schemas.openxmlformats.org/officeDocument/2006/relationships/hyperlink" Target="https://pdf1.alldatasheet.com/datasheet-pdf/view/513439/AD/AD8338.html" TargetMode="External"/><Relationship Id="rId23" Type="http://schemas.openxmlformats.org/officeDocument/2006/relationships/hyperlink" Target="https://www.transko.com/Word/RF%20SAW%20Filter/TF-9187-ND.pdf" TargetMode="External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hyperlink" Target="https://pdf1.alldatasheet.com/datasheet-pdf/view/265342/LINER/LTC6603.html" TargetMode="External"/><Relationship Id="rId25" Type="http://schemas.openxmlformats.org/officeDocument/2006/relationships/hyperlink" Target="https://www.analog.com/media/en/technical-documentation/data-sheets/hmc382.pdf" TargetMode="External"/><Relationship Id="rId28" Type="http://schemas.openxmlformats.org/officeDocument/2006/relationships/hyperlink" Target="https://pdf1.alldatasheet.com/datasheet-pdf/view/513439/AD/AD8338.html" TargetMode="External"/><Relationship Id="rId27" Type="http://schemas.openxmlformats.org/officeDocument/2006/relationships/hyperlink" Target="https://pdf1.alldatasheet.com/datasheet-pdf/view/48122/AD/AD6600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6.png"/><Relationship Id="rId7" Type="http://schemas.openxmlformats.org/officeDocument/2006/relationships/image" Target="media/image4.png"/><Relationship Id="rId8" Type="http://schemas.openxmlformats.org/officeDocument/2006/relationships/image" Target="media/image9.png"/><Relationship Id="rId31" Type="http://schemas.openxmlformats.org/officeDocument/2006/relationships/image" Target="media/image3.png"/><Relationship Id="rId30" Type="http://schemas.openxmlformats.org/officeDocument/2006/relationships/hyperlink" Target="https://www.transko.com/Word/RF%20SAW%20Filter/TF-9187-ND.pdf" TargetMode="External"/><Relationship Id="rId11" Type="http://schemas.openxmlformats.org/officeDocument/2006/relationships/image" Target="media/image2.png"/><Relationship Id="rId33" Type="http://schemas.openxmlformats.org/officeDocument/2006/relationships/hyperlink" Target="https://www.micro-semiconductor.com/datasheet/13-ADRF6820ACPZ-R7.pdf" TargetMode="External"/><Relationship Id="rId10" Type="http://schemas.openxmlformats.org/officeDocument/2006/relationships/image" Target="media/image13.png"/><Relationship Id="rId32" Type="http://schemas.openxmlformats.org/officeDocument/2006/relationships/image" Target="media/image21.png"/><Relationship Id="rId13" Type="http://schemas.openxmlformats.org/officeDocument/2006/relationships/image" Target="media/image1.png"/><Relationship Id="rId35" Type="http://schemas.openxmlformats.org/officeDocument/2006/relationships/hyperlink" Target="https://www.analog.com/media/en/technical-documentation/data-sheets/hmc382.pdf" TargetMode="External"/><Relationship Id="rId12" Type="http://schemas.openxmlformats.org/officeDocument/2006/relationships/image" Target="media/image16.png"/><Relationship Id="rId34" Type="http://schemas.openxmlformats.org/officeDocument/2006/relationships/image" Target="media/image5.png"/><Relationship Id="rId15" Type="http://schemas.openxmlformats.org/officeDocument/2006/relationships/image" Target="media/image18.png"/><Relationship Id="rId37" Type="http://schemas.openxmlformats.org/officeDocument/2006/relationships/image" Target="media/image20.png"/><Relationship Id="rId14" Type="http://schemas.openxmlformats.org/officeDocument/2006/relationships/image" Target="media/image23.png"/><Relationship Id="rId36" Type="http://schemas.openxmlformats.org/officeDocument/2006/relationships/image" Target="media/image28.png"/><Relationship Id="rId17" Type="http://schemas.openxmlformats.org/officeDocument/2006/relationships/image" Target="media/image22.png"/><Relationship Id="rId39" Type="http://schemas.openxmlformats.org/officeDocument/2006/relationships/hyperlink" Target="https://pdf1.alldatasheet.com/datasheet-pdf/view/265342/LINER/LTC6603.html" TargetMode="External"/><Relationship Id="rId16" Type="http://schemas.openxmlformats.org/officeDocument/2006/relationships/image" Target="media/image25.png"/><Relationship Id="rId38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D03E4A4E48224580BF498F198F6CC404</vt:lpwstr>
  </property>
</Properties>
</file>