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240"/>
        <w:jc w:val="both"/>
        <w:rPr/>
      </w:pPr>
      <w:r>
        <w:rPr/>
        <w:t>Comprehensive Manual for SUV Computation and Digital Reference Objects for its Verification</w:t>
      </w:r>
    </w:p>
    <w:p>
      <w:pPr>
        <w:pStyle w:val="Subtitle"/>
        <w:jc w:val="both"/>
        <w:rPr/>
      </w:pPr>
      <w:r>
        <w:rPr/>
        <w:t>Working version 3.0</w:t>
      </w:r>
    </w:p>
    <w:p>
      <w:pPr>
        <w:pStyle w:val="FirstParagraph"/>
        <w:jc w:val="left"/>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w:t>
      </w:r>
      <w:r>
        <w:rPr/>
        <w:t xml:space="preserve">, Steffen Löck </w:t>
      </w:r>
      <w:r>
        <w:rPr>
          <w:vertAlign w:val="superscript"/>
        </w:rPr>
        <w:t>1,2,5,6,7</w:t>
      </w:r>
      <w:r>
        <w:rPr/>
        <w:t xml:space="preserve">, Alex Zwanenburg </w:t>
      </w:r>
      <w:r>
        <w:rPr>
          <w:vertAlign w:val="superscript"/>
        </w:rPr>
        <w:t>1,5</w:t>
      </w:r>
    </w:p>
    <w:p>
      <w:pPr>
        <w:pStyle w:val="BodyText"/>
        <w:jc w:val="left"/>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jc w:val="left"/>
        <w:rPr/>
      </w:pPr>
      <w:r>
        <w:rPr>
          <w:vertAlign w:val="superscript"/>
        </w:rPr>
        <w:t>2</w:t>
      </w:r>
      <w:r>
        <w:rPr/>
        <w:t>Helmholtz-Zentrum Dresden-Rossendorf, Institute of Radiooncology - OncoRay, Dresden, Germany</w:t>
      </w:r>
    </w:p>
    <w:p>
      <w:pPr>
        <w:pStyle w:val="BodyText"/>
        <w:jc w:val="left"/>
        <w:rPr/>
      </w:pPr>
      <w:r>
        <w:rPr>
          <w:vertAlign w:val="superscript"/>
        </w:rPr>
        <w:t>3</w:t>
      </w:r>
      <w:r>
        <w:rPr/>
        <w:t>Institute of Radiopharmaceutical Cancer Research, Helmholtz-Zentrum Dresden-Rossendorf, Dresden, Germany</w:t>
      </w:r>
    </w:p>
    <w:p>
      <w:pPr>
        <w:pStyle w:val="BodyText"/>
        <w:jc w:val="left"/>
        <w:rPr/>
      </w:pPr>
      <w:r>
        <w:rPr>
          <w:vertAlign w:val="superscript"/>
        </w:rPr>
        <w:t>4</w:t>
      </w:r>
      <w:r>
        <w:rPr/>
        <w:t>Department of Nuclear Medicine, University Hospital Carl Gustav Carus, Technische Universität Dresden, Dresden, Germany</w:t>
      </w:r>
    </w:p>
    <w:p>
      <w:pPr>
        <w:pStyle w:val="BodyText"/>
        <w:jc w:val="left"/>
        <w:rPr/>
      </w:pPr>
      <w:r>
        <w:rPr>
          <w:vertAlign w:val="superscript"/>
        </w:rPr>
        <w:t>5</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jc w:val="left"/>
        <w:rPr/>
      </w:pPr>
      <w:r>
        <w:rPr>
          <w:vertAlign w:val="superscript"/>
        </w:rPr>
        <w:t>6</w:t>
      </w:r>
      <w:r>
        <w:rPr/>
        <w:t>Department of Radiotherapy and Radiation Oncology, Faculty of Medicine and University Hospital Carl Gustav Carus, Technische Universität Dresden, Dresden, Germany</w:t>
      </w:r>
    </w:p>
    <w:p>
      <w:pPr>
        <w:pStyle w:val="BodyText"/>
        <w:jc w:val="left"/>
        <w:rPr/>
      </w:pPr>
      <w:r>
        <w:rPr>
          <w:vertAlign w:val="superscript"/>
        </w:rPr>
        <w:t>7</w:t>
      </w:r>
      <w:r>
        <w:rPr/>
        <w:t>German Cancer Consortium, partner site Dresden, and German Cancer Research Center, Heidelberg, Germany</w:t>
      </w:r>
    </w:p>
    <w:p>
      <w:pPr>
        <w:pStyle w:val="BodyText"/>
        <w:jc w:val="left"/>
        <w:rPr/>
      </w:pPr>
      <w:r>
        <w:rPr/>
        <w:t>$ Participants and their affiliations are to be specified.</w:t>
      </w:r>
    </w:p>
    <w:p>
      <w:pPr>
        <w:pStyle w:val="BodyText"/>
        <w:jc w:val="both"/>
        <w:rPr/>
      </w:pPr>
      <w:r>
        <w:rPr/>
      </w:r>
    </w:p>
    <w:p>
      <w:pPr>
        <w:pStyle w:val="Heading1"/>
        <w:jc w:val="both"/>
        <w:rPr/>
      </w:pPr>
      <w:bookmarkStart w:id="0" w:name="introduction"/>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medical image analysis software in order to convert the stored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tools. This can give rise to two potential issues:</w:t>
      </w:r>
    </w:p>
    <w:p>
      <w:pPr>
        <w:pStyle w:val="Compact"/>
        <w:numPr>
          <w:ilvl w:val="0"/>
          <w:numId w:val="2"/>
        </w:numPr>
        <w:jc w:val="both"/>
        <w:rPr/>
      </w:pPr>
      <w:r>
        <w:rPr/>
        <w:t>incorrect or inconsistent SUV</w:t>
      </w:r>
      <w:r>
        <w:rPr>
          <w:vertAlign w:val="subscript"/>
        </w:rPr>
        <w:t>bw</w:t>
      </w:r>
      <w:r>
        <w:rPr/>
        <w:t xml:space="preserve">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we aim to:</w:t>
      </w:r>
    </w:p>
    <w:p>
      <w:pPr>
        <w:pStyle w:val="Compact"/>
        <w:numPr>
          <w:ilvl w:val="0"/>
          <w:numId w:val="51"/>
        </w:numPr>
        <w:jc w:val="both"/>
        <w:rPr/>
      </w:pPr>
      <w:r>
        <w:rPr/>
        <w:t>verify that SUV</w:t>
      </w:r>
      <w:r>
        <w:rPr>
          <w:vertAlign w:val="subscript"/>
        </w:rPr>
        <w:t>bw</w:t>
      </w:r>
      <w:r>
        <w:rPr/>
        <w:t xml:space="preserve"> is computed correctly;</w:t>
      </w:r>
    </w:p>
    <w:p>
      <w:pPr>
        <w:pStyle w:val="Compact"/>
        <w:numPr>
          <w:ilvl w:val="0"/>
          <w:numId w:val="52"/>
        </w:numPr>
        <w:jc w:val="both"/>
        <w:rPr/>
      </w:pPr>
      <w:r>
        <w:rPr/>
        <w:t>maximize the number of PET imaging series that can be used for quantitative image analysis.</w:t>
      </w:r>
    </w:p>
    <w:p>
      <w:pPr>
        <w:pStyle w:val="FirstParagraph"/>
        <w:jc w:val="both"/>
        <w:rPr/>
      </w:pPr>
      <w:r>
        <w:rPr/>
        <w:t>Therefore, we:</w:t>
      </w:r>
    </w:p>
    <w:p>
      <w:pPr>
        <w:pStyle w:val="Compact"/>
        <w:numPr>
          <w:ilvl w:val="0"/>
          <w:numId w:val="53"/>
        </w:numPr>
        <w:jc w:val="both"/>
        <w:rPr/>
      </w:pPr>
      <w:r>
        <w:rPr/>
        <w:t>studied how clinical PET images are stored within DICOM files;</w:t>
      </w:r>
    </w:p>
    <w:p>
      <w:pPr>
        <w:pStyle w:val="Compact"/>
        <w:numPr>
          <w:ilvl w:val="0"/>
          <w:numId w:val="4"/>
        </w:numPr>
        <w:jc w:val="both"/>
        <w:rPr/>
      </w:pPr>
      <w:r>
        <w:rPr/>
        <w:t>summarized the instructions on how to interpret these files to correctly calculate SUV</w:t>
      </w:r>
      <w:r>
        <w:rPr>
          <w:vertAlign w:val="subscript"/>
        </w:rPr>
        <w:t>bw</w:t>
      </w:r>
      <w:r>
        <w:rPr/>
        <w:t>;</w:t>
      </w:r>
    </w:p>
    <w:p>
      <w:pPr>
        <w:pStyle w:val="Compact"/>
        <w:numPr>
          <w:ilvl w:val="0"/>
          <w:numId w:val="4"/>
        </w:numPr>
        <w:jc w:val="both"/>
        <w:rPr/>
      </w:pPr>
      <w:r>
        <w:rPr/>
        <w:t>generated a set of representative digital reference objects (DROs) to assess whether imaging software can accurately interpret diverse PET DICOM formats.</w:t>
      </w:r>
    </w:p>
    <w:p>
      <w:pPr>
        <w:pStyle w:val="FirstParagraph"/>
        <w:jc w:val="both"/>
        <w:rPr/>
      </w:pPr>
      <w:bookmarkStart w:id="1" w:name="introduction"/>
      <w:r>
        <w:rPr/>
        <w:t xml:space="preserve"> </w:t>
      </w:r>
      <w:bookmarkEnd w:id="1"/>
    </w:p>
    <w:p>
      <w:pPr>
        <w:pStyle w:val="Heading1"/>
        <w:jc w:val="both"/>
        <w:rPr/>
      </w:pPr>
      <w:bookmarkStart w:id="2" w:name="methods"/>
      <w:r>
        <w:rPr/>
        <w:t>Methods</w:t>
      </w:r>
    </w:p>
    <w:p>
      <w:pPr>
        <w:pStyle w:val="Heading2"/>
        <w:jc w:val="both"/>
        <w:rPr/>
      </w:pPr>
      <w:bookmarkStart w:id="3" w:name="metadata-analysis"/>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54"/>
        </w:numPr>
        <w:jc w:val="both"/>
        <w:rPr/>
      </w:pPr>
      <w:r>
        <w:rPr/>
        <w:t>our internal imaging archives</w:t>
      </w:r>
    </w:p>
    <w:p>
      <w:pPr>
        <w:pStyle w:val="Compact"/>
        <w:numPr>
          <w:ilvl w:val="0"/>
          <w:numId w:val="55"/>
        </w:numPr>
        <w:jc w:val="both"/>
        <w:rPr/>
      </w:pPr>
      <w:hyperlink r:id="rId3">
        <w:r>
          <w:rPr>
            <w:rStyle w:val="Hyperlink"/>
          </w:rPr>
          <w:t>The Cancer Imaging Archive</w:t>
        </w:r>
      </w:hyperlink>
      <w:r>
        <w:rPr/>
        <w:t xml:space="preserve"> Radiology Portal, where we identified 33 cohorts containing relevant PET imaging data:</w:t>
      </w:r>
    </w:p>
    <w:p>
      <w:pPr>
        <w:pStyle w:val="FirstParagraph"/>
        <w:jc w:val="both"/>
        <w:rPr/>
      </w:pP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BodyText"/>
        <w:jc w:val="both"/>
        <w:rPr/>
      </w:pPr>
      <w:bookmarkStart w:id="4" w:name="metadata-analysis"/>
      <w:r>
        <w:rPr/>
        <w:t>We excluded imaging series without attenuation correction and detector normalization applied, as well as series with only one frame within, maximum intensity projections and other reprojections. For all remaining series, we scanned a preselected set of attributes (listed in Supplementary Table 1) and analyzed how they were used in practice.</w:t>
      </w:r>
      <w:bookmarkEnd w:id="4"/>
    </w:p>
    <w:p>
      <w:pPr>
        <w:pStyle w:val="Heading2"/>
        <w:jc w:val="both"/>
        <w:rPr/>
      </w:pPr>
      <w:bookmarkStart w:id="5" w:name="manual-for-suv-computation"/>
      <w:r>
        <w:rPr/>
        <w:t>Manual for SUV computation</w:t>
      </w:r>
    </w:p>
    <w:p>
      <w:pPr>
        <w:pStyle w:val="FirstParagraph"/>
        <w:jc w:val="both"/>
        <w:rPr/>
      </w:pPr>
      <w:r>
        <w:rPr/>
        <w:t>Based on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computing SUV</w:t>
      </w:r>
      <w:r>
        <w:rPr>
          <w:vertAlign w:val="subscript"/>
        </w:rPr>
        <w:t>bw</w:t>
      </w:r>
      <w:r>
        <w:rPr/>
        <w:t xml:space="preserve"> within DICOM PET images. The recommendations apply to clinical PET images the Positron Emission Tomography Service-Object Pair (SOP) Class, i.e, series with a SOP Class UID (0008,0016) value “1.2.840.10008.5.1.4.1.1.128”. Recommendations for other SUV types and other SOP classes, including the Enhanced PET SOP class, are summarized at the end of the Results section. Supplementary Figure 1 and 2 summarize the recommended strategy for the Positron Emission Tomography SOP class and the Enhanced PET SOP class, respectively. Supplementary Table 2 and 3 list all DICOM attributes required for SUV</w:t>
      </w:r>
      <w:r>
        <w:rPr>
          <w:vertAlign w:val="subscript"/>
        </w:rPr>
        <w:t>bw</w:t>
      </w:r>
      <w:r>
        <w:rPr/>
        <w:t xml:space="preserve"> computation in images from these two SOP classes.</w:t>
      </w:r>
      <w:bookmarkEnd w:id="5"/>
    </w:p>
    <w:p>
      <w:pPr>
        <w:pStyle w:val="Heading2"/>
        <w:jc w:val="both"/>
        <w:rPr/>
      </w:pPr>
      <w:bookmarkStart w:id="6" w:name="X1b019d5c921bbd09a48dc0ee2d5b583d8e89767"/>
      <w:r>
        <w:rPr/>
        <w:t>Construction of digital reference objects</w:t>
      </w:r>
    </w:p>
    <w:p>
      <w:pPr>
        <w:pStyle w:val="FirstParagraph"/>
        <w:jc w:val="both"/>
        <w:rPr/>
      </w:pPr>
      <w:r>
        <w:rPr/>
        <w:t xml:space="preserve">Furthermore, we assembled a comprehensive set of digital reference objects (DROs) for verifying SUV computation. All DRO DICOM files were synthesized de novo using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surrounding zero-activity region (SUV</w:t>
      </w:r>
      <w:r>
        <w:rPr>
          <w:vertAlign w:val="subscript"/>
        </w:rPr>
        <w:t>bw</w:t>
      </w:r>
      <w:r>
        <w:rPr/>
        <w:t xml:space="preserve"> = 0.00) (See Fig.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a software tool computes the SUV</w:t>
      </w:r>
      <w:r>
        <w:rPr>
          <w:vertAlign w:val="subscript"/>
        </w:rPr>
        <w:t>bw</w:t>
      </w:r>
      <w:r>
        <w:rPr/>
        <w:t xml:space="preserve"> correctly, the operator is supposed to either:</w:t>
      </w:r>
    </w:p>
    <w:p>
      <w:pPr>
        <w:pStyle w:val="Normal"/>
        <w:numPr>
          <w:ilvl w:val="0"/>
          <w:numId w:val="56"/>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6"/>
        </w:numPr>
        <w:jc w:val="both"/>
        <w:rPr/>
      </w:pPr>
      <w:r>
        <w:rPr/>
        <w:t>convert the DRO DICOM file to SUV</w:t>
      </w:r>
      <w:r>
        <w:rPr>
          <w:vertAlign w:val="subscript"/>
        </w:rPr>
        <w:t>bw</w:t>
      </w:r>
      <w:r>
        <w:rPr/>
        <w:t xml:space="preserve"> units and extract the maximum, minimum, and median SUV</w:t>
      </w:r>
      <w:r>
        <w:rPr>
          <w:vertAlign w:val="subscript"/>
        </w:rPr>
        <w:t>bw</w:t>
      </w:r>
      <w:r>
        <w:rPr/>
        <w:t xml:space="preserve"> within the ROI;</w:t>
      </w:r>
    </w:p>
    <w:p>
      <w:pPr>
        <w:pStyle w:val="Normal"/>
        <w:numPr>
          <w:ilvl w:val="0"/>
          <w:numId w:val="6"/>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computed values should be rounded to two decimal places. The target values are identical across all cases and are defined as follows:</w:t>
      </w:r>
    </w:p>
    <w:p>
      <w:pPr>
        <w:pStyle w:val="Compact"/>
        <w:numPr>
          <w:ilvl w:val="0"/>
          <w:numId w:val="57"/>
        </w:numPr>
        <w:jc w:val="both"/>
        <w:rPr/>
      </w:pPr>
      <w:r>
        <w:rPr/>
        <w:t>Hot sphere / maximum DRO value = 4.00 SUV</w:t>
      </w:r>
      <w:r>
        <w:rPr>
          <w:vertAlign w:val="subscript"/>
        </w:rPr>
        <w:t>bw</w:t>
      </w:r>
    </w:p>
    <w:p>
      <w:pPr>
        <w:pStyle w:val="Compact"/>
        <w:numPr>
          <w:ilvl w:val="0"/>
          <w:numId w:val="58"/>
        </w:numPr>
        <w:jc w:val="both"/>
        <w:rPr/>
      </w:pPr>
      <w:r>
        <w:rPr/>
        <w:t>Cold sphere / minimum DRO value = 0.20 SUV</w:t>
      </w:r>
      <w:r>
        <w:rPr>
          <w:vertAlign w:val="subscript"/>
        </w:rPr>
        <w:t>bw</w:t>
      </w:r>
    </w:p>
    <w:p>
      <w:pPr>
        <w:pStyle w:val="Compact"/>
        <w:numPr>
          <w:ilvl w:val="0"/>
          <w:numId w:val="59"/>
        </w:numPr>
        <w:jc w:val="both"/>
        <w:rPr/>
      </w:pPr>
      <w:r>
        <w:rPr/>
        <w:t>Background region / median DRO value = 1.00 SUV</w:t>
      </w:r>
      <w:r>
        <w:rPr>
          <w:vertAlign w:val="subscript"/>
        </w:rPr>
        <w:t>bw</w:t>
      </w:r>
    </w:p>
    <w:p>
      <w:pPr>
        <w:pStyle w:val="CaptionedFigure"/>
        <w:jc w:val="both"/>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jc w:val="both"/>
        <w:rPr/>
      </w:pPr>
      <w:r>
        <w:rPr/>
        <w:t>Fig. 1: Visualization of the DRO design in axial, coronal, and sagittal planes (from left to right). Voxel values are shown in SUV</w:t>
      </w:r>
      <w:r>
        <w:rPr>
          <w:vertAlign w:val="subscript"/>
        </w:rPr>
        <w:t>bw</w:t>
      </w:r>
      <w:r>
        <w:rPr/>
        <w:t>.</w:t>
      </w:r>
    </w:p>
    <w:p>
      <w:pPr>
        <w:pStyle w:val="BodyText"/>
        <w:jc w:val="both"/>
        <w:rPr/>
      </w:pPr>
      <w:r>
        <w:rPr/>
        <w:t>The DRO_0_0 represents the default DRO where SUV</w:t>
      </w:r>
      <w:r>
        <w:rPr>
          <w:vertAlign w:val="subscript"/>
        </w:rPr>
        <w:t>bw</w:t>
      </w:r>
      <w:r>
        <w:rPr/>
        <w:t xml:space="preserve"> should be computed correctly by any medical image analysis software. The subsequent DROs capture typical scenarios in which software tools may fail or yield inconsistent values. A set of DROs encoded using the Enhanced PET SOP Class is provided in addition to the DROs based on the “classic” Positron Emission Tomography SOP Class. Finally, a set of “error DROs” captures the most common scenarios in which one of the DICOM attributes essential for correct SUV</w:t>
      </w:r>
      <w:r>
        <w:rPr>
          <w:vertAlign w:val="subscript"/>
        </w:rPr>
        <w:t>bw</w:t>
      </w:r>
      <w:r>
        <w:rPr/>
        <w:t xml:space="preserve"> computation is absent or contains an inappropriate value. Any of these error DROs should lead to a failure of SUV</w:t>
      </w:r>
      <w:r>
        <w:rPr>
          <w:vertAlign w:val="subscript"/>
        </w:rPr>
        <w:t>bw</w:t>
      </w:r>
      <w:r>
        <w:rPr/>
        <w:t xml:space="preserve"> computation, and the resulting values should not be presented in SUV</w:t>
      </w:r>
      <w:r>
        <w:rPr>
          <w:vertAlign w:val="subscript"/>
        </w:rPr>
        <w:t>bw</w:t>
      </w:r>
      <w:r>
        <w:rPr/>
        <w:t xml:space="preserve"> units. Supplementary Table 3 lists all digital reference objects together with the expected values.</w:t>
      </w:r>
    </w:p>
    <w:p>
      <w:pPr>
        <w:pStyle w:val="BodyText"/>
        <w:jc w:val="both"/>
        <w:rPr/>
      </w:pPr>
      <w:bookmarkStart w:id="7" w:name="methods"/>
      <w:bookmarkStart w:id="8" w:name="X1b019d5c921bbd09a48dc0ee2d5b583d8e89767"/>
      <w:r>
        <w:rPr/>
        <w:t xml:space="preserve"> </w:t>
      </w:r>
      <w:bookmarkEnd w:id="7"/>
      <w:bookmarkEnd w:id="8"/>
    </w:p>
    <w:p>
      <w:pPr>
        <w:pStyle w:val="Heading1"/>
        <w:jc w:val="both"/>
        <w:rPr/>
      </w:pPr>
      <w:bookmarkStart w:id="9" w:name="results"/>
      <w:r>
        <w:rPr/>
        <w:t>Results</w:t>
      </w:r>
    </w:p>
    <w:p>
      <w:pPr>
        <w:pStyle w:val="Heading2"/>
        <w:jc w:val="both"/>
        <w:rPr/>
      </w:pPr>
      <w:bookmarkStart w:id="10" w:name="baseline-characteristics"/>
      <w:bookmarkEnd w:id="10"/>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series were from CTI/CPS (CTI Molecular Imaging/CPS Innovations, Knoxville, USA) or the Manufacturer (0008,0070) attribute did not contain any name of a PET scanner manufacturer (Table 1).</w:t>
      </w:r>
    </w:p>
    <w:p>
      <w:pPr>
        <w:pStyle w:val="TableCaption"/>
        <w:jc w:val="both"/>
        <w:rPr/>
      </w:pPr>
      <w:r>
        <w:rPr/>
        <w:t>Table 1: Percentage of series and a list of unique Manufacturer Model Name (0008,1090) values by scanner manufacturer.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Perc</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Models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CTI/CPS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1023, 1024, 1062, 1080, 962</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59%</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Advance, Discovery 610, Discovery 690, Discovery 710, Discovery IQ, Discovery LS, Discovery MI, Discovery MI DR, Discovery RX, Discovery ST, Discovery STE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Allegro Body(C), GEMINI TF Big Bore, GEMINI TF TOF 16, Guardian Body(C), TruFlight Select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DicomCleaner, Integrity Medical Image Importer</w:t>
            </w:r>
          </w:p>
        </w:tc>
      </w:tr>
    </w:tbl>
    <w:p>
      <w:pPr>
        <w:pStyle w:val="BodyText"/>
        <w:jc w:val="both"/>
        <w:rPr/>
      </w:pPr>
      <w:r>
        <w:rPr/>
      </w:r>
      <w:bookmarkStart w:id="11" w:name="baseline-characteristics"/>
      <w:bookmarkStart w:id="12" w:name="baseline-characteristics"/>
      <w:bookmarkEnd w:id="12"/>
    </w:p>
    <w:p>
      <w:pPr>
        <w:pStyle w:val="Heading2"/>
        <w:jc w:val="both"/>
        <w:rPr/>
      </w:pPr>
      <w:bookmarkStart w:id="13" w:name="rescale-slope-and-intercept"/>
      <w:bookmarkEnd w:id="13"/>
      <w:r>
        <w:rPr/>
        <w:t>Rescale slope and intercept</w:t>
      </w:r>
    </w:p>
    <w:p>
      <w:pPr>
        <w:pStyle w:val="Heading4"/>
        <w:jc w:val="both"/>
        <w:rPr/>
      </w:pPr>
      <w:bookmarkStart w:id="14" w:name="background"/>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w:t>
      </w:r>
    </w:p>
    <w:p>
      <w:pPr>
        <w:pStyle w:val="BodyText"/>
        <w:jc w:val="both"/>
        <w:rPr/>
      </w:pPr>
      <w:r>
        <w:rPr/>
        <w:t>Due to the wide range of the real-world values in PET imaging data, the use of Rescale Slope (0028,1053) and Intercept (0028,1052) ensures that stored values are within the range that can be stored in the voxel data type (e.g., signed 16-bit integers can store integer values from -32,768 to 32,767). The rescale intercept is required to be zero in all PET studies of the Positron Emission Tomography SOP Class, however, this rule was dropped in other PET SOP classes. Applying the rescale slope and intercept to the stored voxel values leads to their conversion to the real-world values, with an unit specified in Units (0054,1001). Independently of the units, it is a mandatory first step in SUV</w:t>
      </w:r>
      <w:r>
        <w:rPr>
          <w:vertAlign w:val="subscript"/>
        </w:rPr>
        <w:t>bw</w:t>
      </w:r>
      <w:r>
        <w:rPr/>
        <w:t xml:space="preserve"> calculation:</w:t>
      </w:r>
    </w:p>
    <w:p>
      <w:pPr>
        <w:pStyle w:val="BodyText"/>
        <w:jc w:val="both"/>
        <w:rPr/>
      </w:pPr>
      <w:r>
        <w:rPr/>
      </w:r>
      <m:oMathPara xmlns:m="http://schemas.openxmlformats.org/officeDocument/2006/math">
        <m:oMathParaPr>
          <m:jc m:val="left"/>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S</m:t>
          </m:r>
          <m:r>
            <w:rPr>
              <w:rFonts w:ascii="Cambria Math" w:hAnsi="Cambria Math"/>
            </w:rPr>
            <m:t xml:space="preserve">V</m:t>
          </m:r>
          <m:r>
            <w:rPr>
              <w:rFonts w:ascii="Cambria Math" w:hAnsi="Cambria Math"/>
            </w:rPr>
            <m:t xml:space="preserve">+</m:t>
          </m:r>
          <m:r>
            <w:rPr>
              <w:rFonts w:ascii="Cambria Math" w:hAnsi="Cambria Math"/>
            </w:rPr>
            <m:t xml:space="preserve">b</m:t>
          </m:r>
        </m:oMath>
      </m:oMathPara>
    </w:p>
    <w:p>
      <w:pPr>
        <w:pStyle w:val="FirstParagraph"/>
        <w:jc w:val="both"/>
        <w:rPr/>
      </w:pPr>
      <w:bookmarkStart w:id="15" w:name="background"/>
      <w:r>
        <w:rPr/>
        <w:t>where U are the real-world values, SV are the stored voxel values (Pixel Data; 7fe0,0010), m the rescale slope, and b the rescale intercept (Rescale Intercept; 0028,1052). The rescale slope and intercept may vary for each frame and must be applied on a frame-wise basis.</w:t>
      </w:r>
      <w:bookmarkEnd w:id="15"/>
    </w:p>
    <w:p>
      <w:pPr>
        <w:pStyle w:val="Heading4"/>
        <w:jc w:val="both"/>
        <w:rPr/>
      </w:pPr>
      <w:bookmarkStart w:id="16" w:name="metadata-analysis-1"/>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60"/>
        </w:numPr>
        <w:jc w:val="both"/>
        <w:rPr/>
      </w:pPr>
      <w:r>
        <w:rPr/>
        <w:t>constant (N=1015, 32.7%)</w:t>
      </w:r>
    </w:p>
    <w:p>
      <w:pPr>
        <w:pStyle w:val="Compact"/>
        <w:numPr>
          <w:ilvl w:val="0"/>
          <w:numId w:val="61"/>
        </w:numPr>
        <w:jc w:val="both"/>
        <w:rPr/>
      </w:pPr>
      <w:r>
        <w:rPr/>
        <w:t>different in each frame (N=1698, 54.7%)</w:t>
      </w:r>
    </w:p>
    <w:p>
      <w:pPr>
        <w:pStyle w:val="Compact"/>
        <w:numPr>
          <w:ilvl w:val="0"/>
          <w:numId w:val="62"/>
        </w:numPr>
        <w:jc w:val="both"/>
        <w:rPr/>
      </w:pPr>
      <w:r>
        <w:rPr/>
        <w:t>rather constant with a few exceptions (N=391, 12.6%) - we noted the exceptions typically included frames with the highest uptake (e.g., slices containing the tumor region).</w:t>
      </w:r>
    </w:p>
    <w:p>
      <w:pPr>
        <w:pStyle w:val="FirstParagraph"/>
        <w:jc w:val="both"/>
        <w:rPr/>
      </w:pPr>
      <w:bookmarkStart w:id="17" w:name="metadata-analysis-1"/>
      <w:r>
        <w:rPr/>
        <w:t>In our dataset, all PET imaging series had Rescale Intercept and Rescale Slope attributes present. The value of Rescale Intercept was always zero. The Rescale Slope always had a positive value.</w:t>
      </w:r>
      <w:bookmarkEnd w:id="17"/>
    </w:p>
    <w:p>
      <w:pPr>
        <w:pStyle w:val="Heading4"/>
        <w:jc w:val="both"/>
        <w:rPr/>
      </w:pPr>
      <w:bookmarkStart w:id="18" w:name="digital-reference-object"/>
      <w:r>
        <w:rPr/>
        <w:t>Digital reference object</w:t>
      </w:r>
    </w:p>
    <w:p>
      <w:pPr>
        <w:pStyle w:val="FirstParagraph"/>
        <w:jc w:val="both"/>
        <w:rPr/>
      </w:pPr>
      <w:r>
        <w:rPr/>
        <w:t>The following DRO was constructed:</w:t>
      </w:r>
    </w:p>
    <w:p>
      <w:pPr>
        <w:pStyle w:val="Compact"/>
        <w:numPr>
          <w:ilvl w:val="0"/>
          <w:numId w:val="63"/>
        </w:numPr>
        <w:jc w:val="both"/>
        <w:rPr/>
      </w:pPr>
      <w:r>
        <w:rPr/>
        <w:t>DRO_1_0 containing multiple values of the Rescale Slope attribute. Typical issues contain:</w:t>
      </w:r>
    </w:p>
    <w:p>
      <w:pPr>
        <w:pStyle w:val="Compact"/>
        <w:numPr>
          <w:ilvl w:val="1"/>
          <w:numId w:val="64"/>
        </w:numPr>
        <w:jc w:val="both"/>
        <w:rPr/>
      </w:pPr>
      <w:bookmarkStart w:id="19" w:name="digital-reference-object"/>
      <w:r>
        <w:rPr/>
        <w:t>Rescale Slope is not applied frame-wise</w:t>
      </w:r>
      <w:bookmarkEnd w:id="19"/>
    </w:p>
    <w:p>
      <w:pPr>
        <w:pStyle w:val="Heading4"/>
        <w:jc w:val="both"/>
        <w:rPr/>
      </w:pPr>
      <w:bookmarkStart w:id="20" w:name="recommendations"/>
      <w:bookmarkEnd w:id="20"/>
      <w:r>
        <w:rPr/>
        <w:t>Recommendations</w:t>
      </w:r>
    </w:p>
    <w:p>
      <w:pPr>
        <w:pStyle w:val="FirstParagraph"/>
        <w:jc w:val="both"/>
        <w:rPr/>
      </w:pPr>
      <w:r>
        <w:rPr>
          <w:b/>
          <w:bCs/>
          <w:i/>
          <w:iCs/>
        </w:rPr>
        <w:t>The Rescale Slope (0028,1053) attribute must be present and not empty. The operator should receive a warning when a non-positive value is present.</w:t>
      </w:r>
    </w:p>
    <w:p>
      <w:pPr>
        <w:pStyle w:val="BodyText"/>
        <w:jc w:val="both"/>
        <w:rPr/>
      </w:pPr>
      <w:r>
        <w:rPr>
          <w:b/>
          <w:bCs/>
          <w:i/>
          <w:iCs/>
        </w:rPr>
        <w:t>The Rescale Intercept (0028,1052) attribute must be present and not empty. The operator should receive a warning when a non-zero value is present.</w:t>
      </w:r>
    </w:p>
    <w:p>
      <w:pPr>
        <w:pStyle w:val="BodyText"/>
        <w:jc w:val="both"/>
        <w:rPr/>
      </w:pPr>
      <w:r>
        <w:rPr>
          <w:b/>
          <w:bCs/>
          <w:i/>
          <w:iCs/>
        </w:rPr>
        <w:t>The corresponding Rescale Slope (0028,1053) and Rescale Intercept (0028,1052) have to be applied to all stored voxel values (Pixel Data; 7fe0,0010) within a frame, independently of other parameters.</w:t>
      </w:r>
    </w:p>
    <w:p>
      <w:pPr>
        <w:pStyle w:val="BodyText"/>
        <w:jc w:val="both"/>
        <w:rPr/>
      </w:pPr>
      <w:r>
        <w:rPr/>
        <w:t>Justification: The Rescale Slope and Rescale Intercept are required in PET images to convert stored voxel values to real-world values and may vary between frames. The Rescale Intercept is required to be zero in PET images of the Positron Emission Tomography SOP Class. Other values indicate non-standard rescaling within image post-processing and such images should be interpreted with caution. The Rescale Slope typically posseses a positive value. A Rescale Slope value of zero may be observed in marginal slices.</w:t>
      </w:r>
    </w:p>
    <w:p>
      <w:pPr>
        <w:pStyle w:val="BodyText"/>
        <w:jc w:val="both"/>
        <w:rPr/>
      </w:pPr>
      <w:r>
        <w:rPr/>
      </w:r>
      <w:bookmarkStart w:id="21" w:name="rescale-slope-and-intercept"/>
      <w:bookmarkStart w:id="22" w:name="recommendations"/>
      <w:bookmarkStart w:id="23" w:name="rescale-slope-and-intercept"/>
      <w:bookmarkStart w:id="24" w:name="recommendations"/>
      <w:bookmarkEnd w:id="23"/>
      <w:bookmarkEnd w:id="24"/>
    </w:p>
    <w:p>
      <w:pPr>
        <w:pStyle w:val="Heading2"/>
        <w:jc w:val="both"/>
        <w:rPr/>
      </w:pPr>
      <w:bookmarkStart w:id="25" w:name="units"/>
      <w:bookmarkEnd w:id="25"/>
      <w:r>
        <w:rPr/>
        <w:t>Units</w:t>
      </w:r>
    </w:p>
    <w:p>
      <w:pPr>
        <w:pStyle w:val="Heading4"/>
        <w:jc w:val="both"/>
        <w:rPr/>
      </w:pPr>
      <w:bookmarkStart w:id="26" w:name="background-1"/>
      <w:r>
        <w:rPr/>
        <w:t>Background</w:t>
      </w:r>
    </w:p>
    <w:p>
      <w:pPr>
        <w:pStyle w:val="FirstParagraph"/>
        <w:jc w:val="both"/>
        <w:rPr/>
      </w:pPr>
      <w:r>
        <w:rPr/>
        <w:t>As mentioned before, the attribute specifies to which units are the stored voxel values converted by applying the rescale slope and intercept. In general, the strategy can be divided into two pathways:</w:t>
      </w:r>
    </w:p>
    <w:p>
      <w:pPr>
        <w:pStyle w:val="Compact"/>
        <w:numPr>
          <w:ilvl w:val="0"/>
          <w:numId w:val="65"/>
        </w:numPr>
        <w:jc w:val="both"/>
        <w:rPr/>
      </w:pPr>
      <w:r>
        <w:rPr/>
        <w:t>direct conversion of stored voxel values to SUV</w:t>
      </w:r>
      <w:r>
        <w:rPr>
          <w:vertAlign w:val="subscript"/>
        </w:rPr>
        <w:t>bw</w:t>
      </w:r>
      <w:r>
        <w:rPr/>
        <w:t>;</w:t>
      </w:r>
    </w:p>
    <w:p>
      <w:pPr>
        <w:pStyle w:val="Compact"/>
        <w:numPr>
          <w:ilvl w:val="0"/>
          <w:numId w:val="66"/>
        </w:numPr>
        <w:jc w:val="both"/>
        <w:rPr/>
      </w:pPr>
      <w:r>
        <w:rPr/>
        <w:t>conversion of stored voxel values to Bq/ml followed by conversion to SUV</w:t>
      </w:r>
      <w:r>
        <w:rPr>
          <w:vertAlign w:val="subscript"/>
        </w:rPr>
        <w:t>bw</w:t>
      </w:r>
      <w:r>
        <w:rPr/>
        <w:t>.</w:t>
      </w:r>
    </w:p>
    <w:p>
      <w:pPr>
        <w:pStyle w:val="Heading5"/>
        <w:jc w:val="both"/>
        <w:rPr/>
      </w:pPr>
      <w:bookmarkStart w:id="27" w:name="units-bqml"/>
      <w:r>
        <w:rPr/>
        <w:t>Units = “BQML”</w:t>
      </w:r>
    </w:p>
    <w:p>
      <w:pPr>
        <w:pStyle w:val="FirstParagraph"/>
        <w:jc w:val="both"/>
        <w:rPr/>
      </w:pPr>
      <w:r>
        <w:rPr/>
        <w:t>The attribute Units (0054,1001) is commonly set to “BQML”, which signalizes real-world value unit becquerels per milliliter. Assuming W and D are properly corrected and expressed in the right units, U may be used directly in the formula:</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28" w:name="units-bqml"/>
      <w:r>
        <w:rPr/>
        <w:t>However, real-world values may have other units based on scanners protocol or due to DICOM file post-processing.</w:t>
      </w:r>
      <w:bookmarkEnd w:id="28"/>
    </w:p>
    <w:p>
      <w:pPr>
        <w:pStyle w:val="Heading5"/>
        <w:jc w:val="both"/>
        <w:rPr/>
      </w:pPr>
      <w:bookmarkStart w:id="29" w:name="units-gml"/>
      <w:r>
        <w:rPr/>
        <w:t>Units = “GML”</w:t>
      </w:r>
    </w:p>
    <w:p>
      <w:pPr>
        <w:pStyle w:val="FirstParagraph"/>
        <w:jc w:val="both"/>
        <w:rPr/>
      </w:pPr>
      <w:r>
        <w:rPr/>
        <w:t>Another common value of the Units (0054,1001) attribute is grams per milliliter (“GML”). This indicates the activity concentration was already normalized. In most cases, it corresponds to body-weight normalization (BW), where SUV</w:t>
      </w:r>
      <w:r>
        <w:rPr>
          <w:vertAlign w:val="subscript"/>
        </w:rPr>
        <w:t>bw</w:t>
      </w:r>
      <w:r>
        <w:rPr/>
        <w:t xml:space="preserve"> equals the real-world value of the voxel.</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other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as body-weight if not specified or when the value is “BW”</w:t>
        </w:r>
      </w:hyperlink>
      <w:r>
        <w:rPr/>
        <w:t xml:space="preserve">. The following factors are used, as reported by </w:t>
      </w:r>
      <w:hyperlink r:id="rId46">
        <w:r>
          <w:rPr>
            <w:rStyle w:val="Hyperlink"/>
          </w:rPr>
          <w:t>Sugawara</w:t>
        </w:r>
      </w:hyperlink>
      <w:r>
        <w:rPr/>
        <w:t>:</w:t>
      </w:r>
    </w:p>
    <w:p>
      <w:pPr>
        <w:pStyle w:val="Normal"/>
        <w:numPr>
          <w:ilvl w:val="0"/>
          <w:numId w:val="67"/>
        </w:numPr>
        <w:jc w:val="both"/>
        <w:rPr/>
      </w:pPr>
      <w:r>
        <w:rPr/>
        <w:t xml:space="preserve">lean body mass by </w:t>
      </w:r>
      <w:hyperlink r:id="rId47">
        <w:r>
          <w:rPr>
            <w:rStyle w:val="Hyperlink"/>
          </w:rPr>
          <w:t>Morgan</w:t>
        </w:r>
      </w:hyperlink>
      <w:r>
        <w:rPr/>
        <w:t xml:space="preserve"> (SUV Type = “LBM”)</w:t>
      </w:r>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8"/>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jc w:val="both"/>
        <w:rPr/>
      </w:pPr>
      <w:r>
        <w:rPr/>
        <w:t xml:space="preserve">for 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jc w:val="both"/>
        <w:rPr/>
      </w:pPr>
      <w:r>
        <w:rPr/>
        <w:t xml:space="preserve">for female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128</m:t>
            </m:r>
          </m:sub>
        </m:sSub>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69"/>
        </w:numPr>
        <w:jc w:val="both"/>
        <w:rPr/>
      </w:pPr>
      <w:r>
        <w:rPr/>
        <w:t xml:space="preserve">lean body mass by </w:t>
      </w:r>
      <w:hyperlink r:id="rId49">
        <w:r>
          <w:rPr>
            <w:rStyle w:val="Hyperlink"/>
          </w:rPr>
          <w:t>Janmahasatian</w:t>
        </w:r>
      </w:hyperlink>
      <w:r>
        <w:rPr/>
        <w:t xml:space="preserve"> (SUV Type = “LBMJANMA”)</w:t>
      </w:r>
    </w:p>
    <w:p>
      <w:pPr>
        <w:pStyle w:val="Normal"/>
        <w:numPr>
          <w:ilvl w:val="0"/>
          <w:numId w:val="1"/>
        </w:numPr>
        <w:jc w:val="both"/>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d>
                    <m:dPr>
                      <m:begChr m:val="("/>
                      <m:endChr m:val=")"/>
                    </m:dPr>
                    <m:e>
                      <m:r>
                        <w:rPr>
                          <w:rFonts w:ascii="Cambria Math" w:hAnsi="Cambria Math"/>
                        </w:rPr>
                        <m:t xml:space="preserve">H</m:t>
                      </m:r>
                      <m:sSup>
                        <m:e>
                          <m:r>
                            <w:rPr>
                              <w:rFonts w:ascii="Cambria Math" w:hAnsi="Cambria Math"/>
                            </w:rPr>
                            <m:t xml:space="preserve">10</m:t>
                          </m:r>
                        </m:e>
                        <m:sup>
                          <m:r>
                            <w:rPr>
                              <w:rFonts w:ascii="Cambria Math" w:hAnsi="Cambria Math"/>
                            </w:rPr>
                            <m:t xml:space="preserve">−</m:t>
                          </m:r>
                          <m:r>
                            <w:rPr>
                              <w:rFonts w:ascii="Cambria Math" w:hAnsi="Cambria Math"/>
                            </w:rPr>
                            <m:t xml:space="preserve">2</m:t>
                          </m:r>
                        </m:sup>
                      </m:sSup>
                    </m:e>
                  </m:d>
                </m:e>
                <m:sup>
                  <m:r>
                    <w:rPr>
                      <w:rFonts w:ascii="Cambria Math" w:hAnsi="Cambria Math"/>
                    </w:rPr>
                    <m:t xml:space="preserve">2</m:t>
                  </m:r>
                </m:sup>
              </m:sSup>
            </m:den>
          </m:f>
        </m:oMath>
      </m:oMathPara>
    </w:p>
    <w:p>
      <w:pPr>
        <w:pStyle w:val="Normal"/>
        <w:numPr>
          <w:ilvl w:val="0"/>
          <w:numId w:val="1"/>
        </w:numPr>
        <w:jc w:val="both"/>
        <w:rPr/>
      </w:pPr>
      <w:r>
        <w:rPr/>
        <w:t xml:space="preserve">for 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jc w:val="both"/>
        <w:rPr/>
      </w:pPr>
      <w:r>
        <w:rPr/>
        <w:t xml:space="preserve">for female patients: </w:t>
      </w:r>
      <w:r>
        <w:rPr/>
      </w:r>
      <m:oMath xmlns:m="http://schemas.openxmlformats.org/officeDocument/2006/math">
        <m:sSub>
          <m:e>
            <m:r>
              <m:rPr>
                <m:lit/>
                <m:nor/>
              </m:rPr>
              <w:rPr>
                <w:rFonts w:ascii="Cambria Math" w:hAnsi="Cambria Math"/>
              </w:rPr>
              <m:t xml:space="preserve">LBM</m:t>
            </m:r>
          </m:e>
          <m:sub>
            <m:r>
              <w:rPr>
                <w:rFonts w:ascii="Cambria Math" w:hAnsi="Cambria Math"/>
              </w:rPr>
              <m:t xml:space="preserve">j</m:t>
            </m:r>
            <m:r>
              <w:rPr>
                <w:rFonts w:ascii="Cambria Math" w:hAnsi="Cambria Math"/>
              </w:rPr>
              <m:t xml:space="preserve">a</m:t>
            </m:r>
            <m:r>
              <w:rPr>
                <w:rFonts w:ascii="Cambria Math" w:hAnsi="Cambria Math"/>
              </w:rPr>
              <m:t xml:space="preserve">n</m:t>
            </m:r>
            <m:r>
              <w:rPr>
                <w:rFonts w:ascii="Cambria Math" w:hAnsi="Cambria Math"/>
              </w:rPr>
              <m:t xml:space="preserve">m</m:t>
            </m:r>
            <m:r>
              <w:rPr>
                <w:rFonts w:ascii="Cambria Math" w:hAnsi="Cambria Math"/>
              </w:rPr>
              <m:t xml:space="preserve">a</m:t>
            </m:r>
          </m:sub>
        </m:sSub>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70"/>
        </w:numPr>
        <w:jc w:val="both"/>
        <w:rPr/>
      </w:pPr>
      <w:r>
        <w:rPr/>
        <w:t>ideal body weight (SUV Type = “IBW”)</w:t>
      </w:r>
    </w:p>
    <w:p>
      <w:pPr>
        <w:pStyle w:val="Normal"/>
        <w:numPr>
          <w:ilvl w:val="0"/>
          <w:numId w:val="1"/>
        </w:numPr>
        <w:jc w:val="both"/>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jc w:val="both"/>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71"/>
        </w:numPr>
        <w:jc w:val="both"/>
        <w:rPr/>
      </w:pPr>
      <w:r>
        <w:rPr/>
        <w:t>Patient’s Size (0010,1020) - Height of the patient in m</w:t>
      </w:r>
    </w:p>
    <w:p>
      <w:pPr>
        <w:pStyle w:val="Normal"/>
        <w:numPr>
          <w:ilvl w:val="0"/>
          <w:numId w:val="72"/>
        </w:numPr>
        <w:jc w:val="both"/>
        <w:rPr/>
      </w:pPr>
      <w:r>
        <w:rPr/>
        <w:t>Patient’s Sex (0010,0040) - Sex of the patient - M (male), F (female) or O (other)</w:t>
      </w:r>
    </w:p>
    <w:p>
      <w:pPr>
        <w:pStyle w:val="FirstParagraph"/>
        <w:jc w:val="both"/>
        <w:rPr/>
      </w:pPr>
      <w:r>
        <w:rPr/>
        <w:t>In turn, this factor (LBM, LBM</w:t>
      </w:r>
      <w:r>
        <w:rPr>
          <w:vertAlign w:val="subscript"/>
        </w:rPr>
        <w:t>james128</w:t>
      </w:r>
      <w:r>
        <w:rPr/>
        <w:t>, LBM</w:t>
      </w:r>
      <w:r>
        <w:rPr>
          <w:vertAlign w:val="subscript"/>
        </w:rPr>
        <w:t>janma</w:t>
      </w:r>
      <w:r>
        <w:rPr/>
        <w:t xml:space="preserve"> or IBW) can be used for normalization:</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f</m:t>
              </m:r>
              <m:r>
                <w:rPr>
                  <w:rFonts w:ascii="Cambria Math" w:hAnsi="Cambria Math"/>
                </w:rPr>
                <m:t xml:space="preserve">a</m:t>
              </m:r>
              <m:r>
                <w:rPr>
                  <w:rFonts w:ascii="Cambria Math" w:hAnsi="Cambria Math"/>
                </w:rPr>
                <m:t xml:space="preserve">c</m:t>
              </m:r>
              <m:r>
                <w:rPr>
                  <w:rFonts w:ascii="Cambria Math" w:hAnsi="Cambria Math"/>
                </w:rPr>
                <m:t xml:space="preserve">t</m:t>
              </m:r>
              <m:r>
                <w:rPr>
                  <w:rFonts w:ascii="Cambria Math" w:hAnsi="Cambria Math"/>
                </w:rPr>
                <m:t xml:space="preserve">o</m:t>
              </m:r>
              <m:r>
                <w:rPr>
                  <w:rFonts w:ascii="Cambria Math" w:hAnsi="Cambria Math"/>
                </w:rPr>
                <m:t xml:space="preserve">r</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real-world values can be multiplied by the patient’s weight and divided by the corresponding factor:</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30" w:name="units-gml"/>
      <w:r>
        <w:rPr/>
        <w:t>There is currently no consensus on the computation of LBM and IBW when Patient’s Sex is specified as “O”. Using the mean value of the sex-specific factors appears to be a reasonable and simple solution.</w:t>
      </w:r>
      <w:bookmarkEnd w:id="30"/>
    </w:p>
    <w:p>
      <w:pPr>
        <w:pStyle w:val="Heading5"/>
        <w:jc w:val="both"/>
        <w:rPr/>
      </w:pPr>
      <w:bookmarkStart w:id="31" w:name="units-cm2ml"/>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both"/>
        <w:rPr/>
      </w:pPr>
      <w:r>
        <w:rPr/>
      </w:r>
      <m:oMathPara xmlns:m="http://schemas.openxmlformats.org/officeDocument/2006/math">
        <m:oMathParaPr>
          <m:jc m:val="left"/>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jc w:val="both"/>
        <w:rPr/>
      </w:pPr>
      <w:r>
        <w:rPr/>
        <w:t>SUV</w:t>
      </w:r>
      <w:r>
        <w:rPr>
          <w:vertAlign w:val="subscript"/>
        </w:rPr>
        <w:t>bw</w:t>
      </w:r>
      <w:r>
        <w:rPr/>
        <w:t xml:space="preserve"> can be backcomputed analogically to the previous section:</w:t>
      </w:r>
    </w:p>
    <w:p>
      <w:pPr>
        <w:pStyle w:val="BodyText"/>
        <w:jc w:val="both"/>
        <w:rPr/>
      </w:pPr>
      <w:bookmarkStart w:id="32" w:name="units-cm2ml"/>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32"/>
    </w:p>
    <w:p>
      <w:pPr>
        <w:pStyle w:val="Heading5"/>
        <w:jc w:val="both"/>
        <w:rPr/>
      </w:pPr>
      <w:bookmarkStart w:id="33" w:name="units-cnts"/>
      <w:r>
        <w:rPr/>
        <w:t>Units = “CNTS”</w:t>
      </w:r>
    </w:p>
    <w:p>
      <w:pPr>
        <w:pStyle w:val="FirstParagraph"/>
        <w:jc w:val="both"/>
        <w:rPr/>
      </w:pPr>
      <w:r>
        <w:rPr/>
        <w:t>Philips scanners often store the units counts (Units=“CNTS”). In this case, scale factors must be provided for converting the stored voxel values. SUV scale factor allows direct conversion of the real-world values to SUV</w:t>
      </w:r>
      <w:r>
        <w:rPr>
          <w:vertAlign w:val="subscript"/>
        </w:rPr>
        <w:t>bw</w:t>
      </w:r>
      <w:r>
        <w:rPr/>
        <w:t>.</w:t>
        <w:br/>
        <w:t xml:space="preserve">The formula is mentioned in Philips conformance statements (here, for </w:t>
      </w:r>
      <w:hyperlink r:id="rId51">
        <w:r>
          <w:rPr>
            <w:rStyle w:val="Hyperlink"/>
          </w:rPr>
          <w:t>Philips Ingenuity</w:t>
        </w:r>
      </w:hyperlink>
      <w:r>
        <w:rPr/>
        <w:t>):</w:t>
      </w:r>
    </w:p>
    <w:p>
      <w:pPr>
        <w:pStyle w:val="BodyText"/>
        <w:jc w:val="both"/>
        <w:rPr/>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real-world values to Bq/ml, as explained in the conformance statement (here, for </w:t>
      </w:r>
      <w:hyperlink r:id="rId52">
        <w:r>
          <w:rPr>
            <w:rStyle w:val="Hyperlink"/>
          </w:rPr>
          <w:t>Philips Ingenuity</w:t>
        </w:r>
      </w:hyperlink>
      <w:r>
        <w:rPr/>
        <w:t>):</w:t>
      </w:r>
    </w:p>
    <w:p>
      <w:pPr>
        <w:pStyle w:val="BodyText"/>
        <w:jc w:val="both"/>
        <w:rPr/>
      </w:pPr>
      <w:bookmarkStart w:id="34" w:name="units-cnts"/>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bookmarkEnd w:id="34"/>
    </w:p>
    <w:p>
      <w:pPr>
        <w:pStyle w:val="Heading5"/>
        <w:jc w:val="both"/>
        <w:rPr/>
      </w:pPr>
      <w:bookmarkStart w:id="35" w:name="other-units"/>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following units:</w:t>
      </w:r>
    </w:p>
    <w:p>
      <w:pPr>
        <w:pStyle w:val="Normal"/>
        <w:numPr>
          <w:ilvl w:val="0"/>
          <w:numId w:val="73"/>
        </w:numPr>
        <w:jc w:val="both"/>
        <w:rPr/>
      </w:pPr>
      <w:r>
        <w:rPr/>
        <w:t>CPS - counts per second, conversion requires vendor- or scanner-specific factors that may not be included in the DICOM metadata</w:t>
      </w:r>
    </w:p>
    <w:p>
      <w:pPr>
        <w:pStyle w:val="Normal"/>
        <w:numPr>
          <w:ilvl w:val="0"/>
          <w:numId w:val="74"/>
        </w:numPr>
        <w:jc w:val="both"/>
        <w:rPr/>
      </w:pPr>
      <w:r>
        <w:rPr/>
        <w:t>PROPCNTS - proportional to counts, not mentioned in conformance statements, conversion is not clear</w:t>
      </w:r>
    </w:p>
    <w:p>
      <w:pPr>
        <w:pStyle w:val="Normal"/>
        <w:numPr>
          <w:ilvl w:val="0"/>
          <w:numId w:val="75"/>
        </w:numPr>
        <w:jc w:val="both"/>
        <w:rPr/>
      </w:pPr>
      <w:r>
        <w:rPr/>
        <w:t xml:space="preserve">PROPCPS - proportional to counts per second, </w:t>
      </w:r>
      <w:hyperlink r:id="rId53">
        <w:r>
          <w:rPr>
            <w:rStyle w:val="Hyperlink"/>
          </w:rPr>
          <w:t>mentioned by Siemens</w:t>
        </w:r>
      </w:hyperlink>
      <w:r>
        <w:rPr/>
        <w:t xml:space="preserve"> for “non-quantitative, non-attenuation corrected images”, conversion is not clear</w:t>
      </w:r>
    </w:p>
    <w:p>
      <w:pPr>
        <w:pStyle w:val="Normal"/>
        <w:numPr>
          <w:ilvl w:val="0"/>
          <w:numId w:val="76"/>
        </w:numPr>
        <w:jc w:val="both"/>
        <w:rPr/>
      </w:pPr>
      <w:bookmarkStart w:id="36" w:name="background-1"/>
      <w:bookmarkStart w:id="37" w:name="other-units"/>
      <w:r>
        <w:rPr/>
        <w:t>1CM - 1/centimeter, used for mu maps</w:t>
      </w:r>
      <w:bookmarkEnd w:id="36"/>
      <w:bookmarkEnd w:id="37"/>
    </w:p>
    <w:p>
      <w:pPr>
        <w:pStyle w:val="Heading4"/>
        <w:jc w:val="both"/>
        <w:rPr/>
      </w:pPr>
      <w:bookmarkStart w:id="38" w:name="metadata-analysis-2"/>
      <w:r>
        <w:rPr/>
        <w:t>Metadata analysis</w:t>
      </w:r>
    </w:p>
    <w:p>
      <w:pPr>
        <w:pStyle w:val="FirstParagraph"/>
        <w:jc w:val="both"/>
        <w:rPr/>
      </w:pPr>
      <w:r>
        <w:rPr/>
        <w:t>The units used were highly dependent on scanner manufacturer (see Table 2):</w:t>
      </w:r>
    </w:p>
    <w:p>
      <w:pPr>
        <w:pStyle w:val="TableCaption"/>
        <w:jc w:val="both"/>
        <w:rPr/>
      </w:pPr>
      <w:r>
        <w:rPr/>
        <w:t>Table 2: Frequency of unique Units (0054,1001) value by manufacturer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19"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BQML</w:t>
            </w:r>
          </w:p>
        </w:tc>
        <w:tc>
          <w:tcPr>
            <w:tcW w:w="1321"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CNTS</w:t>
            </w:r>
          </w:p>
        </w:tc>
        <w:tc>
          <w:tcPr>
            <w:tcW w:w="132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CPS</w:t>
            </w:r>
          </w:p>
        </w:tc>
        <w:tc>
          <w:tcPr>
            <w:tcW w:w="1319"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GML</w:t>
            </w:r>
          </w:p>
        </w:tc>
        <w:tc>
          <w:tcPr>
            <w:tcW w:w="132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PROPCNTS</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Total</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2768</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1670</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763</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CTI/CPS</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189</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Unknown</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321"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six series (3.9%) only the SUV scale factor. The Activity Concentration Scale Factor never appeared without the SUV scale factor. 10 series (6.6%) stored none of the factors.</w:t>
      </w:r>
    </w:p>
    <w:p>
      <w:pPr>
        <w:pStyle w:val="BodyText"/>
        <w:jc w:val="both"/>
        <w:rPr/>
      </w:pPr>
      <w:r>
        <w:rPr/>
        <w:t>The Philips conformance statements don’t specify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rPr/>
        <w:t>, as using the Activity Concentration Scale Factor and Patient’s Weight lead to practically the same SUV as using the SUV scale factor (mean relative paired difference of 0.05%).</w:t>
      </w:r>
      <w:bookmarkEnd w:id="38"/>
    </w:p>
    <w:p>
      <w:pPr>
        <w:pStyle w:val="Heading4"/>
        <w:jc w:val="both"/>
        <w:rPr/>
      </w:pPr>
      <w:bookmarkStart w:id="39" w:name="digital-reference-object-1"/>
      <w:r>
        <w:rPr/>
        <w:t>Digital reference object</w:t>
      </w:r>
    </w:p>
    <w:p>
      <w:pPr>
        <w:pStyle w:val="FirstParagraph"/>
        <w:jc w:val="both"/>
        <w:rPr/>
      </w:pPr>
      <w:r>
        <w:rPr/>
        <w:t>We synthesized multiple DROs verifying a standardized computation of SUV</w:t>
      </w:r>
      <w:r>
        <w:rPr>
          <w:vertAlign w:val="subscript"/>
        </w:rPr>
        <w:t>bw</w:t>
      </w:r>
      <w:r>
        <w:rPr/>
        <w:t>:</w:t>
      </w:r>
    </w:p>
    <w:p>
      <w:pPr>
        <w:pStyle w:val="Compact"/>
        <w:numPr>
          <w:ilvl w:val="0"/>
          <w:numId w:val="77"/>
        </w:numPr>
        <w:jc w:val="both"/>
        <w:rPr/>
      </w:pPr>
      <w:r>
        <w:rPr/>
        <w:t>DRO_2_0 where Units are “GML” (corresponding to SUV</w:t>
      </w:r>
      <w:r>
        <w:rPr>
          <w:vertAlign w:val="subscript"/>
        </w:rPr>
        <w:t>bw</w:t>
      </w:r>
      <w:r>
        <w:rPr/>
        <w:t>). Typical issues contain:</w:t>
      </w:r>
    </w:p>
    <w:p>
      <w:pPr>
        <w:pStyle w:val="Compact"/>
        <w:numPr>
          <w:ilvl w:val="1"/>
          <w:numId w:val="78"/>
        </w:numPr>
        <w:jc w:val="both"/>
        <w:rPr/>
      </w:pPr>
      <w:r>
        <w:rPr/>
        <w:t>unit GML is not implemented;</w:t>
      </w:r>
    </w:p>
    <w:p>
      <w:pPr>
        <w:pStyle w:val="Compact"/>
        <w:numPr>
          <w:ilvl w:val="1"/>
          <w:numId w:val="79"/>
        </w:numPr>
        <w:jc w:val="both"/>
        <w:rPr/>
      </w:pPr>
      <w:r>
        <w:rPr/>
        <w:t>SUV Type is required (while should be considered “BW” by default)</w:t>
      </w:r>
    </w:p>
    <w:p>
      <w:pPr>
        <w:pStyle w:val="Compact"/>
        <w:numPr>
          <w:ilvl w:val="1"/>
          <w:numId w:val="80"/>
        </w:numPr>
        <w:jc w:val="both"/>
        <w:rPr/>
      </w:pPr>
      <w:r>
        <w:rPr/>
        <w:t>Rescale Slope is not applied;</w:t>
      </w:r>
    </w:p>
    <w:p>
      <w:pPr>
        <w:pStyle w:val="Compact"/>
        <w:numPr>
          <w:ilvl w:val="1"/>
          <w:numId w:val="81"/>
        </w:numPr>
        <w:jc w:val="both"/>
        <w:rPr/>
      </w:pPr>
      <w:r>
        <w:rPr/>
        <w:t>other corrections are applied.</w:t>
      </w:r>
    </w:p>
    <w:p>
      <w:pPr>
        <w:pStyle w:val="Compact"/>
        <w:numPr>
          <w:ilvl w:val="0"/>
          <w:numId w:val="82"/>
        </w:numPr>
        <w:jc w:val="both"/>
        <w:rPr/>
      </w:pPr>
      <w:r>
        <w:rPr/>
        <w:t>DRO_2_1_x where Units are “GML” (corresponding to SUV LBMJAMES128), coming in three variations: DRO_2_1_0 (Patient’s Sex = “M”), DRO_2_1_1 (Patient’s Sex = “F”), DRO_2_1_2 (Patient’s Sex = “O”). Typical issues contain:</w:t>
      </w:r>
    </w:p>
    <w:p>
      <w:pPr>
        <w:pStyle w:val="Compact"/>
        <w:numPr>
          <w:ilvl w:val="1"/>
          <w:numId w:val="83"/>
        </w:numPr>
        <w:jc w:val="both"/>
        <w:rPr/>
      </w:pPr>
      <w:r>
        <w:rPr/>
        <w:t>SUVlbm is not implemented;</w:t>
      </w:r>
    </w:p>
    <w:p>
      <w:pPr>
        <w:pStyle w:val="Compact"/>
        <w:numPr>
          <w:ilvl w:val="1"/>
          <w:numId w:val="84"/>
        </w:numPr>
        <w:jc w:val="both"/>
        <w:rPr/>
      </w:pPr>
      <w:r>
        <w:rPr/>
        <w:t>incorrect formula for LBM is used (instead of LBMJAMES128 DICOM standard);</w:t>
      </w:r>
    </w:p>
    <w:p>
      <w:pPr>
        <w:pStyle w:val="Compact"/>
        <w:numPr>
          <w:ilvl w:val="1"/>
          <w:numId w:val="85"/>
        </w:numPr>
        <w:jc w:val="both"/>
        <w:rPr/>
      </w:pPr>
      <w:r>
        <w:rPr/>
        <w:t>inconsistent units;</w:t>
      </w:r>
    </w:p>
    <w:p>
      <w:pPr>
        <w:pStyle w:val="Compact"/>
        <w:numPr>
          <w:ilvl w:val="1"/>
          <w:numId w:val="86"/>
        </w:numPr>
        <w:jc w:val="both"/>
        <w:rPr/>
      </w:pPr>
      <w:r>
        <w:rPr/>
        <w:t>patient’s weight, height or sex are not extracted correctly;</w:t>
      </w:r>
    </w:p>
    <w:p>
      <w:pPr>
        <w:pStyle w:val="Compact"/>
        <w:numPr>
          <w:ilvl w:val="1"/>
          <w:numId w:val="87"/>
        </w:numPr>
        <w:jc w:val="both"/>
        <w:rPr/>
      </w:pPr>
      <w:r>
        <w:rPr/>
        <w:t>SUV type is not extracted correctly</w:t>
      </w:r>
    </w:p>
    <w:p>
      <w:pPr>
        <w:pStyle w:val="Compact"/>
        <w:numPr>
          <w:ilvl w:val="1"/>
          <w:numId w:val="88"/>
        </w:numPr>
        <w:jc w:val="both"/>
        <w:rPr/>
      </w:pPr>
      <w:r>
        <w:rPr/>
        <w:t>strategy for Patient’s Sex = “O” is not implemented.</w:t>
      </w:r>
    </w:p>
    <w:p>
      <w:pPr>
        <w:pStyle w:val="Compact"/>
        <w:numPr>
          <w:ilvl w:val="0"/>
          <w:numId w:val="89"/>
        </w:numPr>
        <w:jc w:val="both"/>
        <w:rPr/>
      </w:pPr>
      <w:r>
        <w:rPr/>
        <w:t>DRO_2_2_x where Units are “GML” (corresponding to SUV IBW), coming in three variations: DRO_2_2_0 (Patient’s Sex = “M”), DRO_2_2_1 (Patient’s Sex = “F”), DRO_2_2_2 (Patient’s Sex = “O”). Typical issues contain:</w:t>
      </w:r>
    </w:p>
    <w:p>
      <w:pPr>
        <w:pStyle w:val="Compact"/>
        <w:numPr>
          <w:ilvl w:val="1"/>
          <w:numId w:val="90"/>
        </w:numPr>
        <w:jc w:val="both"/>
        <w:rPr/>
      </w:pPr>
      <w:r>
        <w:rPr/>
        <w:t>SUVibw is not implemented.</w:t>
      </w:r>
    </w:p>
    <w:p>
      <w:pPr>
        <w:pStyle w:val="Compact"/>
        <w:numPr>
          <w:ilvl w:val="0"/>
          <w:numId w:val="91"/>
        </w:numPr>
        <w:jc w:val="both"/>
        <w:rPr/>
      </w:pPr>
      <w:r>
        <w:rPr/>
        <w:t>DRO_2_3 where Units are “CM2ML” (corresponding to SUVbsa). Typical issues contain:</w:t>
      </w:r>
    </w:p>
    <w:p>
      <w:pPr>
        <w:pStyle w:val="Compact"/>
        <w:numPr>
          <w:ilvl w:val="1"/>
          <w:numId w:val="92"/>
        </w:numPr>
        <w:jc w:val="both"/>
        <w:rPr/>
      </w:pPr>
      <w:r>
        <w:rPr/>
        <w:t>SUVbsa is not implemented;</w:t>
      </w:r>
    </w:p>
    <w:p>
      <w:pPr>
        <w:pStyle w:val="Compact"/>
        <w:numPr>
          <w:ilvl w:val="1"/>
          <w:numId w:val="93"/>
        </w:numPr>
        <w:jc w:val="both"/>
        <w:rPr/>
      </w:pPr>
      <w:r>
        <w:rPr/>
        <w:t>incorrect formula for BSA is used;</w:t>
      </w:r>
    </w:p>
    <w:p>
      <w:pPr>
        <w:pStyle w:val="Compact"/>
        <w:numPr>
          <w:ilvl w:val="1"/>
          <w:numId w:val="94"/>
        </w:numPr>
        <w:jc w:val="both"/>
        <w:rPr/>
      </w:pPr>
      <w:r>
        <w:rPr/>
        <w:t>inconsistent units.</w:t>
      </w:r>
    </w:p>
    <w:p>
      <w:pPr>
        <w:pStyle w:val="Compact"/>
        <w:numPr>
          <w:ilvl w:val="0"/>
          <w:numId w:val="95"/>
        </w:numPr>
        <w:jc w:val="both"/>
        <w:rPr/>
      </w:pPr>
      <w:r>
        <w:rPr/>
        <w:t>DRO_2_4 where Units are “CNTS”, with the Philips SUV scale factor present. Typical issues contain:</w:t>
      </w:r>
    </w:p>
    <w:p>
      <w:pPr>
        <w:pStyle w:val="Compact"/>
        <w:numPr>
          <w:ilvl w:val="1"/>
          <w:numId w:val="96"/>
        </w:numPr>
        <w:jc w:val="both"/>
        <w:rPr/>
      </w:pPr>
      <w:r>
        <w:rPr/>
        <w:t>unit CNTS is not implemented;</w:t>
        <w:br/>
      </w:r>
    </w:p>
    <w:p>
      <w:pPr>
        <w:pStyle w:val="Compact"/>
        <w:numPr>
          <w:ilvl w:val="1"/>
          <w:numId w:val="97"/>
        </w:numPr>
        <w:jc w:val="both"/>
        <w:rPr/>
      </w:pPr>
      <w:r>
        <w:rPr/>
        <w:t>SUV scale factor is not extracted or applied correctly.</w:t>
      </w:r>
    </w:p>
    <w:p>
      <w:pPr>
        <w:pStyle w:val="Compact"/>
        <w:numPr>
          <w:ilvl w:val="0"/>
          <w:numId w:val="98"/>
        </w:numPr>
        <w:jc w:val="both"/>
        <w:rPr/>
      </w:pPr>
      <w:r>
        <w:rPr/>
        <w:t>DRO_2_5 where Units are “CNTS”, with the Philips activity scale factor present. Typical issues contain:</w:t>
      </w:r>
    </w:p>
    <w:p>
      <w:pPr>
        <w:pStyle w:val="Compact"/>
        <w:numPr>
          <w:ilvl w:val="1"/>
          <w:numId w:val="99"/>
        </w:numPr>
        <w:jc w:val="both"/>
        <w:rPr/>
      </w:pPr>
      <w:r>
        <w:rPr/>
        <w:t>activity scale factor is not extracted or applied correctly.</w:t>
      </w:r>
    </w:p>
    <w:p>
      <w:pPr>
        <w:pStyle w:val="Compact"/>
        <w:numPr>
          <w:ilvl w:val="0"/>
          <w:numId w:val="100"/>
        </w:numPr>
        <w:jc w:val="both"/>
        <w:rPr/>
      </w:pPr>
      <w:r>
        <w:rPr/>
        <w:t>DRO_2_6_x where Units are GML (corresponding to SUV LBMJANMA), coming in three variations: DRO_2_6_0 (PatientSex = “M”), DRO_2_6_1 (PatientSex = “F”), DRO_2_6_2 (PatientSex = “O”). Typical issues contain:</w:t>
      </w:r>
    </w:p>
    <w:p>
      <w:pPr>
        <w:pStyle w:val="Compact"/>
        <w:numPr>
          <w:ilvl w:val="1"/>
          <w:numId w:val="101"/>
        </w:numPr>
        <w:jc w:val="both"/>
        <w:rPr/>
      </w:pPr>
      <w:r>
        <w:rPr/>
        <w:t>SUVlbmjanma is not implemented.</w:t>
      </w:r>
    </w:p>
    <w:p>
      <w:pPr>
        <w:pStyle w:val="FirstParagraph"/>
        <w:jc w:val="both"/>
        <w:rPr/>
      </w:pPr>
      <w:r>
        <w:rPr/>
        <w:t>Note: The strategy with SUV Type = “LBM” is considered obsolete and currently not covered by the digital reference objects.</w:t>
      </w:r>
    </w:p>
    <w:p>
      <w:pPr>
        <w:pStyle w:val="BodyText"/>
        <w:jc w:val="both"/>
        <w:rPr/>
      </w:pPr>
      <w:r>
        <w:rPr/>
        <w:t>The following DROs should yield an error in SUV</w:t>
      </w:r>
      <w:r>
        <w:rPr>
          <w:vertAlign w:val="subscript"/>
        </w:rPr>
        <w:t>bw</w:t>
      </w:r>
      <w:r>
        <w:rPr/>
        <w:t xml:space="preserve"> computation:</w:t>
      </w:r>
    </w:p>
    <w:p>
      <w:pPr>
        <w:pStyle w:val="Compact"/>
        <w:numPr>
          <w:ilvl w:val="0"/>
          <w:numId w:val="102"/>
        </w:numPr>
        <w:jc w:val="both"/>
        <w:rPr/>
      </w:pPr>
      <w:r>
        <w:rPr/>
        <w:t>DRO_error_2_0 where Units are “BQML” and Patient’s Weight is absent</w:t>
      </w:r>
    </w:p>
    <w:p>
      <w:pPr>
        <w:pStyle w:val="Compact"/>
        <w:numPr>
          <w:ilvl w:val="0"/>
          <w:numId w:val="103"/>
        </w:numPr>
        <w:jc w:val="both"/>
        <w:rPr/>
      </w:pPr>
      <w:r>
        <w:rPr/>
        <w:t>DRO_error_2_1 where Units are “BQML” and Patient’s Weight is zero</w:t>
      </w:r>
    </w:p>
    <w:p>
      <w:pPr>
        <w:pStyle w:val="Compact"/>
        <w:numPr>
          <w:ilvl w:val="0"/>
          <w:numId w:val="104"/>
        </w:numPr>
        <w:jc w:val="both"/>
        <w:rPr/>
      </w:pPr>
      <w:r>
        <w:rPr/>
        <w:t>DRO_error_2_2 where Units are “GML” and Patient’s Sex is absent</w:t>
      </w:r>
    </w:p>
    <w:p>
      <w:pPr>
        <w:pStyle w:val="Compact"/>
        <w:numPr>
          <w:ilvl w:val="0"/>
          <w:numId w:val="105"/>
        </w:numPr>
        <w:jc w:val="both"/>
        <w:rPr/>
      </w:pPr>
      <w:r>
        <w:rPr/>
        <w:t>DRO_error_2_3 where Units are “GML” and Patient’s Sex has other value (“X”)</w:t>
      </w:r>
    </w:p>
    <w:p>
      <w:pPr>
        <w:pStyle w:val="Compact"/>
        <w:numPr>
          <w:ilvl w:val="0"/>
          <w:numId w:val="106"/>
        </w:numPr>
        <w:jc w:val="both"/>
        <w:rPr/>
      </w:pPr>
      <w:r>
        <w:rPr/>
        <w:t>DRO_error_2_4 where Units are “GML” and Patient’s Size is absent</w:t>
      </w:r>
    </w:p>
    <w:p>
      <w:pPr>
        <w:pStyle w:val="Compact"/>
        <w:numPr>
          <w:ilvl w:val="0"/>
          <w:numId w:val="107"/>
        </w:numPr>
        <w:jc w:val="both"/>
        <w:rPr/>
      </w:pPr>
      <w:r>
        <w:rPr/>
        <w:t>DRO_error_2_5 where Units are “GML” and Patient’s Size is zero</w:t>
      </w:r>
    </w:p>
    <w:p>
      <w:pPr>
        <w:pStyle w:val="Compact"/>
        <w:numPr>
          <w:ilvl w:val="0"/>
          <w:numId w:val="108"/>
        </w:numPr>
        <w:jc w:val="both"/>
        <w:rPr/>
      </w:pPr>
      <w:r>
        <w:rPr/>
        <w:t>DRO_error_2_6 where Units are “CNTS” and none of the Philips scale factors is present</w:t>
      </w:r>
    </w:p>
    <w:p>
      <w:pPr>
        <w:pStyle w:val="Compact"/>
        <w:numPr>
          <w:ilvl w:val="0"/>
          <w:numId w:val="109"/>
        </w:numPr>
        <w:jc w:val="both"/>
        <w:rPr/>
      </w:pPr>
      <w:bookmarkStart w:id="40" w:name="digital-reference-object-1"/>
      <w:r>
        <w:rPr/>
        <w:t>DRO_error_2_7 where Units are “PROPCNTS”</w:t>
      </w:r>
      <w:bookmarkEnd w:id="40"/>
    </w:p>
    <w:p>
      <w:pPr>
        <w:pStyle w:val="Heading4"/>
        <w:jc w:val="both"/>
        <w:rPr/>
      </w:pPr>
      <w:bookmarkStart w:id="41" w:name="recommendations-1"/>
      <w:bookmarkEnd w:id="41"/>
      <w:r>
        <w:rPr/>
        <w:t>Recommendations</w:t>
      </w:r>
    </w:p>
    <w:p>
      <w:pPr>
        <w:pStyle w:val="FirstParagraph"/>
        <w:jc w:val="both"/>
        <w:rPr/>
      </w:pPr>
      <w:r>
        <w:rPr>
          <w:b/>
          <w:bCs/>
          <w:i/>
          <w:iCs/>
        </w:rPr>
        <w:t>The Units (0054,1001) attribute must be present and have one of these values: “BQML”, “GML”, “CM2ML”, “CNTS”; otherwise, SUV</w:t>
      </w:r>
      <w:r>
        <w:rPr>
          <w:b/>
          <w:bCs/>
          <w:i/>
          <w:iCs/>
          <w:vertAlign w:val="subscript"/>
        </w:rPr>
        <w:t>bw</w:t>
      </w:r>
      <w:r>
        <w:rPr>
          <w:b/>
          <w:bCs/>
          <w:i/>
          <w:iCs/>
        </w:rPr>
        <w:t xml:space="preserve">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real-world values correspond to SUV</w:t>
      </w:r>
      <w:r>
        <w:rPr>
          <w:b/>
          <w:bCs/>
          <w:i/>
          <w:iCs/>
          <w:vertAlign w:val="subscript"/>
        </w:rPr>
        <w:t>bw</w:t>
      </w:r>
      <w:r>
        <w:rPr>
          <w:b/>
          <w:bCs/>
          <w:i/>
          <w:iCs/>
        </w:rPr>
        <w:t>.</w:t>
      </w:r>
    </w:p>
    <w:p>
      <w:pPr>
        <w:pStyle w:val="BodyText"/>
        <w:jc w:val="both"/>
        <w:rPr/>
      </w:pPr>
      <w:r>
        <w:rPr/>
        <w:t>Justification: In this case, the real-world values have the unit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real-world values can be directly converted to SUV</w:t>
      </w:r>
      <w:r>
        <w:rPr>
          <w:b/>
          <w:bCs/>
          <w:i/>
          <w:iCs/>
          <w:vertAlign w:val="subscript"/>
        </w:rPr>
        <w:t>bw</w:t>
      </w:r>
      <w:r>
        <w:rPr>
          <w:b/>
          <w:bCs/>
          <w:i/>
          <w:iCs/>
        </w:rPr>
        <w:t xml:space="preserve"> by multiplying by the Patient’s Weight (0010,1030) and dividing by the corresponding normalization factor.</w:t>
      </w:r>
    </w:p>
    <w:p>
      <w:pPr>
        <w:pStyle w:val="BodyText"/>
        <w:jc w:val="both"/>
        <w:rPr/>
      </w:pP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real-world values can be converted directly to SUV</w:t>
      </w:r>
      <w:r>
        <w:rPr>
          <w:b/>
          <w:bCs/>
          <w:i/>
          <w:iCs/>
          <w:vertAlign w:val="subscript"/>
        </w:rPr>
        <w:t>bw</w:t>
      </w:r>
      <w:r>
        <w:rPr>
          <w:b/>
          <w:bCs/>
          <w:i/>
          <w:iCs/>
        </w:rPr>
        <w:t xml:space="preserve"> by multiplying by the Patient’s Weight (0010,1030) and dividing by the corresponding normalization factor.</w:t>
      </w:r>
    </w:p>
    <w:p>
      <w:pPr>
        <w:pStyle w:val="BodyText"/>
        <w:jc w:val="both"/>
        <w:rPr/>
      </w:pPr>
      <w:r>
        <w:rPr/>
        <w:t>Justification: In this case, the real-world values correspond to another SUV type and have to be converted to SUV</w:t>
      </w:r>
      <w:r>
        <w:rPr>
          <w:vertAlign w:val="subscript"/>
        </w:rPr>
        <w:t>bw</w:t>
      </w:r>
      <w:r>
        <w:rPr/>
        <w:t xml:space="preserve"> by the aforementioned formulas.</w:t>
      </w:r>
    </w:p>
    <w:p>
      <w:pPr>
        <w:pStyle w:val="BodyText"/>
        <w:jc w:val="both"/>
        <w:rPr/>
      </w:pPr>
      <w:r>
        <w:rPr>
          <w:b/>
          <w:bCs/>
          <w:i/>
          <w:iCs/>
        </w:rPr>
        <w:t>When the Units (0054,1001) are set to “CNTS” and the Activity Concentration Scale Factor (7053,1009) is present and has a positive, non-zero value and the Manufacturer (0008,0070) attribute contains “PHILIPS”,</w:t>
      </w:r>
      <w:r>
        <w:rPr/>
        <w:t xml:space="preserve"> </w:t>
      </w:r>
      <w:r>
        <w:rPr>
          <w:b/>
          <w:bCs/>
          <w:i/>
          <w:iCs/>
        </w:rPr>
        <w:t>the real-world values can be converted to Bq/ml by multiplying by the Activity Concentration Scale Factor (7053,1009).</w:t>
      </w:r>
    </w:p>
    <w:p>
      <w:pPr>
        <w:pStyle w:val="BodyText"/>
        <w:jc w:val="both"/>
        <w:rPr/>
      </w:pPr>
      <w:r>
        <w:rPr>
          <w:b/>
          <w:bCs/>
          <w:i/>
          <w:iCs/>
        </w:rPr>
        <w:t>If it is absent, empty, negative, or zero and the SUV Scale Factor (7053,1000) is present and has a positive, non-zero value and the Manufacturer (0008,0070) attribute contains “PHILIPS” and the SUV Type (0054,1006) is “BW” or empty or absent,</w:t>
      </w:r>
      <w:r>
        <w:rPr/>
        <w:t xml:space="preserve"> </w:t>
      </w:r>
      <w:r>
        <w:rPr>
          <w:b/>
          <w:bCs/>
          <w:i/>
          <w:iCs/>
        </w:rPr>
        <w:t>the real-world values can be directly converted to SUV</w:t>
      </w:r>
      <w:r>
        <w:rPr>
          <w:b/>
          <w:bCs/>
          <w:i/>
          <w:iCs/>
          <w:vertAlign w:val="subscript"/>
        </w:rPr>
        <w:t>bw</w:t>
      </w:r>
      <w:r>
        <w:rPr>
          <w:b/>
          <w:bCs/>
          <w:i/>
          <w:iCs/>
        </w:rPr>
        <w:t xml:space="preserve"> by multiplying by the SUV Scale Factor (7053,1000).</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by the aforementioned methods, SUV</w:t>
      </w:r>
      <w:r>
        <w:rPr>
          <w:b/>
          <w:bCs/>
          <w:i/>
          <w:iCs/>
          <w:vertAlign w:val="subscript"/>
        </w:rPr>
        <w:t>bw</w:t>
      </w:r>
      <w:r>
        <w:rPr>
          <w:b/>
          <w:bCs/>
          <w:i/>
          <w:iCs/>
        </w:rPr>
        <w:t xml:space="preserve"> computation is not possible.</w:t>
      </w:r>
      <w:r>
        <w:rP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r>
      <w:bookmarkStart w:id="42" w:name="units"/>
      <w:bookmarkStart w:id="43" w:name="recommendations-1"/>
      <w:bookmarkStart w:id="44" w:name="units"/>
      <w:bookmarkStart w:id="45" w:name="recommendations-1"/>
      <w:bookmarkEnd w:id="44"/>
      <w:bookmarkEnd w:id="45"/>
    </w:p>
    <w:p>
      <w:pPr>
        <w:pStyle w:val="Heading2"/>
        <w:jc w:val="both"/>
        <w:rPr/>
      </w:pPr>
      <w:bookmarkStart w:id="46" w:name="patients-weight"/>
      <w:bookmarkEnd w:id="46"/>
      <w:r>
        <w:rPr/>
        <w:t>Patient’s weight</w:t>
      </w:r>
    </w:p>
    <w:p>
      <w:pPr>
        <w:pStyle w:val="Heading4"/>
        <w:jc w:val="both"/>
        <w:rPr/>
      </w:pPr>
      <w:bookmarkStart w:id="47" w:name="background-2"/>
      <w:r>
        <w:rPr/>
        <w:t>Background</w:t>
      </w:r>
    </w:p>
    <w:p>
      <w:pPr>
        <w:pStyle w:val="FirstParagraph"/>
        <w:jc w:val="both"/>
        <w:rPr/>
      </w:pPr>
      <w:r>
        <w:rPr/>
        <w:t>Patient’s Weight (0010,1030) is often manually entered, which can result in missing values or incorrect units. The correct DICOM unit is kilograms, values equal to or greater than 1000 indicate that the weight was entered in grams. For the SUV</w:t>
      </w:r>
      <w:r>
        <w:rPr>
          <w:vertAlign w:val="subscript"/>
        </w:rPr>
        <w:t>bw</w:t>
      </w:r>
      <w:r>
        <w:rPr/>
        <w:t xml:space="preserve"> formula, the value must be converted to grams. Furthermore, patient weight may occasionally be incorrectly stored in a different DICOM attribute, particularly Patient’s Size (0010,1020).</w:t>
      </w:r>
      <w:bookmarkEnd w:id="47"/>
    </w:p>
    <w:p>
      <w:pPr>
        <w:pStyle w:val="Heading4"/>
        <w:jc w:val="both"/>
        <w:rPr/>
      </w:pPr>
      <w:bookmarkStart w:id="48" w:name="metadata-analysis-3"/>
      <w:r>
        <w:rPr/>
        <w:t>Metadata analysis</w:t>
      </w:r>
    </w:p>
    <w:p>
      <w:pPr>
        <w:pStyle w:val="FirstParagraph"/>
        <w:jc w:val="both"/>
        <w:rPr/>
      </w:pPr>
      <w:bookmarkStart w:id="49" w:name="metadata-analysis-3"/>
      <w:r>
        <w:rPr/>
        <w:t>In our dataset, all Patient’s Weight values were lower than 1000. In 198 (6.4%) series, the value of Patient’s Weight was zero. In most of these cases (194/198, 98.0%), the Units were “BQML”. In 55 (1.8%) series, Patient’s Weight had no value and 44 out of these cases (83.6%) having the Units set to “BQML”. There was no case of a negative value of Patient’s Weight.</w:t>
      </w:r>
      <w:bookmarkEnd w:id="49"/>
    </w:p>
    <w:p>
      <w:pPr>
        <w:pStyle w:val="Heading4"/>
        <w:jc w:val="both"/>
        <w:rPr/>
      </w:pPr>
      <w:bookmarkStart w:id="50" w:name="digital-reference-object-2"/>
      <w:r>
        <w:rPr/>
        <w:t>Digital reference object</w:t>
      </w:r>
    </w:p>
    <w:p>
      <w:pPr>
        <w:pStyle w:val="FirstParagraph"/>
        <w:jc w:val="both"/>
        <w:rPr/>
      </w:pPr>
      <w:bookmarkStart w:id="51" w:name="digital-reference-object-2"/>
      <w:r>
        <w:rPr/>
        <w:t>There are currently no digital reference objects of Patient’s Weight.</w:t>
      </w:r>
      <w:bookmarkEnd w:id="51"/>
    </w:p>
    <w:p>
      <w:pPr>
        <w:pStyle w:val="Heading4"/>
        <w:jc w:val="both"/>
        <w:rPr/>
      </w:pPr>
      <w:bookmarkStart w:id="52" w:name="recommendations-2"/>
      <w:bookmarkEnd w:id="52"/>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w:t>
      </w:r>
      <w:r>
        <w:rPr>
          <w:b/>
          <w:bCs/>
          <w:i/>
          <w:iCs/>
          <w:vertAlign w:val="subscript"/>
        </w:rPr>
        <w:t>bw</w:t>
      </w:r>
      <w:r>
        <w:rPr>
          <w:b/>
          <w:bCs/>
          <w:i/>
          <w:iCs/>
        </w:rPr>
        <w:t xml:space="preserve"> computation is not possible.</w:t>
      </w:r>
    </w:p>
    <w:p>
      <w:pPr>
        <w:pStyle w:val="BodyText"/>
        <w:jc w:val="both"/>
        <w:rPr/>
      </w:pPr>
      <w:r>
        <w:rPr/>
        <w:t>Justification: Patient’s Weight is required for conversion to SUV</w:t>
      </w:r>
      <w:r>
        <w:rPr>
          <w:vertAlign w:val="subscript"/>
        </w:rPr>
        <w:t>bw</w:t>
      </w:r>
      <w:r>
        <w:rPr/>
        <w:t>.</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arbitrarily, as values equal to or greater than 1000 kg or below 1000 g are highly unlikely in clinical or phantom PET imaging. Note that the SUV</w:t>
      </w:r>
      <w:r>
        <w:rPr>
          <w:vertAlign w:val="subscript"/>
        </w:rPr>
        <w:t>bw</w:t>
      </w:r>
      <w:r>
        <w:rPr/>
        <w:t xml:space="preserve"> formula requires weight in grams while the aforementioned LBM/IBW/BSA formulas expect weight in kilograms.</w:t>
      </w:r>
    </w:p>
    <w:p>
      <w:pPr>
        <w:pStyle w:val="BodyText"/>
        <w:jc w:val="both"/>
        <w:rPr/>
      </w:pPr>
      <w:r>
        <w:rPr/>
      </w:r>
      <w:bookmarkStart w:id="53" w:name="patients-weight"/>
      <w:bookmarkStart w:id="54" w:name="recommendations-2"/>
      <w:bookmarkStart w:id="55" w:name="patients-weight"/>
      <w:bookmarkStart w:id="56" w:name="recommendations-2"/>
      <w:bookmarkEnd w:id="55"/>
      <w:bookmarkEnd w:id="56"/>
    </w:p>
    <w:p>
      <w:pPr>
        <w:pStyle w:val="Heading2"/>
        <w:jc w:val="both"/>
        <w:rPr/>
      </w:pPr>
      <w:bookmarkStart w:id="57" w:name="radiopharmaceutical-dose"/>
      <w:bookmarkEnd w:id="57"/>
      <w:r>
        <w:rPr/>
        <w:t>Radiopharmaceutical dose</w:t>
      </w:r>
    </w:p>
    <w:p>
      <w:pPr>
        <w:pStyle w:val="Heading4"/>
        <w:jc w:val="both"/>
        <w:rPr/>
      </w:pPr>
      <w:bookmarkStart w:id="58"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 Furthermore, the unit may not be standardized as different Information Object Definitions (IODs) allow either Bq or MBq. The equation expects the unit to be Bq.</w:t>
      </w:r>
    </w:p>
    <w:p>
      <w:pPr>
        <w:pStyle w:val="BodyText"/>
        <w:jc w:val="both"/>
        <w:rPr/>
      </w:pPr>
      <w:r>
        <w:rPr/>
        <w:t>For SUV</w:t>
      </w:r>
      <w:r>
        <w:rPr>
          <w:vertAlign w:val="subscript"/>
        </w:rPr>
        <w:t>bw</w:t>
      </w:r>
      <w:r>
        <w:rPr/>
        <w:t xml:space="preserve"> computation, the administered dose must correspond to the same time point as the real-world values. In this manual, we focus on one of the possible solutions, which is correcting the administered dose for radioactive decay of the radionuclide between the time of administration and the corresponding decay-correction reference datetime. To do that, it is essential to know whether the images (voxel values) were decay-corrected and, if so, to which time point. This information is provided by the Decay Correction (0054,1102) attribute, which can take one of three values (“ADMIN,” “START,” or “NONE”). As shown below, the subsequent correction steps depend on this attribute.</w:t>
      </w:r>
    </w:p>
    <w:p>
      <w:pPr>
        <w:pStyle w:val="BodyText"/>
        <w:jc w:val="both"/>
        <w:rPr/>
      </w:pPr>
      <w:r>
        <w:rPr/>
        <w:t>SUV</w:t>
      </w:r>
      <w:r>
        <w:rPr>
          <w:vertAlign w:val="subscript"/>
        </w:rPr>
        <w:t>bw</w:t>
      </w:r>
      <w:r>
        <w:rPr/>
        <w:t xml:space="preserve"> is independent of the time point to which the images were corrected. Therefore, the Decay Correction (0054,1102) is not relevant when Units are “GML” or “CM2ML” or when the image can be directly scaled to SUV</w:t>
      </w:r>
      <w:r>
        <w:rPr>
          <w:vertAlign w:val="subscript"/>
        </w:rPr>
        <w:t>bw</w:t>
      </w:r>
      <w:r>
        <w:rPr/>
        <w:t xml:space="preserve"> without considering the administered dose (Units are “CNTS” and SUV Scale Factor (7053,1000) is applied).</w:t>
      </w:r>
    </w:p>
    <w:p>
      <w:pPr>
        <w:pStyle w:val="Heading5"/>
        <w:jc w:val="both"/>
        <w:rPr/>
      </w:pPr>
      <w:bookmarkStart w:id="59" w:name="decay-correction-admin"/>
      <w:r>
        <w:rPr/>
        <w:t>Decay correction = ADMIN</w:t>
      </w:r>
    </w:p>
    <w:p>
      <w:pPr>
        <w:pStyle w:val="FirstParagraph"/>
        <w:jc w:val="both"/>
        <w:rPr/>
      </w:pPr>
      <w:r>
        <w:rPr/>
        <w:t>The value “ADMIN” indicates that the PET image data were decay-corrected to the time of radiotracer administration. In this case, the decay-correction reference datetime is the administration datetime, i.e, no additional correction of the administered dose is required, because it already represents the dose at the time point to which the voxel values were decay-corrected. The formula is scanner-independent and can be written as:</w:t>
      </w:r>
    </w:p>
    <w:p>
      <w:pPr>
        <w:pStyle w:val="BodyText"/>
        <w:jc w:val="both"/>
        <w:rPr/>
      </w:pPr>
      <w:bookmarkStart w:id="60" w:name="decay-correction-admin"/>
      <w:r>
        <w:rPr/>
      </w:r>
      <m:oMathPara xmlns:m="http://schemas.openxmlformats.org/officeDocument/2006/math">
        <m:oMathParaPr>
          <m:jc m:val="left"/>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60"/>
    </w:p>
    <w:p>
      <w:pPr>
        <w:pStyle w:val="Heading5"/>
        <w:jc w:val="both"/>
        <w:rPr/>
      </w:pPr>
      <w:bookmarkStart w:id="61" w:name="decay-correction-start"/>
      <w:r>
        <w:rPr/>
        <w:t>Decay correction = START</w:t>
      </w:r>
    </w:p>
    <w:p>
      <w:pPr>
        <w:pStyle w:val="FirstParagraph"/>
        <w:jc w:val="both"/>
        <w:rPr/>
      </w:pPr>
      <w:r>
        <w:rPr/>
        <w:t>In most cases, the decay correction attribute is set to “START”, implying the voxel values were decay corrected to a reference time representing the start of the PET image acquisition (scan start datetime). To allow dose and voxel values being corrected to the same time point, the administered dose can be decay-corrected to the the decay-correction reference datetime, which is the scan start datetime.</w:t>
      </w:r>
    </w:p>
    <w:p>
      <w:pPr>
        <w:pStyle w:val="BodyText"/>
        <w:jc w:val="both"/>
        <w:rPr/>
      </w:pPr>
      <w:r>
        <w:rPr/>
        <w:t>In that case, the dose can be corrected by the formula:</w:t>
      </w:r>
    </w:p>
    <w:p>
      <w:pPr>
        <w:pStyle w:val="BodyText"/>
        <w:jc w:val="both"/>
        <w:rPr/>
      </w:pPr>
      <w:r>
        <w:rPr/>
      </w:r>
      <m:oMathPara xmlns:m="http://schemas.openxmlformats.org/officeDocument/2006/math">
        <m:oMathParaPr>
          <m:jc m:val="left"/>
        </m:oMathParaPr>
        <m:o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m:oMathPara>
    </w:p>
    <w:p>
      <w:pPr>
        <w:pStyle w:val="FirstParagraph"/>
        <w:jc w:val="both"/>
        <w:rPr/>
      </w:pPr>
      <w:r>
        <w:rPr/>
        <w:t>Then, SUV</w:t>
      </w:r>
      <w:r>
        <w:rPr>
          <w:vertAlign w:val="subscript"/>
        </w:rPr>
        <w:t>bw</w:t>
      </w:r>
      <w:r>
        <w:rPr/>
        <w:t xml:space="preserve"> can be computed using the formula:</w:t>
      </w:r>
    </w:p>
    <w:p>
      <w:pPr>
        <w:pStyle w:val="BodyText"/>
        <w:jc w:val="both"/>
        <w:rPr/>
      </w:pPr>
      <w:r>
        <w:rPr/>
      </w:r>
      <m:oMathPara xmlns:m="http://schemas.openxmlformats.org/officeDocument/2006/math">
        <m:oMathParaPr>
          <m:jc m:val="left"/>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r</m:t>
            </m:r>
            <m:r>
              <w:rPr>
                <w:rFonts w:ascii="Cambria Math" w:hAnsi="Cambria Math"/>
              </w:rPr>
              <m:t xml:space="preserve">t</m:t>
            </m:r>
          </m:sub>
        </m:sSub>
      </m:oMath>
      <w:r>
        <w:rPr/>
        <w:t xml:space="preserve"> the scan start datetime,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w:t>
      </w:r>
    </w:p>
    <w:p>
      <w:pPr>
        <w:pStyle w:val="BodyText"/>
        <w:jc w:val="both"/>
        <w:rPr/>
      </w:pPr>
      <w:r>
        <w:rPr/>
      </w:r>
      <m:oMathPara xmlns:m="http://schemas.openxmlformats.org/officeDocument/2006/math">
        <m:oMathParaPr>
          <m:jc m:val="left"/>
        </m:oMathParaPr>
        <m:o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BodyText"/>
        <w:jc w:val="both"/>
        <w:rPr/>
      </w:pPr>
      <w:r>
        <w:rPr>
          <w:b/>
          <w:bCs/>
        </w:rPr>
        <w:t>Determining the scan start datetime:</w:t>
      </w:r>
    </w:p>
    <w:p>
      <w:pPr>
        <w:pStyle w:val="BodyText"/>
        <w:jc w:val="both"/>
        <w:rPr/>
      </w:pPr>
      <w:r>
        <w:rPr/>
        <w:t xml:space="preserve">Unfortunately, there is no single attribute reliably storing the scan start datetime across scanners of different vendors. Moreover, the method for determining scan start datetime is not obvious from conformance statements. A significant effort to determine a universal procedure was marked by The Quantitative Imaging Biomarkers Alliance (QIBA). In their </w:t>
      </w:r>
      <w:hyperlink r:id="rId54">
        <w:r>
          <w:rPr>
            <w:rStyle w:val="Hyperlink"/>
          </w:rPr>
          <w:t>vendor-neutral pseudo-code</w:t>
        </w:r>
      </w:hyperlink>
      <w:r>
        <w:rPr/>
        <w:t xml:space="preserve">, primarily utilizing Series Date/Time (0008,0021/0008,0031) is recommended. Since they acknowledge this attribute may be often modified during processing and shifted forward, they discourage from using it when it is later than the Acquisition Date/Time (0008,0022/0008,0032). However, as shown by </w:t>
      </w:r>
      <w:hyperlink r:id="rId55">
        <w:r>
          <w:rPr>
            <w:rStyle w:val="Hyperlink"/>
          </w:rPr>
          <w:t>Fritsak et al.</w:t>
        </w:r>
      </w:hyperlink>
      <w:r>
        <w:rPr/>
        <w:t xml:space="preserve"> and observed in our data, the Series Date/Time may be shifted by a smaller margin or in the opposite direction, which may be difficult to recognize. In these cases, the real-world values no longer correspond to the Series Date/Time and this leads to notable SUV</w:t>
      </w:r>
      <w:r>
        <w:rPr>
          <w:vertAlign w:val="subscript"/>
        </w:rPr>
        <w:t>bw</w:t>
      </w:r>
      <w:r>
        <w:rPr/>
        <w:t xml:space="preserve"> computation errors.</w:t>
      </w:r>
    </w:p>
    <w:p>
      <w:pPr>
        <w:pStyle w:val="BodyText"/>
        <w:jc w:val="both"/>
        <w:rPr/>
      </w:pPr>
      <w:r>
        <w:rPr/>
        <w:t xml:space="preserve">On the other hand, Siemens and GE store the scan start datetimes in their private tags, which often remains present in the DICOM metadata, and there seem to be no signs of the time component being modified during post-processing. GE state in conformance statements of some of their models (e.g., </w:t>
      </w:r>
      <w:hyperlink r:id="rId56">
        <w:r>
          <w:rPr>
            <w:rStyle w:val="Hyperlink"/>
          </w:rPr>
          <w:t>Discovery ST/ RX/ STE</w:t>
        </w:r>
      </w:hyperlink>
      <w:r>
        <w:rPr/>
        <w:t xml:space="preserve">) that, unlike some other models (e.g., Discovery 710/610 or Optima 560), the value of the private attribute PET scan_datetime (0009,100D) is used for setting the Series Date and Time. Furthermore, in the 2009 </w:t>
      </w:r>
      <w:hyperlink r:id="rId57">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 </w:t>
      </w:r>
      <w:hyperlink r:id="rId58">
        <w:r>
          <w:rPr>
            <w:rStyle w:val="Hyperlink"/>
          </w:rPr>
          <w:t>conformance statements</w:t>
        </w:r>
      </w:hyperlink>
      <w:r>
        <w:rPr/>
        <w:t>: This attribute is not used in the QIBA strategy.</w:t>
      </w:r>
    </w:p>
    <w:p>
      <w:pPr>
        <w:pStyle w:val="BodyText"/>
        <w:jc w:val="both"/>
        <w:rPr/>
      </w:pPr>
      <w:r>
        <w:rPr/>
        <w:t>Even though the private tags appear to be the most reliable source of the scan start datetime, there is no such attribute for Philips, and the private tags are often absent. For the remaining cases, where Series Date and Time cannot be trusted and the private tags are absent, QIBA recommends using the earliest Acquisition Date/Time (0008,0022/0008,0032). The Acquisition Date/Time, unlike the Series Date and Time, represents the start of image acquisition for the actual frame. The earliest Acquisition Date/Time within each series should be identical to the Series Date/Time. However, there are multiple reasons why this strategy may have limited generalizability: One such case, as already acknowledged by QIBA, are multi-injection protocols; other common pitfalls are cropped series or series where the first bed position was skipped. Such scenarios require frame-wise solutions. Therefore, we believe the Acquisition Date/Time can be used only in frames where it is equal to the Series Date/Time.</w:t>
      </w:r>
    </w:p>
    <w:p>
      <w:pPr>
        <w:pStyle w:val="BodyText"/>
        <w:jc w:val="both"/>
        <w:rPr/>
      </w:pPr>
      <w:r>
        <w:rPr/>
        <w:t xml:space="preserve">The last option mentioned by QIBA is a scan start datetime backcomputation. A single formula - using Acquisition Date/Time, frame reference time, and actual frame duration - was provided by the alliance. However, </w:t>
      </w:r>
      <w:hyperlink r:id="rId59">
        <w:r>
          <w:rPr>
            <w:rStyle w:val="Hyperlink"/>
          </w:rPr>
          <w:t>Fritsak et al.</w:t>
        </w:r>
      </w:hyperlink>
      <w:r>
        <w:rPr/>
        <w:t xml:space="preserve"> have described the differences in the scan start datetimes used by GE, Siemens and Philips. Siemens and Philips correct the images to a scan start datetime one frame reference time before the time the values occurred - i.e., follow the equation described in the pseudocode: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Date/Time (0008,0022/0008,0032), extracted from Acquisition Date (0008,0022) and Time (0008,0032),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60">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be computed as:</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m:oMathPara>
    </w:p>
    <w:p>
      <w:pPr>
        <w:pStyle w:val="FirstParagraph"/>
        <w:jc w:val="both"/>
        <w:rPr/>
      </w:pPr>
      <w:r>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w:t>
      </w:r>
    </w:p>
    <w:p>
      <w:pPr>
        <w:pStyle w:val="BodyText"/>
        <w:jc w:val="both"/>
        <w:rPr/>
      </w:pPr>
      <w:r>
        <w:rPr/>
        <w:t>In contrast, GE scanners correct the images to another time point, which is one frame reference time before the stored Acquisition Date/Time: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bookmarkStart w:id="62" w:name="decay-correction-start"/>
      <w:r>
        <w:rPr/>
        <w:t>As we lack PET scans from other manufacturers, no formula can be provided for these manufacturers.</w:t>
      </w:r>
      <w:bookmarkEnd w:id="62"/>
    </w:p>
    <w:p>
      <w:pPr>
        <w:pStyle w:val="Heading5"/>
        <w:jc w:val="both"/>
        <w:rPr/>
      </w:pPr>
      <w:bookmarkStart w:id="63" w:name="decay-correction-none"/>
      <w:r>
        <w:rPr/>
        <w:t>Decay correction = NONE</w:t>
      </w:r>
    </w:p>
    <w:p>
      <w:pPr>
        <w:pStyle w:val="FirstParagraph"/>
        <w:jc w:val="both"/>
        <w:rPr/>
      </w:pPr>
      <w:r>
        <w:rPr/>
        <w:t>Another scenario involves PET images that have not been decay-corrected, with Decay Correction set to “NONE”. In this case, the most straightforward solution would be decay-correcting the dose (i.e., setting the decay-correction reference datetime) to the measurement time (the time the values occurred) of the frame:</w:t>
      </w:r>
    </w:p>
    <w:p>
      <w:pPr>
        <w:pStyle w:val="BodyText"/>
        <w:jc w:val="both"/>
        <w:rPr/>
      </w:pPr>
      <w:r>
        <w:rPr/>
      </w:r>
      <m:oMathPara xmlns:m="http://schemas.openxmlformats.org/officeDocument/2006/math">
        <m:oMathParaPr>
          <m:jc m:val="left"/>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m:rPr>
                      <m:lit/>
                      <m:nor/>
                    </m:rPr>
                    <w:rPr>
                      <w:rFonts w:ascii="Cambria Math" w:hAnsi="Cambria Math"/>
                    </w:rPr>
                    <m:t xml:space="preserve">adm</m:t>
                  </m:r>
                </m:sub>
              </m:sSub>
              <m:sSup>
                <m:e>
                  <m:r>
                    <m:rPr>
                      <m:lit/>
                      <m:nor/>
                    </m:rP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m:rPr>
                              <m:lit/>
                              <m:nor/>
                            </m:rPr>
                            <w:rPr>
                              <w:rFonts w:ascii="Cambria Math" w:hAnsi="Cambria Math"/>
                            </w:rPr>
                            <m:t xml:space="preserve">acq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m:rPr>
                              <m:lit/>
                              <m:nor/>
                            </m:rPr>
                            <w:rPr>
                              <w:rFonts w:ascii="Cambria Math" w:hAnsi="Cambria Math"/>
                            </w:rPr>
                            <m:t xml:space="preserve">adm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manufacturers. Notably, as this setting may be connected with uncorrected images, it must be checked that other corrections have been applied properly to the image.</w:t>
      </w:r>
      <w:bookmarkEnd w:id="58"/>
      <w:bookmarkEnd w:id="63"/>
    </w:p>
    <w:p>
      <w:pPr>
        <w:pStyle w:val="Heading4"/>
        <w:jc w:val="both"/>
        <w:rPr/>
      </w:pPr>
      <w:bookmarkStart w:id="64" w:name="metadata-analysis-4"/>
      <w:r>
        <w:rPr/>
        <w:t>Metadata analysis</w:t>
      </w:r>
    </w:p>
    <w:p>
      <w:pPr>
        <w:pStyle w:val="FirstParagraph"/>
        <w:jc w:val="both"/>
        <w:rPr/>
      </w:pPr>
      <w:r>
        <w:rPr/>
        <w:t>There were 208 series (6.7%) with a missing value of the Radionuclide Total Dose (0018,1074) attribute. Two series (0.1%) had a negative value of this attribute. The remaining series had a positive value. In 2870 series with fluorine-18 as radionuclide, the Radionuclide Total Dose values ranged between 203.5 and 3.182</w:t>
      </w:r>
      <w:r>
        <w:rPr>
          <w:i/>
          <w:iCs/>
        </w:rPr>
        <w:t xml:space="preserve">10⁹. Two distinct peaks at approximately 4 × 10² and 4 × 10⁸ suggest that the administered dose was stored in MBq or Bq, respectively (see Fig. 2). There were 45 series (1.6%) with Radionuclide Total Dose lower than 10⁴. All were from the ACRIN-NSCLC-FDG-PET collection. There were 28 series with other radionuclides, the Radionuclide Total Dose ranged between 2 </w:t>
      </w:r>
      <w:r>
        <w:rPr/>
        <w:t xml:space="preserve"> 10⁷ and 1.4541 * 10⁹.</w:t>
      </w:r>
    </w:p>
    <w:p>
      <w:pPr>
        <w:pStyle w:val="CaptionedFigure"/>
        <w:jc w:val="both"/>
        <w:rPr/>
      </w:pPr>
      <w:r>
        <w:rPr/>
        <w:drawing>
          <wp:inline distT="0" distB="0" distL="0" distR="0">
            <wp:extent cx="2667000" cy="2667000"/>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1"/>
                    <a:stretch>
                      <a:fillRect/>
                    </a:stretch>
                  </pic:blipFill>
                  <pic:spPr bwMode="auto">
                    <a:xfrm>
                      <a:off x="0" y="0"/>
                      <a:ext cx="2667000" cy="2667000"/>
                    </a:xfrm>
                    <a:prstGeom prst="rect">
                      <a:avLst/>
                    </a:prstGeom>
                  </pic:spPr>
                </pic:pic>
              </a:graphicData>
            </a:graphic>
          </wp:inline>
        </w:drawing>
      </w:r>
    </w:p>
    <w:p>
      <w:pPr>
        <w:pStyle w:val="ImageCaption"/>
        <w:jc w:val="both"/>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More than half of series (N=2040, 59.4%) contained more than one Acquisition Time (0008,0032) values.</w:t>
      </w:r>
    </w:p>
    <w:p>
      <w:pPr>
        <w:pStyle w:val="BodyText"/>
        <w:jc w:val="both"/>
        <w:rPr/>
      </w:pPr>
      <w:r>
        <w:rPr/>
        <w:t>Out of 3337 series with Decay Correction = “START”, in 189 cases (5.7%), Series Time (0008, 0031) was later than Acquisition Time (0008,0032) in at least one frame. In 168 series (5.0%), the Series Time (0008, 0031) was before Radiopharmaceutical Administration Time.</w:t>
      </w:r>
    </w:p>
    <w:p>
      <w:pPr>
        <w:pStyle w:val="BodyText"/>
        <w:jc w:val="both"/>
        <w:rPr/>
      </w:pPr>
      <w:r>
        <w:rPr/>
        <w:t>The GE private scan start datetime was present in 508 series (25.2% of GE series) and 111,797 frames. The Acquisition Time (0008,0032) was identical to the Series Time (0008, 0031) in 44,022 frames (39.4%) and in all of these frames (100.0%), this time was also equal to the time component of the private scan start datetime (= private scan start time). Out of the remaining 67,775 frames, the GE formula led to time equal to the private scan start time in 62,945 cases (92.9%). The remaining 4,830 frames (4.3%) from 84 series, where neither the Acquisition Time (0008,0032) was equal to Series Date/Time (0008,0031) and the private scan start time nor the GE formula led to the private scan start time, represent the fraction of frames where the proposed strategy would fail if the private scan start datetime was removed. The median offset from the private scan start time was 422 s (IQR: 243-423 s). However, the majority (69.7%) belonged to the HN-HGJ cohort of the HEAD-NECK-PET-CT collection, where all series have the private scan start datetime provided. In contrast, the Series Time differed from the private scan start time in 16,321 frames (14.6%) with both attributes present with a median offset of 7150 s (IQR: 2581-10747 s).</w:t>
      </w:r>
    </w:p>
    <w:p>
      <w:pPr>
        <w:pStyle w:val="BodyText"/>
        <w:jc w:val="both"/>
        <w:rPr/>
      </w:pPr>
      <w:r>
        <w:rPr/>
        <w:t>The Siemens private scan start datetime was present in 168 series (25.0% of Siemens series) and 54,090 frames. The time component (= Siemens private scan start time) was always (100.0%) identical to the Series Time. Acquisition Time was equal to the Series Time in 3,054 of these frames (5.6%). In all these frames (100.0%), this time was also equal to the private scan start time. Out of the remaining 51,036 frames, the Siemens formula led to time equal to the private scan start time in all cases (100.0%).</w:t>
      </w:r>
    </w:p>
    <w:p>
      <w:pPr>
        <w:pStyle w:val="BodyText"/>
        <w:jc w:val="both"/>
        <w:rPr/>
      </w:pPr>
      <w:r>
        <w:rPr/>
        <w:t>There were 2,288 series (385,445 frames) from Siemens, GE, or Philips without any of these two private scan start datetime attributes. Out of these, the proposed strategy led to more than one scan start datetime per series in only two series (0.1%). Furthermore, the resulting scan start datetime was never after the Acquisition Time (0.0%). In contrast, Series Time was after Acquisition Time in 10,594 frames (2.7%) from 92 series.</w:t>
      </w:r>
    </w:p>
    <w:p>
      <w:pPr>
        <w:pStyle w:val="BodyText"/>
        <w:jc w:val="both"/>
        <w:rPr/>
      </w:pPr>
      <w:r>
        <w:rPr/>
        <w:t>There were 375 series where the Manufacturer (0008,0070) attribute did not contain any of the names of the three previously mentioned scanner manufacturers. In 279 (74.4%) of these series, the strategy led to one scan start datetime which was before Acquisition Date/Time in all series. These included all series with values “Codonics” (N=2), “CTI / MIMvista” (N=1), or “PixelMed” (N=33) in the Manufacturer (0008,0070) attribute. The Siemens/Philips formula was used in case the Acquisition Date/Time was not equal to the Series Date/Time. In series with Manufacturer = “CPS”, the strategy led to multiple scan start datetimes in 96/192 (50.0%) cases.</w:t>
      </w:r>
    </w:p>
    <w:p>
      <w:pPr>
        <w:pStyle w:val="BodyText"/>
        <w:jc w:val="both"/>
        <w:rPr/>
      </w:pPr>
      <w:r>
        <w:rPr/>
        <w:t>The DecayFactor (0054,1321) attribute value corresponded to correction by the Frame Reference Time for all Siemens series (100.0%). For GE, it corresponded to the sum of Frame Reference Time and T</w:t>
      </w:r>
      <w:r>
        <w:rPr>
          <w:vertAlign w:val="subscript"/>
        </w:rPr>
        <w:t>ave</w:t>
      </w:r>
      <w:r>
        <w:rPr/>
        <w:t xml:space="preserve"> in 97.5% of frames. That shows that for both manufacturers, the measured values (values before decay correction) appeared at the time Acquisition Date/Time + T</w:t>
      </w:r>
      <w:r>
        <w:rPr>
          <w:vertAlign w:val="subscript"/>
        </w:rPr>
        <w:t>ave</w:t>
      </w:r>
      <w:r>
        <w:rPr/>
        <w:t>. For Philips, the Decay Factor was always set to 1.0 and cannot be used. For CPS, the Decay Factor corresponded to the sum of Frame Reference Time and T</w:t>
      </w:r>
      <w:r>
        <w:rPr>
          <w:vertAlign w:val="subscript"/>
        </w:rPr>
        <w:t>ave</w:t>
      </w:r>
      <w:r>
        <w:rPr/>
        <w:t xml:space="preserve"> in 93.6% of frames and to the Frame Reference Time in 6.4% of frames.</w:t>
      </w:r>
    </w:p>
    <w:p>
      <w:pPr>
        <w:pStyle w:val="BodyText"/>
        <w:jc w:val="both"/>
        <w:rPr/>
      </w:pPr>
      <w:bookmarkStart w:id="65" w:name="metadata-analysis-4"/>
      <w:r>
        <w:rPr/>
        <w:t>Out of the series with Decay Correction = “START”, at least one frame lacked the value of Actual Frame Duration (0018,1242) in 34 series (1.0%). 26 of them had the Units set to “BQML” but in 23 of these series, the Manufacturer was GE, i.e., Actual Frame Duration would not be required for backcomputation of the scan start time. Out of the 97 series with Decay Correction = “NONE”, four (4.1%) lacked the value of Actual Frame Duration in at least one frame, but none of these had the Units set to “BQML”. The attribute Frame Reference Time was present in all studied series and never lower than zero. As long as it was present, the Actual Frame Duration was always higher than zero.</w:t>
      </w:r>
      <w:bookmarkEnd w:id="65"/>
    </w:p>
    <w:p>
      <w:pPr>
        <w:pStyle w:val="Heading4"/>
        <w:jc w:val="both"/>
        <w:rPr/>
      </w:pPr>
      <w:bookmarkStart w:id="66" w:name="digital-reference-object-3"/>
      <w:r>
        <w:rPr/>
        <w:t>Digital reference object</w:t>
      </w:r>
    </w:p>
    <w:p>
      <w:pPr>
        <w:pStyle w:val="FirstParagraph"/>
        <w:jc w:val="both"/>
        <w:rPr/>
      </w:pPr>
      <w:r>
        <w:rPr/>
        <w:t>Following DROs for decay correction alternatives were created:</w:t>
      </w:r>
    </w:p>
    <w:p>
      <w:pPr>
        <w:pStyle w:val="Compact"/>
        <w:numPr>
          <w:ilvl w:val="0"/>
          <w:numId w:val="110"/>
        </w:numPr>
        <w:jc w:val="both"/>
        <w:rPr/>
      </w:pPr>
      <w:r>
        <w:rPr/>
        <w:t>DRO_3_0 where dose is stored in MBq. Typical issues contain:</w:t>
      </w:r>
    </w:p>
    <w:p>
      <w:pPr>
        <w:pStyle w:val="Compact"/>
        <w:numPr>
          <w:ilvl w:val="1"/>
          <w:numId w:val="111"/>
        </w:numPr>
        <w:jc w:val="both"/>
        <w:rPr/>
      </w:pPr>
      <w:r>
        <w:rPr/>
        <w:t>the dose is considered to be in Bq.</w:t>
      </w:r>
    </w:p>
    <w:p>
      <w:pPr>
        <w:pStyle w:val="Compact"/>
        <w:numPr>
          <w:ilvl w:val="0"/>
          <w:numId w:val="112"/>
        </w:numPr>
        <w:jc w:val="both"/>
        <w:rPr/>
      </w:pPr>
      <w:r>
        <w:rPr/>
        <w:t>DRO_3_1 where Decay Correction is set to “ADMIN”. Typical issues contain:</w:t>
      </w:r>
    </w:p>
    <w:p>
      <w:pPr>
        <w:pStyle w:val="Compact"/>
        <w:numPr>
          <w:ilvl w:val="1"/>
          <w:numId w:val="113"/>
        </w:numPr>
        <w:jc w:val="both"/>
        <w:rPr/>
      </w:pPr>
      <w:r>
        <w:rPr/>
        <w:t>Decay Correction = “ADMIN” is not implemented.</w:t>
      </w:r>
    </w:p>
    <w:p>
      <w:pPr>
        <w:pStyle w:val="Compact"/>
        <w:numPr>
          <w:ilvl w:val="0"/>
          <w:numId w:val="114"/>
        </w:numPr>
        <w:jc w:val="both"/>
        <w:rPr/>
      </w:pPr>
      <w:r>
        <w:rPr/>
        <w:t>DRO_3_2_x where Decay Correction is set to “START”, private decay-correction datetime attributes are absent and Series Date/Time is not equal to Acquisition Date/Time. Coming in four variations for manufacturers: DRO_3_2_0 (Siemens), DRO_3_2_1 (GE), DRO_3_2_2 (Philips), DRO_3_2_3 (Synthetic). Typical issues contain:</w:t>
      </w:r>
    </w:p>
    <w:p>
      <w:pPr>
        <w:pStyle w:val="Compact"/>
        <w:numPr>
          <w:ilvl w:val="1"/>
          <w:numId w:val="115"/>
        </w:numPr>
        <w:jc w:val="both"/>
        <w:rPr/>
      </w:pPr>
      <w:r>
        <w:rPr/>
        <w:t>dose is corrected to the Series Date/Time or to the Acquisition Date/Time;</w:t>
      </w:r>
    </w:p>
    <w:p>
      <w:pPr>
        <w:pStyle w:val="Compact"/>
        <w:numPr>
          <w:ilvl w:val="1"/>
          <w:numId w:val="116"/>
        </w:numPr>
        <w:jc w:val="both"/>
        <w:rPr/>
      </w:pPr>
      <w:r>
        <w:rPr/>
        <w:t>the vendor-specific scan start datetime formulas are not implemented.</w:t>
      </w:r>
    </w:p>
    <w:p>
      <w:pPr>
        <w:pStyle w:val="Compact"/>
        <w:numPr>
          <w:ilvl w:val="0"/>
          <w:numId w:val="117"/>
        </w:numPr>
        <w:jc w:val="both"/>
        <w:rPr/>
      </w:pPr>
      <w:r>
        <w:rPr/>
        <w:t>DRO_3_3_x where Decay Correction is set to “START”, private decay-correction datetime attributes are present, coming in two variations for two manufacturers: DRO_3_3_0 (Siemens), DRO_3_3_1 (GE). Typical issues contain:</w:t>
      </w:r>
    </w:p>
    <w:p>
      <w:pPr>
        <w:pStyle w:val="Compact"/>
        <w:numPr>
          <w:ilvl w:val="1"/>
          <w:numId w:val="118"/>
        </w:numPr>
        <w:jc w:val="both"/>
        <w:rPr/>
      </w:pPr>
      <w:r>
        <w:rPr/>
        <w:t>GE / Siemens private scan start datetime are not implemented.</w:t>
      </w:r>
    </w:p>
    <w:p>
      <w:pPr>
        <w:pStyle w:val="Compact"/>
        <w:numPr>
          <w:ilvl w:val="1"/>
          <w:numId w:val="119"/>
        </w:numPr>
        <w:jc w:val="both"/>
        <w:rPr/>
      </w:pPr>
      <w:r>
        <w:rPr/>
        <w:t>scan start datetime formulas are used instead of the private scan start datetime</w:t>
      </w:r>
    </w:p>
    <w:p>
      <w:pPr>
        <w:pStyle w:val="Compact"/>
        <w:numPr>
          <w:ilvl w:val="0"/>
          <w:numId w:val="120"/>
        </w:numPr>
        <w:jc w:val="both"/>
        <w:rPr/>
      </w:pPr>
      <w:r>
        <w:rPr/>
        <w:t>DRO_3_4_x where Decay Correction is set to “NONE” with multiple values of Acquisition Date/Time. Coming in four variations for manufacturers: DRO_3_4_0 (Siemens), DRO_3_4_1 (GE), DRO_3_4_2 (Philips), DRO3_4_3 (Synthetic). Typical issues contain:</w:t>
      </w:r>
    </w:p>
    <w:p>
      <w:pPr>
        <w:pStyle w:val="Compact"/>
        <w:numPr>
          <w:ilvl w:val="1"/>
          <w:numId w:val="121"/>
        </w:numPr>
        <w:jc w:val="both"/>
        <w:rPr/>
      </w:pPr>
      <w:r>
        <w:rPr/>
        <w:t>Decay Correction = “NONE” is not implemented;</w:t>
      </w:r>
    </w:p>
    <w:p>
      <w:pPr>
        <w:pStyle w:val="Compact"/>
        <w:numPr>
          <w:ilvl w:val="1"/>
          <w:numId w:val="122"/>
        </w:numPr>
        <w:jc w:val="both"/>
        <w:rPr/>
      </w:pPr>
      <w:r>
        <w:rPr/>
        <w:t>incorrect formula for voxel value decay correction or dose correction is used;</w:t>
      </w:r>
    </w:p>
    <w:p>
      <w:pPr>
        <w:pStyle w:val="Compact"/>
        <w:numPr>
          <w:ilvl w:val="1"/>
          <w:numId w:val="123"/>
        </w:numPr>
        <w:jc w:val="both"/>
        <w:rPr/>
      </w:pPr>
      <w:r>
        <w:rPr/>
        <w:t>the real-world values and the administered dose are not corrected to the same time point.</w:t>
      </w:r>
    </w:p>
    <w:p>
      <w:pPr>
        <w:pStyle w:val="Compact"/>
        <w:numPr>
          <w:ilvl w:val="0"/>
          <w:numId w:val="124"/>
        </w:numPr>
        <w:jc w:val="both"/>
        <w:rPr/>
      </w:pPr>
      <w:r>
        <w:rPr/>
        <w:t>DRO_3_5_x where Decay Correction is set to “START”, private decay-correction datetime attributes are absent and Series Date/Time is equal to Acquisition Date/Time. Coming in four variations for manufacturers: DRO_3_5_0 (Siemens), DRO_3_5_1 (GE), DRO_3_5_2 (Philips), DRO_3_5_3 (Synthetic). Typical issues contain:</w:t>
      </w:r>
    </w:p>
    <w:p>
      <w:pPr>
        <w:pStyle w:val="Compact"/>
        <w:numPr>
          <w:ilvl w:val="1"/>
          <w:numId w:val="125"/>
        </w:numPr>
        <w:jc w:val="both"/>
        <w:rPr/>
      </w:pPr>
      <w:r>
        <w:rPr/>
        <w:t>Acquisition Date/Time is not used when Acquisition Date/Time = Series Date/Time</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26"/>
        </w:numPr>
        <w:jc w:val="both"/>
        <w:rPr/>
      </w:pPr>
      <w:r>
        <w:rPr/>
        <w:t>DRO_error_3_0 where Decay Correction is set to “START” and Radionuclide Total Dose is absent</w:t>
      </w:r>
    </w:p>
    <w:p>
      <w:pPr>
        <w:pStyle w:val="Compact"/>
        <w:numPr>
          <w:ilvl w:val="0"/>
          <w:numId w:val="127"/>
        </w:numPr>
        <w:jc w:val="both"/>
        <w:rPr/>
      </w:pPr>
      <w:r>
        <w:rPr/>
        <w:t>DRO_error_3_1 where Decay Correction is set to “START” and Radionuclide Total Dose has a non-positive value</w:t>
      </w:r>
    </w:p>
    <w:p>
      <w:pPr>
        <w:pStyle w:val="Compact"/>
        <w:numPr>
          <w:ilvl w:val="0"/>
          <w:numId w:val="128"/>
        </w:numPr>
        <w:jc w:val="both"/>
        <w:rPr/>
      </w:pPr>
      <w:bookmarkStart w:id="67" w:name="digital-reference-object-3"/>
      <w:r>
        <w:rPr/>
        <w:t>DRO_error_3_2 where Decay Correction is set to “START” and Actual Frame Duration is absent (and the Manufacturer is not “GE”)</w:t>
      </w:r>
      <w:bookmarkEnd w:id="67"/>
    </w:p>
    <w:p>
      <w:pPr>
        <w:pStyle w:val="Heading4"/>
        <w:jc w:val="both"/>
        <w:rPr/>
      </w:pPr>
      <w:bookmarkStart w:id="68" w:name="recommendations-3"/>
      <w:bookmarkEnd w:id="68"/>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w:t>
      </w:r>
      <w:r>
        <w:rPr>
          <w:b/>
          <w:bCs/>
          <w:i/>
          <w:iCs/>
          <w:vertAlign w:val="subscript"/>
        </w:rPr>
        <w:t>bw</w:t>
      </w:r>
      <w:r>
        <w:rPr>
          <w:b/>
          <w:bCs/>
          <w:i/>
          <w:iCs/>
        </w:rPr>
        <w:t xml:space="preserve"> computation is not possible.</w:t>
      </w:r>
    </w:p>
    <w:p>
      <w:pPr>
        <w:pStyle w:val="BodyText"/>
        <w:jc w:val="both"/>
        <w:rPr/>
      </w:pPr>
      <w:r>
        <w:rPr/>
        <w:t>Justification: Radionuclide Total Dose is required for conversion of Bq/ml to SUV</w:t>
      </w:r>
      <w:r>
        <w:rPr>
          <w:vertAlign w:val="subscript"/>
        </w:rPr>
        <w:t>bw</w:t>
      </w:r>
      <w:r>
        <w:rPr/>
        <w:t>.</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must be present and have one of these values: “ADMIN”, “START”, “NONE”; otherwise, SUV</w:t>
      </w:r>
      <w:r>
        <w:rPr>
          <w:b/>
          <w:bCs/>
          <w:i/>
          <w:iCs/>
          <w:vertAlign w:val="subscript"/>
        </w:rPr>
        <w:t>bw</w:t>
      </w:r>
      <w:r>
        <w:rPr>
          <w:b/>
          <w:bCs/>
          <w:i/>
          <w:iCs/>
        </w:rPr>
        <w:t xml:space="preserve"> computation is not possible.</w:t>
      </w:r>
    </w:p>
    <w:p>
      <w:pPr>
        <w:pStyle w:val="BodyText"/>
        <w:jc w:val="both"/>
        <w:rPr/>
      </w:pPr>
      <w:r>
        <w:rPr/>
        <w:t>Justification: Decay Correction method applied to the images must be known for conversion to SUV</w:t>
      </w:r>
      <w:r>
        <w:rPr>
          <w:vertAlign w:val="subscript"/>
        </w:rPr>
        <w:t>bw</w:t>
      </w:r>
      <w:r>
        <w:rPr/>
        <w:t>.</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dose correction is not required and the SUV</w:t>
      </w:r>
      <w:r>
        <w:rPr>
          <w:b/>
          <w:bCs/>
          <w:i/>
          <w:iCs/>
          <w:vertAlign w:val="subscript"/>
        </w:rPr>
        <w:t>bw</w:t>
      </w:r>
      <w:r>
        <w:rPr>
          <w:b/>
          <w:bCs/>
          <w:i/>
          <w:iCs/>
        </w:rPr>
        <w:t xml:space="preserve"> conversion is independent of the Manufacturer (0008,0070) attribute value.</w:t>
      </w:r>
    </w:p>
    <w:p>
      <w:pPr>
        <w:pStyle w:val="BodyText"/>
        <w:jc w:val="both"/>
        <w:rPr/>
      </w:pPr>
      <w:r>
        <w:rPr/>
        <w:t>Justification: Frames with Decay Correction = “ADMIN” contain voxel values corrected to the time 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r>
        <w:rPr/>
        <w:t xml:space="preserve"> Frames with Decay Correction = “START” or “NONE” store values at a different time point and the dose can be corrected to this time point. Another option is decay-correcting the images to the radionuclide administration time or correcting both the dose and image to another time point. However, the selected method has no effect on SUV</w:t>
      </w:r>
      <w:r>
        <w:rPr>
          <w:vertAlign w:val="subscript"/>
        </w:rPr>
        <w:t>bw</w:t>
      </w:r>
      <w:r>
        <w:rPr/>
        <w:t xml:space="preserve"> and other methods are not explained in this manual.</w:t>
      </w:r>
    </w:p>
    <w:p>
      <w:pPr>
        <w:pStyle w:val="BodyText"/>
        <w:jc w:val="both"/>
        <w:rPr/>
      </w:pPr>
      <w:r>
        <w:rPr>
          <w:b/>
          <w:bCs/>
          <w:i/>
          <w:iCs/>
        </w:rPr>
        <w:t>In images where dose correction is required and Decay Correction (0054,1102) is set to “START” and the Manufacturer (0008,0070) attribute contains “SIEMENS”,</w:t>
      </w:r>
      <w:r>
        <w:rPr/>
        <w:t xml:space="preserve"> </w:t>
      </w:r>
      <w:r>
        <w:rPr>
          <w:b/>
          <w:bCs/>
          <w:i/>
          <w:iCs/>
        </w:rPr>
        <w:t>the dose should be corrected to the datetime stored in the private scan start datetime (0071,1022) if it is present.</w:t>
      </w:r>
    </w:p>
    <w:p>
      <w:pPr>
        <w:pStyle w:val="BodyText"/>
        <w:jc w:val="both"/>
        <w:rPr/>
      </w:pPr>
      <w:r>
        <w:rPr/>
        <w:t>Justification: The private scan start datetime is used by Siemens scanners for decay correction and. Based on our observations, it represents the most reliable source of the scan start datetime. In contrast, Series Date/Time and the earliest Acquisition Date/Time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w:t>
      </w:r>
      <w:r>
        <w:rPr/>
        <w:t xml:space="preserve"> </w:t>
      </w:r>
      <w:r>
        <w:rPr>
          <w:b/>
          <w:bCs/>
          <w:i/>
          <w:iCs/>
        </w:rPr>
        <w:t>the dose should be corrected to the datetime stored in the private scan start datetime (0009,100D) if it is present.</w:t>
      </w:r>
    </w:p>
    <w:p>
      <w:pPr>
        <w:pStyle w:val="BodyText"/>
        <w:jc w:val="both"/>
        <w:rPr/>
      </w:pPr>
      <w:r>
        <w:rPr/>
        <w:t>Justification: The private scan start datetime is used by GE scanners for decay correction. Based on our observations, it represents the most reliable source of the scan start datetime.</w:t>
      </w:r>
    </w:p>
    <w:p>
      <w:pPr>
        <w:pStyle w:val="BodyText"/>
        <w:jc w:val="both"/>
        <w:rPr/>
      </w:pPr>
      <w:r>
        <w:rPr>
          <w:b/>
          <w:bCs/>
          <w:i/>
          <w:iCs/>
        </w:rPr>
        <w:t>If dose correction is required and Decay Correction (0054,1102) is set to “START” and the previous two conditions are not met and the Acquisition Date (0008,0022) and Time (0008,0032) are present</w:t>
      </w:r>
      <w:r>
        <w:rPr/>
        <w:t xml:space="preserve"> </w:t>
      </w:r>
      <w:r>
        <w:rPr>
          <w:b/>
          <w:bCs/>
          <w:i/>
          <w:iCs/>
        </w:rPr>
        <w:t>and identical to the Series Date (0008,0021) and Time (0008,0032), the dose should be corrected to the the Acquisition Date (0008,0022) and Time (0008,0032).</w:t>
      </w:r>
    </w:p>
    <w:p>
      <w:pPr>
        <w:pStyle w:val="BodyText"/>
        <w:jc w:val="both"/>
        <w:rPr/>
      </w:pPr>
      <w:r>
        <w:rPr/>
        <w:t>Justification: This option is used mainly for single-bed series, first bed positions of multi-bed series, and also accounts for the common pitfall of a constant Acquisition Date/Time and variable Frame Reference Times within some multi-bed series (observed in some GE and Siemens series).</w:t>
      </w:r>
    </w:p>
    <w:p>
      <w:pPr>
        <w:pStyle w:val="BodyText"/>
        <w:jc w:val="both"/>
        <w:rPr/>
      </w:pPr>
      <w:r>
        <w:rPr>
          <w:b/>
          <w:bCs/>
          <w:i/>
          <w:iCs/>
        </w:rPr>
        <w:t>If dose correction is required and Decay Correction (0054,1102) is set to “START” and the previous three conditions are not met and the Manufacturer (0008,0070) attribute contains “GE”</w:t>
      </w:r>
      <w:r>
        <w:rPr/>
        <w:t xml:space="preserve"> </w:t>
      </w:r>
      <w:r>
        <w:rPr>
          <w:b/>
          <w:bCs/>
          <w:i/>
          <w:iCs/>
        </w:rPr>
        <w:t>and the Acquisition Date (0008,0022) and Time (0008,0032) are present and the Frame Reference Time (0054,1300) has a non-negative value,</w:t>
      </w:r>
      <w:r>
        <w:rPr/>
        <w:t xml:space="preserve"> </w:t>
      </w:r>
      <w:r>
        <w:rPr>
          <w:b/>
          <w:bCs/>
          <w:i/>
          <w:iCs/>
        </w:rPr>
        <w:t>the dose should be corrected to the time one Frame Reference Time (0054,1300) in seconds before the Acquisition Date (0008,0022) and Time (0008,0032).</w:t>
      </w:r>
    </w:p>
    <w:p>
      <w:pPr>
        <w:pStyle w:val="BodyText"/>
        <w:jc w:val="both"/>
        <w:rPr/>
      </w:pPr>
      <w:r>
        <w:rPr/>
        <w:t>Justification: This option is used mainly for multi-bed series and is based on conformance statements, experiments, vendor responses, as well as indirect evidence, such as the values of the Decay Factor (0054,1321; GE) and GE private scan start datetime (0009,100D; GE).</w:t>
      </w:r>
    </w:p>
    <w:p>
      <w:pPr>
        <w:pStyle w:val="BodyText"/>
        <w:jc w:val="both"/>
        <w:rPr/>
      </w:pPr>
      <w:r>
        <w:rPr>
          <w:b/>
          <w:bCs/>
          <w:i/>
          <w:iCs/>
        </w:rPr>
        <w:t>If dose correction is required and Decay Correction (0054,1102) is set to “START” and the previous four conditions are not met and the Acquisition Date (0008,0022) and Time (0008,0032) are present</w:t>
      </w:r>
      <w:r>
        <w:rPr/>
        <w:t xml:space="preserve"> </w:t>
      </w:r>
      <w:r>
        <w:rPr>
          <w:b/>
          <w:bCs/>
          <w:i/>
          <w:iCs/>
        </w:rPr>
        <w:t>and the Frame Reference Time (0054,1300) has a non-negative value and the Actual Frame Duration (0018,1242) has a positive, non-zero value,</w:t>
      </w:r>
      <w:r>
        <w:rPr/>
        <w:t xml:space="preserve"> </w:t>
      </w:r>
      <w:r>
        <w:rPr>
          <w:b/>
          <w:bCs/>
          <w:i/>
          <w:iCs/>
        </w:rPr>
        <w:t>the dose should be corrected to the time one Frame Reference Time (0054,1300) in seconds before the time the pixel values in the image occurred, i.e., Acquisition Date (0008,0022) and Time (0008,0032) + T</w:t>
      </w:r>
      <w:r>
        <w:rPr>
          <w:b/>
          <w:bCs/>
          <w:i/>
          <w:iCs/>
          <w:vertAlign w:val="subscript"/>
        </w:rPr>
        <w:t>ave</w:t>
      </w:r>
      <w:r>
        <w:rPr>
          <w:b/>
          <w:bCs/>
          <w:i/>
          <w:iCs/>
        </w:rPr>
        <w:t>.</w:t>
      </w:r>
    </w:p>
    <w:p>
      <w:pPr>
        <w:pStyle w:val="BodyText"/>
        <w:jc w:val="both"/>
        <w:rPr/>
      </w:pPr>
      <w:r>
        <w:rPr/>
        <w:t>Justification: This option is used mainly for multi-bed series. For Siemens and Philips, it is based on conformance statements (Siemens), experiments (Siemens, Philips), vendor responses (Siemens), as well as indirect evidence, such as the values of the Decay Factor (0054,1321; Siemens) and Siemens private scan start datetime (0071,1022; Siemens). Furthermore, we recommended it for other vendors’ series as a fall-back strategy since it is included in the QIBA strategy and implied by the DICOM standards.</w:t>
      </w:r>
    </w:p>
    <w:p>
      <w:pPr>
        <w:pStyle w:val="BodyText"/>
        <w:jc w:val="both"/>
        <w:rPr/>
      </w:pPr>
      <w:r>
        <w:rPr>
          <w:b/>
          <w:bCs/>
          <w:i/>
          <w:iCs/>
        </w:rPr>
        <w:t>If dose correction is required and Decay Correction (0054,1102) is set to “NONE” and the Manufacturer (0008,0070), the real-world values correspond to the time at which the average activity occurs, i.e., Acquisition Date (0008,0022) and Time (0008,0032) + T</w:t>
      </w:r>
      <w:r>
        <w:rPr>
          <w:b/>
          <w:bCs/>
          <w:i/>
          <w:iCs/>
          <w:vertAlign w:val="subscript"/>
        </w:rPr>
        <w:t>ave</w:t>
      </w:r>
      <w:r>
        <w:rPr>
          <w:b/>
          <w:bCs/>
          <w:i/>
          <w:iCs/>
        </w:rPr>
        <w:t>..</w:t>
      </w:r>
    </w:p>
    <w:p>
      <w:pPr>
        <w:pStyle w:val="BodyText"/>
        <w:jc w:val="both"/>
        <w:rPr/>
      </w:pPr>
      <w:r>
        <w:rPr/>
        <w:t>Justification: For Siemens, Philips, and GE, the real-world values of non-decay-corrected images should always correspond to values at the Acquisition Date/Time + T</w:t>
      </w:r>
      <w:r>
        <w:rPr>
          <w:vertAlign w:val="subscript"/>
        </w:rPr>
        <w:t>ave</w:t>
      </w:r>
      <w:r>
        <w:rPr/>
        <w:t xml:space="preserve"> (measurement time), so in one possible implementation, the dose can be corrected to this time point, which may differ between frames.</w:t>
      </w:r>
    </w:p>
    <w:p>
      <w:pPr>
        <w:pStyle w:val="BodyText"/>
        <w:jc w:val="both"/>
        <w:rPr/>
      </w:pPr>
      <w:r>
        <w:rPr>
          <w:b/>
          <w:bCs/>
          <w:i/>
          <w:iCs/>
        </w:rPr>
        <w:t>Dose correction and all other computations shall be applied on a per-frame basis, using only attributes associated with the respective frame, and shall not depend on values from other frames.</w:t>
      </w:r>
    </w:p>
    <w:p>
      <w:pPr>
        <w:pStyle w:val="BodyText"/>
        <w:jc w:val="both"/>
        <w:rPr/>
      </w:pPr>
      <w:r>
        <w:rPr/>
        <w:t>Justification: Each frame contains sufficient information for SUV</w:t>
      </w:r>
      <w:r>
        <w:rPr>
          <w:vertAlign w:val="subscript"/>
        </w:rPr>
        <w:t>bw</w:t>
      </w:r>
      <w:r>
        <w:rPr/>
        <w:t xml:space="preserve">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manufacturer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manufacturers “SIEMENS”, “GE”, or “Philips”, or as a combination of these manufacturers, the operator should be warned.</w:t>
      </w:r>
    </w:p>
    <w:p>
      <w:pPr>
        <w:pStyle w:val="BodyText"/>
        <w:jc w:val="both"/>
        <w:rPr/>
      </w:pPr>
      <w:r>
        <w:rPr/>
        <w:t>Justification: Different manufacturers may implement scan start datetime (the time to which real-world values are decay-corrected) and measurement time (the time the original values occurred) differently. Currently, we lack sufficient real-world data for other manufacturers to verify the strategy for other vendors.</w:t>
      </w:r>
    </w:p>
    <w:p>
      <w:pPr>
        <w:pStyle w:val="BodyText"/>
        <w:jc w:val="both"/>
        <w:rPr/>
      </w:pPr>
      <w:r>
        <w:rPr/>
        <w:t>Note: Other startegies, such as decay correcting the real-world values to the administration datetime, are possible, however, not included in this manual.</w:t>
      </w:r>
    </w:p>
    <w:p>
      <w:pPr>
        <w:pStyle w:val="BodyText"/>
        <w:jc w:val="both"/>
        <w:rPr/>
      </w:pPr>
      <w:r>
        <w:rPr/>
      </w:r>
      <w:bookmarkStart w:id="69" w:name="radiopharmaceutical-dose"/>
      <w:bookmarkStart w:id="70" w:name="recommendations-3"/>
      <w:bookmarkStart w:id="71" w:name="radiopharmaceutical-dose"/>
      <w:bookmarkStart w:id="72" w:name="recommendations-3"/>
      <w:bookmarkEnd w:id="71"/>
      <w:bookmarkEnd w:id="72"/>
    </w:p>
    <w:p>
      <w:pPr>
        <w:pStyle w:val="Heading2"/>
        <w:jc w:val="both"/>
        <w:rPr/>
      </w:pPr>
      <w:bookmarkStart w:id="73" w:name="administration-time"/>
      <w:bookmarkEnd w:id="73"/>
      <w:r>
        <w:rPr/>
        <w:t>Administration time</w:t>
      </w:r>
    </w:p>
    <w:p>
      <w:pPr>
        <w:pStyle w:val="Heading4"/>
        <w:jc w:val="both"/>
        <w:rPr/>
      </w:pPr>
      <w:bookmarkStart w:id="74" w:name="background-4"/>
      <w:r>
        <w:rPr/>
        <w:t>Background</w:t>
      </w:r>
    </w:p>
    <w:p>
      <w:pPr>
        <w:pStyle w:val="FirstParagraph"/>
        <w:jc w:val="both"/>
        <w:rPr/>
      </w:pPr>
      <w:r>
        <w:rPr/>
        <w:t xml:space="preserve">In cases where the administered dose has to be decay-corrected, the offset between decay-correction reference datetime (scan start datetime or measurement datetime) and radiotracer administration datetime has to be computed. The earlier was thoroughly described in the previous section. The latter - radiotracer administration time - can be extracted from the Radiopharmaceutical Information Sequence. However, this sequence originally did not store the calendar date information, as the atttribute Radiopharmaceutical Start Time (0018,1072) was used, i.e., only administration time can be extracted. Later, it </w:t>
      </w:r>
      <w:hyperlink r:id="rId62">
        <w:r>
          <w:rPr>
            <w:rStyle w:val="Hyperlink"/>
          </w:rPr>
          <w:t>was deprecated</w:t>
        </w:r>
      </w:hyperlink>
      <w:r>
        <w:rPr/>
        <w:t xml:space="preserve"> and Radiopharmaceutical Start DateTime (0018,1078) was added. Furthermore, both Radiopharmaceutical Start DateTime and Acquisition Date (0008,0022) - which is often used for the decay-correction reference datetime determination - are often altered during post-processing, for example due to anonymization.</w:t>
      </w:r>
    </w:p>
    <w:p>
      <w:pPr>
        <w:pStyle w:val="BodyText"/>
        <w:jc w:val="both"/>
        <w:rPr/>
      </w:pPr>
      <w:bookmarkStart w:id="75" w:name="background-4"/>
      <w:r>
        <w:rPr/>
        <w:t>Due to the aforementionted issues, the data have to be interpreted carefully, especially to recognize the following scenarios: - PET scans with long-lived radionulides acquired one or more days after radiotracer administration (uptake time more than 24 hours) - can be only recognized by the dates; - PET scans with short-lived radionuclides acquired on the day after radiotracer administration (uptake time spanning midnight) - alternatively, it can be also recognized by the time component of the decay-correction datetime preceding the administration time; - dynamic PET scans, where the time component of the decay-correction datetime may also precede the administration time (however, the administration occurs shortly before acquisition).</w:t>
      </w:r>
      <w:bookmarkEnd w:id="75"/>
    </w:p>
    <w:p>
      <w:pPr>
        <w:pStyle w:val="Heading4"/>
        <w:jc w:val="both"/>
        <w:rPr/>
      </w:pPr>
      <w:bookmarkStart w:id="76" w:name="metadata-analysis-5"/>
      <w:r>
        <w:rPr/>
        <w:t>Metadata analysis</w:t>
      </w:r>
    </w:p>
    <w:p>
      <w:pPr>
        <w:pStyle w:val="FirstParagraph"/>
        <w:jc w:val="both"/>
        <w:rPr/>
      </w:pPr>
      <w:r>
        <w:rPr/>
        <w:t>Among the data examined, 1869 series (60.2%) included only the Radiopharmaceutical Start Time without an associated date, 1031 series (33.2%) included both values, and 205 series (6.6%) included neither. There was only one case in which only Radiopharmaceutical Start DateTime was present, which may be because the other attribute was deprecated only recently.</w:t>
      </w:r>
    </w:p>
    <w:p>
      <w:pPr>
        <w:pStyle w:val="BodyText"/>
        <w:jc w:val="both"/>
        <w:rPr/>
      </w:pPr>
      <w:r>
        <w:rP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considered inherently reliable. There were 65 series that used a long-lived radionuclide (half life = 23400000s, Ge-68). In 63 of these series (97.0%), the Radiopharmaceutical Start Datetime was absent. In the remaining two, the date was approximately eight months later then the Acquisition Date which indicates modification of one of these dates.</w:t>
      </w:r>
    </w:p>
    <w:p>
      <w:pPr>
        <w:pStyle w:val="BodyText"/>
        <w:jc w:val="both"/>
        <w:rPr/>
      </w:pPr>
      <w:bookmarkStart w:id="77" w:name="metadata-analysis-5"/>
      <w:r>
        <w:rPr/>
        <w:t>There were two series with Radiopharmaceutical Start Date one day before Acquisition Date. However, the times differed by 63 and 66 minutes, so the acquisition most likely occurred on the same day as radiotracer administration. 37 series contained frames with Acquisition Time before Radiopharmaceutical Start Time. All were dynamic scans from the “ACRIN-FLT-BREAST” collection. The highest time offset between Acquisition Time and Radiopharmaceutical Start Time was 166 seconds.</w:t>
      </w:r>
      <w:bookmarkEnd w:id="77"/>
    </w:p>
    <w:p>
      <w:pPr>
        <w:pStyle w:val="Heading4"/>
        <w:jc w:val="both"/>
        <w:rPr/>
      </w:pPr>
      <w:bookmarkStart w:id="78" w:name="digital-reference-object-4"/>
      <w:r>
        <w:rPr/>
        <w:t>Digital reference object</w:t>
      </w:r>
    </w:p>
    <w:p>
      <w:pPr>
        <w:pStyle w:val="FirstParagraph"/>
        <w:jc w:val="both"/>
        <w:rPr/>
      </w:pPr>
      <w:r>
        <w:rPr/>
        <w:t>Following objects were created:</w:t>
      </w:r>
    </w:p>
    <w:p>
      <w:pPr>
        <w:pStyle w:val="Compact"/>
        <w:numPr>
          <w:ilvl w:val="0"/>
          <w:numId w:val="129"/>
        </w:numPr>
        <w:jc w:val="both"/>
        <w:rPr/>
      </w:pPr>
      <w:r>
        <w:rPr/>
        <w:t>DRO_4_0 where only Radiopharmaceutical Start DateTime is present and Radiopharmaceutical Start Time is absent. Typical issues contain:</w:t>
      </w:r>
    </w:p>
    <w:p>
      <w:pPr>
        <w:pStyle w:val="Compact"/>
        <w:numPr>
          <w:ilvl w:val="1"/>
          <w:numId w:val="130"/>
        </w:numPr>
        <w:jc w:val="both"/>
        <w:rPr/>
      </w:pPr>
      <w:r>
        <w:rPr/>
        <w:t>Radiopharmaceutical Start Time is required.</w:t>
      </w:r>
    </w:p>
    <w:p>
      <w:pPr>
        <w:pStyle w:val="Compact"/>
        <w:numPr>
          <w:ilvl w:val="0"/>
          <w:numId w:val="131"/>
        </w:numPr>
        <w:jc w:val="both"/>
        <w:rPr/>
      </w:pPr>
      <w:r>
        <w:rPr/>
        <w:t>DRO_4_1 where only Radiopharmaceutical Start Time is present, no Radiopharmaceutical Start DateTime is absent. Typical issues contain:</w:t>
      </w:r>
    </w:p>
    <w:p>
      <w:pPr>
        <w:pStyle w:val="Compact"/>
        <w:numPr>
          <w:ilvl w:val="1"/>
          <w:numId w:val="132"/>
        </w:numPr>
        <w:jc w:val="both"/>
        <w:rPr/>
      </w:pPr>
      <w:r>
        <w:rPr/>
        <w:t>Radiopharmaceutical Start DateTime is required.</w:t>
      </w:r>
    </w:p>
    <w:p>
      <w:pPr>
        <w:pStyle w:val="Compact"/>
        <w:numPr>
          <w:ilvl w:val="0"/>
          <w:numId w:val="133"/>
        </w:numPr>
        <w:jc w:val="both"/>
        <w:rPr/>
      </w:pPr>
      <w:r>
        <w:rPr/>
        <w:t>DRO_4_2 with radiotracer administered before midnight and scanned after midnight. Radiopharmaceutical Start Datetime is absent. Typical issues contain:</w:t>
      </w:r>
    </w:p>
    <w:p>
      <w:pPr>
        <w:pStyle w:val="Compact"/>
        <w:numPr>
          <w:ilvl w:val="1"/>
          <w:numId w:val="134"/>
        </w:numPr>
        <w:jc w:val="both"/>
        <w:rPr/>
      </w:pPr>
      <w:r>
        <w:rPr/>
        <w:t>administration datetime and decay-correction reference datetime are not compared.</w:t>
      </w:r>
    </w:p>
    <w:p>
      <w:pPr>
        <w:pStyle w:val="Compact"/>
        <w:numPr>
          <w:ilvl w:val="0"/>
          <w:numId w:val="135"/>
        </w:numPr>
        <w:jc w:val="both"/>
        <w:rPr/>
      </w:pPr>
      <w:r>
        <w:rPr/>
        <w:t>DRO_4_3 with radiotracer administered before midnight and scanned after midnight. Radiopharmaceutical Start Datetime is present. Typical issues contain:</w:t>
      </w:r>
    </w:p>
    <w:p>
      <w:pPr>
        <w:pStyle w:val="Compact"/>
        <w:numPr>
          <w:ilvl w:val="1"/>
          <w:numId w:val="136"/>
        </w:numPr>
        <w:jc w:val="both"/>
        <w:rPr/>
      </w:pPr>
      <w:r>
        <w:rPr/>
        <w:t>administration datetime and decay-correction reference datetime are not compared.</w:t>
      </w:r>
    </w:p>
    <w:p>
      <w:pPr>
        <w:pStyle w:val="Compact"/>
        <w:numPr>
          <w:ilvl w:val="0"/>
          <w:numId w:val="137"/>
        </w:numPr>
        <w:jc w:val="both"/>
        <w:rPr/>
      </w:pPr>
      <w:r>
        <w:rPr/>
        <w:t>DRO_4_4 with radiotracer administered before midnight and scanned after midnight. Radiopharmaceutical Start Datetime is present but Acquisition Date was anonymized. Typical issues contain:</w:t>
      </w:r>
    </w:p>
    <w:p>
      <w:pPr>
        <w:pStyle w:val="Compact"/>
        <w:numPr>
          <w:ilvl w:val="1"/>
          <w:numId w:val="138"/>
        </w:numPr>
        <w:jc w:val="both"/>
        <w:rPr/>
      </w:pPr>
      <w:r>
        <w:rPr/>
        <w:t>administration datetime is used even when one of the dates is changed or when both dates are shifted by different time offsets.</w:t>
      </w:r>
    </w:p>
    <w:p>
      <w:pPr>
        <w:pStyle w:val="Compact"/>
        <w:numPr>
          <w:ilvl w:val="0"/>
          <w:numId w:val="139"/>
        </w:numPr>
        <w:jc w:val="both"/>
        <w:rPr/>
      </w:pPr>
      <w:r>
        <w:rPr/>
        <w:t>DRO_4_5 with a long-lived radionuclide - the uptake time spares more than one day. Typical issues contain:</w:t>
      </w:r>
    </w:p>
    <w:p>
      <w:pPr>
        <w:pStyle w:val="Compact"/>
        <w:numPr>
          <w:ilvl w:val="1"/>
          <w:numId w:val="140"/>
        </w:numPr>
        <w:jc w:val="both"/>
        <w:rPr/>
      </w:pPr>
      <w:r>
        <w:rPr/>
        <w:t>administration datetime and decay-correction reference datetime are not compared;</w:t>
      </w:r>
    </w:p>
    <w:p>
      <w:pPr>
        <w:pStyle w:val="Compact"/>
        <w:numPr>
          <w:ilvl w:val="1"/>
          <w:numId w:val="141"/>
        </w:numPr>
        <w:jc w:val="both"/>
        <w:rPr/>
      </w:pPr>
      <w:r>
        <w:rPr/>
        <w:t>half-life is not extracted correctly from the Radionuclide Half Life attribute;</w:t>
      </w:r>
    </w:p>
    <w:p>
      <w:pPr>
        <w:pStyle w:val="Compact"/>
        <w:numPr>
          <w:ilvl w:val="1"/>
          <w:numId w:val="142"/>
        </w:numPr>
        <w:jc w:val="both"/>
        <w:rPr/>
      </w:pPr>
      <w:r>
        <w:rPr/>
        <w:t>radionuclide half-life is not considered within the dose decay correction.</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43"/>
        </w:numPr>
        <w:jc w:val="both"/>
        <w:rPr/>
      </w:pPr>
      <w:r>
        <w:rPr/>
        <w:t>DRO_error_4_0 where both Radiopharmaceutical Start DateTime and Radiopharmaceutical Start Time are absent.</w:t>
      </w:r>
    </w:p>
    <w:p>
      <w:pPr>
        <w:pStyle w:val="Compact"/>
        <w:numPr>
          <w:ilvl w:val="0"/>
          <w:numId w:val="144"/>
        </w:numPr>
        <w:jc w:val="both"/>
        <w:rPr/>
      </w:pPr>
      <w:r>
        <w:rPr/>
        <w:t>DRO_error_4_1 with a long-lived radionuclide - the uptake time spares more than one day and the Radiopharmaceutical Start DateTime is absent.</w:t>
      </w:r>
    </w:p>
    <w:p>
      <w:pPr>
        <w:pStyle w:val="Compact"/>
        <w:numPr>
          <w:ilvl w:val="0"/>
          <w:numId w:val="145"/>
        </w:numPr>
        <w:jc w:val="both"/>
        <w:rPr/>
      </w:pPr>
      <w:bookmarkStart w:id="79" w:name="digital-reference-object-4"/>
      <w:r>
        <w:rPr/>
        <w:t>DRO_error_4_2 with a long-lived radionuclide - the uptake time spares more than one day and the Radiopharmaceutical Start DateTime was anonymized.</w:t>
      </w:r>
      <w:bookmarkEnd w:id="79"/>
    </w:p>
    <w:p>
      <w:pPr>
        <w:pStyle w:val="Heading4"/>
        <w:jc w:val="both"/>
        <w:rPr/>
      </w:pPr>
      <w:bookmarkStart w:id="80" w:name="recommendations-4"/>
      <w:bookmarkEnd w:id="80"/>
      <w:r>
        <w:rPr/>
        <w:t>Recommendations</w:t>
      </w:r>
    </w:p>
    <w:p>
      <w:pPr>
        <w:pStyle w:val="FirstParagraph"/>
        <w:jc w:val="both"/>
        <w:rPr/>
      </w:pPr>
      <w:r>
        <w:rPr>
          <w:b/>
          <w:bCs/>
          <w:i/>
          <w:iCs/>
        </w:rPr>
        <w:t>If Radiopharmaceutical Start DateTime (0018,1078) is available and the time offset between the decay-correction reference datetime</w:t>
      </w:r>
      <w:r>
        <w:rPr/>
        <w:t xml:space="preserve"> </w:t>
      </w:r>
      <w:r>
        <w:rPr>
          <w:b/>
          <w:bCs/>
          <w:i/>
          <w:iCs/>
        </w:rPr>
        <w:t>and Radiopharmaceutical Start DateTime (0018,1078) is higher or equal to -3,600 s and shorter than twice the Radionuclide Half Life (0018,1075),</w:t>
      </w:r>
      <w:r>
        <w:rPr/>
        <w:t xml:space="preserve"> </w:t>
      </w:r>
      <w:r>
        <w:rPr>
          <w:b/>
          <w:bCs/>
          <w:i/>
          <w:iCs/>
        </w:rPr>
        <w:t>the attribute Radiopharmaceutical Start DateTime (0018,1078) should be considered as the datetime the radiotracer was administered.</w:t>
      </w:r>
    </w:p>
    <w:p>
      <w:pPr>
        <w:pStyle w:val="BodyText"/>
        <w:jc w:val="both"/>
        <w:rPr/>
      </w:pPr>
      <w:r>
        <w:rPr/>
        <w:t>Justification: Knowing the dates is essential for determining the time offset for dose decay-correction. However, one or both datetimes are often modified during post-processing. This situation represents the scenarion where the dates were most likely either not modified or shifted by the same time offset. For that we expect an the decay-correction datetime (scan start or measurement time) to be not longer than one hour before and earlier than two radionuclide half-lifes after radiotracer administration. The thresholds were selected arbitrarily: since the uptake times vary based on radionuclide half-life and may span several days for long-lived radionuclides, an arbitrary threshold of two half-lifes was selected. The one-hour threshold was described in the previous section.</w:t>
      </w:r>
    </w:p>
    <w:p>
      <w:pPr>
        <w:pStyle w:val="BodyText"/>
        <w:jc w:val="both"/>
        <w:rPr/>
      </w:pPr>
      <w:r>
        <w:rPr>
          <w:b/>
          <w:bCs/>
          <w:i/>
          <w:iCs/>
        </w:rPr>
        <w:t>If Radiopharmaceutical Start DateTime (0018,1078) is available and the time offset between the decay-correction reference datetime</w:t>
      </w:r>
      <w:r>
        <w:rPr/>
        <w:t xml:space="preserve"> </w:t>
      </w:r>
      <w:r>
        <w:rPr>
          <w:b/>
          <w:bCs/>
          <w:i/>
          <w:iCs/>
        </w:rPr>
        <w:t>and Radiopharmaceutical Start DateTime (0018,1078) is lower than -3,600 s or longer or equal to twice the Radionuclide Half Life (0018,1075),</w:t>
      </w:r>
      <w:r>
        <w:rPr/>
        <w:t xml:space="preserve"> </w:t>
      </w:r>
      <w:r>
        <w:rPr>
          <w:b/>
          <w:bCs/>
          <w:i/>
          <w:iCs/>
        </w:rPr>
        <w:t>SUV</w:t>
      </w:r>
      <w:r>
        <w:rPr>
          <w:b/>
          <w:bCs/>
          <w:i/>
          <w:iCs/>
          <w:vertAlign w:val="subscript"/>
        </w:rPr>
        <w:t>bw</w:t>
      </w:r>
      <w:r>
        <w:rPr>
          <w:b/>
          <w:bCs/>
          <w:i/>
          <w:iCs/>
        </w:rPr>
        <w:t xml:space="preserve"> can only be computed if the Radionuclide Half Life (0018,1075) is shorter than 41,400s. The operator should be warned.</w:t>
      </w:r>
      <w:r>
        <w:rPr/>
        <w:t xml:space="preserve"> </w:t>
      </w:r>
      <w:r>
        <w:rPr>
          <w:b/>
          <w:bCs/>
          <w:i/>
          <w:iCs/>
        </w:rPr>
        <w:t>In that case, the date component of the decay-correction reference datetime should be considered as the date the radiotracer was administered</w:t>
      </w:r>
      <w:r>
        <w:rPr/>
        <w:t xml:space="preserve"> </w:t>
      </w:r>
      <w:r>
        <w:rPr>
          <w:b/>
          <w:bCs/>
          <w:i/>
          <w:iCs/>
        </w:rPr>
        <w:t>while the time component of the Radiopharmaceutical Start DateTime (0018,1078) should be considered as the time the radiotracer was administered.</w:t>
      </w:r>
      <w:r>
        <w:rPr/>
        <w:t xml:space="preserve"> </w:t>
      </w:r>
      <w:r>
        <w:rPr>
          <w:b/>
          <w:bCs/>
          <w:i/>
          <w:iCs/>
        </w:rPr>
        <w:t>If the time offset between the time components of the decay-correction datetime and Radiopharmaceutical Start DateTime (0018,1078) is lower than -3,600s, subtract one day from the resulting datetime.</w:t>
      </w:r>
    </w:p>
    <w:p>
      <w:pPr>
        <w:pStyle w:val="BodyText"/>
        <w:jc w:val="both"/>
        <w:rPr/>
      </w:pPr>
      <w:r>
        <w:rPr/>
        <w:t>Justification: This recommendation covers the scenarion when the offset between Radiopharmaceutical Start DateTime and decay-correction datetime indicates one of the dates is wrong. In that case, only the same dates should be used as long as a short-lived radionuclide was used, with an arbitrary half-life threshold of 41,400s (11.5 hours). For radionuclides with longer halflifes, an uptake time of more than 23 hours can be expected, therefore, an administration date correctly encoded in the DICOM metadata is necessary. Finally, the last sentence covers the situations where short-lived radionuclide was used but the uptake time spans midnight, indicated by an decay-correction time more than one hour before administration time while the dates are unknown or unreliable.</w:t>
      </w:r>
    </w:p>
    <w:p>
      <w:pPr>
        <w:pStyle w:val="BodyText"/>
        <w:jc w:val="both"/>
        <w:rPr/>
      </w:pPr>
      <w:r>
        <w:rPr>
          <w:b/>
          <w:bCs/>
          <w:i/>
          <w:iCs/>
        </w:rPr>
        <w:t>If Radiopharmaceutical Start DateTime (0018,1078) is unavailable and the Radiopharmaceutical Start Time (0018,1072) is present,</w:t>
      </w:r>
      <w:r>
        <w:rPr/>
        <w:t xml:space="preserve"> </w:t>
      </w:r>
      <w:r>
        <w:rPr>
          <w:b/>
          <w:bCs/>
          <w:i/>
          <w:iCs/>
        </w:rPr>
        <w:t>SUV</w:t>
      </w:r>
      <w:r>
        <w:rPr>
          <w:b/>
          <w:bCs/>
          <w:i/>
          <w:iCs/>
          <w:vertAlign w:val="subscript"/>
        </w:rPr>
        <w:t>bw</w:t>
      </w:r>
      <w:r>
        <w:rPr>
          <w:b/>
          <w:bCs/>
          <w:i/>
          <w:iCs/>
        </w:rPr>
        <w:t xml:space="preserve"> can only be computed if the Radionuclide Half Life (0018,1075) is shorter than 41,400s. The operator should be warned.</w:t>
      </w:r>
      <w:r>
        <w:rPr/>
        <w:t xml:space="preserve"> </w:t>
      </w:r>
      <w:r>
        <w:rPr>
          <w:b/>
          <w:bCs/>
          <w:i/>
          <w:iCs/>
        </w:rPr>
        <w:t>In that case, the date component of the decay-correction reference datetime should be considered as the date the radiotracer was administered</w:t>
      </w:r>
      <w:r>
        <w:rPr/>
        <w:t xml:space="preserve"> </w:t>
      </w:r>
      <w:r>
        <w:rPr>
          <w:b/>
          <w:bCs/>
          <w:i/>
          <w:iCs/>
        </w:rPr>
        <w:t>while the Radiopharmaceutical Start Time (0018,1072) should be considered as the time the radiotracer was administered.</w:t>
      </w:r>
      <w:r>
        <w:rPr/>
        <w:t xml:space="preserve"> </w:t>
      </w:r>
      <w:r>
        <w:rPr>
          <w:b/>
          <w:bCs/>
          <w:i/>
          <w:iCs/>
        </w:rPr>
        <w:t>If the time offset between the time component of the decay-correction datetime and Radiopharmaceutical Start Time (0018,1072) is lower than -3,600s, subtract one day from the resulting datetime.</w:t>
      </w:r>
    </w:p>
    <w:p>
      <w:pPr>
        <w:pStyle w:val="BodyText"/>
        <w:jc w:val="both"/>
        <w:rPr/>
      </w:pPr>
      <w:r>
        <w:rPr/>
        <w:t>Justification: Analogically to the previous recommendation, Radiopharmaceutical Start Time can be used for short-lived radionuclides where the date is expected to be the same as the date of the decay-correction reference datetime, or, in rare cases, the day before (but less than 23 hours before).</w:t>
      </w:r>
    </w:p>
    <w:p>
      <w:pPr>
        <w:pStyle w:val="BodyText"/>
        <w:jc w:val="both"/>
        <w:rPr/>
      </w:pPr>
      <w:r>
        <w:rPr>
          <w:b/>
          <w:bCs/>
          <w:i/>
          <w:iCs/>
        </w:rPr>
        <w:t>If the dose correction is required and both Radiopharmaceutical Start DateTime (0018,1078) and Radiopharmaceutical Start Time (0018,1072) are absent or empty, SUV</w:t>
      </w:r>
      <w:r>
        <w:rPr>
          <w:b/>
          <w:bCs/>
          <w:i/>
          <w:iCs/>
          <w:vertAlign w:val="subscript"/>
        </w:rPr>
        <w:t>bw</w:t>
      </w:r>
      <w:r>
        <w:rPr>
          <w:b/>
          <w:bCs/>
          <w:i/>
          <w:iCs/>
        </w:rPr>
        <w:t xml:space="preserve"> computation is not possible.</w:t>
      </w:r>
    </w:p>
    <w:p>
      <w:pPr>
        <w:pStyle w:val="BodyText"/>
        <w:jc w:val="both"/>
        <w:rPr/>
      </w:pPr>
      <w:r>
        <w:rPr/>
        <w:t>Justification: The administration datetime is required in all cases where dose correction is required.</w:t>
      </w:r>
    </w:p>
    <w:p>
      <w:pPr>
        <w:pStyle w:val="BodyText"/>
        <w:jc w:val="both"/>
        <w:rPr/>
      </w:pPr>
      <w:r>
        <w:rPr/>
      </w:r>
      <w:bookmarkStart w:id="81" w:name="administration-time"/>
      <w:bookmarkStart w:id="82" w:name="recommendations-4"/>
      <w:bookmarkStart w:id="83" w:name="administration-time"/>
      <w:bookmarkStart w:id="84" w:name="recommendations-4"/>
      <w:bookmarkEnd w:id="83"/>
      <w:bookmarkEnd w:id="84"/>
    </w:p>
    <w:p>
      <w:pPr>
        <w:pStyle w:val="Heading2"/>
        <w:jc w:val="both"/>
        <w:rPr/>
      </w:pPr>
      <w:bookmarkStart w:id="85" w:name="radionuclide-half-life"/>
      <w:r>
        <w:rPr/>
        <w:t>Radionuclide half-life</w:t>
      </w:r>
    </w:p>
    <w:p>
      <w:pPr>
        <w:pStyle w:val="Heading4"/>
        <w:jc w:val="both"/>
        <w:rPr/>
      </w:pPr>
      <w:bookmarkStart w:id="86" w:name="background-5"/>
      <w:r>
        <w:rPr/>
        <w:t>Background</w:t>
      </w:r>
    </w:p>
    <w:p>
      <w:pPr>
        <w:pStyle w:val="FirstParagraph"/>
        <w:jc w:val="both"/>
        <w:rPr/>
      </w:pPr>
      <w:bookmarkStart w:id="87"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other parts of the DICOM metada, such as the Radiopharmaceutical (0018,0031) attribute or within the Radionuclide Code Sequence (0054,0300).</w:t>
      </w:r>
      <w:bookmarkEnd w:id="87"/>
    </w:p>
    <w:p>
      <w:pPr>
        <w:pStyle w:val="Heading4"/>
        <w:jc w:val="both"/>
        <w:rPr/>
      </w:pPr>
      <w:r>
        <w:rPr/>
        <w:t>Metadata analysis</w:t>
      </w:r>
    </w:p>
    <w:p>
      <w:pPr>
        <w:pStyle w:val="FirstParagraph"/>
        <w:jc w:val="both"/>
        <w:rPr/>
      </w:pPr>
      <w:r>
        <w:rPr/>
        <w:t>All series had the Radionuclide half-life provided and it always had a positive value. Most series used F-18 as radionuclide (Table 3).</w:t>
      </w:r>
    </w:p>
    <w:p>
      <w:pPr>
        <w:pStyle w:val="TableCaption"/>
        <w:jc w:val="both"/>
        <w:rPr/>
      </w:pPr>
      <w:r>
        <w:rPr/>
        <w:t>Table 3: Unique values of RadionuclideHalfLife (0018,1075); half-life values were truncated.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RadionuclideHalfLife (s)</w:t>
            </w:r>
          </w:p>
        </w:tc>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Freq</w:t>
            </w:r>
          </w:p>
        </w:tc>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Perc</w:t>
            </w:r>
          </w:p>
        </w:tc>
        <w:tc>
          <w:tcPr>
            <w:tcW w:w="1979"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Corresponds to</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598</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N-13</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1223</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C-11</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4057</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Ga-68</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6586</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1201</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39 %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F-18</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6588</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1805</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58 %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F-18</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23400000</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65</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2 %</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Ge-68</w:t>
            </w:r>
            <w:bookmarkStart w:id="88" w:name="metadata-analysis-6"/>
            <w:bookmarkEnd w:id="88"/>
          </w:p>
        </w:tc>
      </w:tr>
    </w:tbl>
    <w:p>
      <w:pPr>
        <w:pStyle w:val="Heading4"/>
        <w:jc w:val="both"/>
        <w:rPr/>
      </w:pPr>
      <w:r>
        <w:rPr/>
        <w:t>Digital reference object</w:t>
      </w:r>
    </w:p>
    <w:p>
      <w:pPr>
        <w:pStyle w:val="FirstParagraph"/>
        <w:jc w:val="both"/>
        <w:rPr/>
      </w:pPr>
      <w:r>
        <w:rPr/>
        <w:t>To check that radionuclide half-life is taken into account when SUV</w:t>
      </w:r>
      <w:r>
        <w:rPr>
          <w:vertAlign w:val="subscript"/>
        </w:rPr>
        <w:t>bw</w:t>
      </w:r>
      <w:r>
        <w:rPr/>
        <w:t xml:space="preserve"> is computed, following DROs were constructed:</w:t>
      </w:r>
    </w:p>
    <w:p>
      <w:pPr>
        <w:pStyle w:val="Compact"/>
        <w:numPr>
          <w:ilvl w:val="0"/>
          <w:numId w:val="146"/>
        </w:numPr>
        <w:jc w:val="both"/>
        <w:rPr/>
      </w:pPr>
      <w:r>
        <w:rPr/>
        <w:t>DRO_5_0 with Ga-68 used as radionuclide. Typical issues contain:</w:t>
      </w:r>
    </w:p>
    <w:p>
      <w:pPr>
        <w:pStyle w:val="Compact"/>
        <w:numPr>
          <w:ilvl w:val="1"/>
          <w:numId w:val="147"/>
        </w:numPr>
        <w:jc w:val="both"/>
        <w:rPr/>
      </w:pPr>
      <w:r>
        <w:rPr/>
        <w:t>half-life is not extracted correctly from RadionuclideHalfLife;</w:t>
      </w:r>
    </w:p>
    <w:p>
      <w:pPr>
        <w:pStyle w:val="Compact"/>
        <w:numPr>
          <w:ilvl w:val="1"/>
          <w:numId w:val="148"/>
        </w:numPr>
        <w:jc w:val="both"/>
        <w:rPr/>
      </w:pPr>
      <w:r>
        <w:rPr/>
        <w:t>radionuclide half-life is not considered within the dose decay correction.</w:t>
      </w:r>
    </w:p>
    <w:p>
      <w:pPr>
        <w:pStyle w:val="FirstParagraph"/>
        <w:jc w:val="both"/>
        <w:rPr/>
      </w:pPr>
      <w:r>
        <w:rPr/>
        <w:t>The following DROs should yield an error in SUV</w:t>
      </w:r>
      <w:r>
        <w:rPr>
          <w:vertAlign w:val="subscript"/>
        </w:rPr>
        <w:t>bw</w:t>
      </w:r>
      <w:r>
        <w:rPr/>
        <w:t xml:space="preserve"> computation:</w:t>
      </w:r>
    </w:p>
    <w:p>
      <w:pPr>
        <w:pStyle w:val="Compact"/>
        <w:numPr>
          <w:ilvl w:val="0"/>
          <w:numId w:val="149"/>
        </w:numPr>
        <w:jc w:val="both"/>
        <w:rPr/>
      </w:pPr>
      <w:r>
        <w:rPr/>
        <w:t>DRO_error_5_0 where Radionuclide Half Life is absent.</w:t>
      </w:r>
    </w:p>
    <w:p>
      <w:pPr>
        <w:pStyle w:val="Heading4"/>
        <w:jc w:val="both"/>
        <w:rPr/>
      </w:pPr>
      <w:bookmarkStart w:id="89" w:name="recommendations-5"/>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w:t>
      </w:r>
      <w:r>
        <w:rPr>
          <w:b/>
          <w:bCs/>
          <w:i/>
          <w:iCs/>
          <w:vertAlign w:val="subscript"/>
        </w:rPr>
        <w:t>bw</w:t>
      </w:r>
      <w:r>
        <w:rPr>
          <w:b/>
          <w:bCs/>
          <w:i/>
          <w:iCs/>
        </w:rPr>
        <w:t xml:space="preserve"> computation is not possible.</w:t>
      </w:r>
    </w:p>
    <w:p>
      <w:pPr>
        <w:pStyle w:val="BodyText"/>
        <w:jc w:val="both"/>
        <w:rPr/>
      </w:pPr>
      <w:bookmarkStart w:id="90" w:name="radionuclide-half-life"/>
      <w:bookmarkStart w:id="91" w:name="recommendations-5"/>
      <w:r>
        <w:rPr/>
        <w:t>Justification: The Radionuclide Half Life is used for dose correction.</w:t>
      </w:r>
      <w:bookmarkEnd w:id="90"/>
      <w:bookmarkEnd w:id="91"/>
    </w:p>
    <w:p>
      <w:pPr>
        <w:pStyle w:val="Heading2"/>
        <w:jc w:val="both"/>
        <w:rPr/>
      </w:pPr>
      <w:bookmarkStart w:id="92" w:name="computing-suvbw-in-other-sop-classes"/>
      <w:r>
        <w:rPr/>
        <w:t>Computing SUV</w:t>
      </w:r>
      <w:r>
        <w:rPr>
          <w:vertAlign w:val="subscript"/>
        </w:rPr>
        <w:t>bw</w:t>
      </w:r>
      <w:r>
        <w:rPr/>
        <w:t xml:space="preserve"> in other SOP classes</w:t>
      </w:r>
    </w:p>
    <w:p>
      <w:pPr>
        <w:pStyle w:val="Heading3"/>
        <w:jc w:val="both"/>
        <w:rPr/>
      </w:pPr>
      <w:bookmarkStart w:id="93" w:name="enhanced-pet-image-storage-sop-class"/>
      <w:r>
        <w:rPr/>
        <w:t>Enhanced PET Image Storage SOP Class</w:t>
      </w:r>
    </w:p>
    <w:p>
      <w:pPr>
        <w:pStyle w:val="Heading4"/>
        <w:jc w:val="both"/>
        <w:rPr/>
      </w:pPr>
      <w:bookmarkStart w:id="94" w:name="background-6"/>
      <w:r>
        <w:rPr/>
        <w:t>Background</w:t>
      </w:r>
    </w:p>
    <w:p>
      <w:pPr>
        <w:pStyle w:val="FirstParagraph"/>
        <w:jc w:val="both"/>
        <w:rPr/>
      </w:pPr>
      <w:r>
        <w:rPr/>
        <w:t>The Enhanced PET Image Storage SOP Class can be recognized by the SOP Class UID (0008,0016) value “1.2.840.10008.5.1.4.1.1.130”. This format solves many of the aforementioned issues with the Positron Emission Tomography SOP Class but also poses a new challenge to image viewing and quantification tools. The main differences relevant to SUV</w:t>
      </w:r>
      <w:r>
        <w:rPr>
          <w:vertAlign w:val="subscript"/>
        </w:rPr>
        <w:t>bw</w:t>
      </w:r>
      <w:r>
        <w:rPr/>
        <w:t xml:space="preserve"> computation include:</w:t>
      </w:r>
    </w:p>
    <w:p>
      <w:pPr>
        <w:pStyle w:val="Compact"/>
        <w:numPr>
          <w:ilvl w:val="0"/>
          <w:numId w:val="150"/>
        </w:numPr>
        <w:jc w:val="both"/>
        <w:rPr/>
      </w:pPr>
      <w:r>
        <w:rPr/>
        <w:t>Frame-specific metadata are stored within Per-Frame Functional Groups Sequence (5200,9230) with each its item corresponding to one frame. Shared Functional Groups define default values for all frames, while Per-frame Functional Groups override them where specified.</w:t>
      </w:r>
    </w:p>
    <w:p>
      <w:pPr>
        <w:pStyle w:val="Compact"/>
        <w:numPr>
          <w:ilvl w:val="0"/>
          <w:numId w:val="151"/>
        </w:numPr>
        <w:jc w:val="both"/>
        <w:rPr/>
      </w:pPr>
      <w:r>
        <w:rPr/>
        <w:t>Voxel values: stored as a multi-frame (multi-dimensional) object.</w:t>
      </w:r>
    </w:p>
    <w:p>
      <w:pPr>
        <w:pStyle w:val="Compact"/>
        <w:numPr>
          <w:ilvl w:val="0"/>
          <w:numId w:val="152"/>
        </w:numPr>
        <w:jc w:val="both"/>
        <w:rPr/>
      </w:pPr>
      <w:r>
        <w:rPr/>
        <w:t>Rescaling: stored within the Real World Value Mapping Sequence (0040,9096) as attributes Real World Value Slope (0040,9225) and Real World Value Intercept (0040,9224). Alternatively, rescaling may be done using the attribute Real World Value LUT Data (0040,9212).</w:t>
      </w:r>
    </w:p>
    <w:p>
      <w:pPr>
        <w:pStyle w:val="Compact"/>
        <w:numPr>
          <w:ilvl w:val="0"/>
          <w:numId w:val="153"/>
        </w:numPr>
        <w:jc w:val="both"/>
        <w:rPr/>
      </w:pPr>
      <w:r>
        <w:rPr/>
        <w:t>Units: stored within the Measurement Units Code Sequence (0040, 08EA). In one possible implementation, units are encoded using the Context Identifier (CID) 84 and 85 - e.g., Code Value (0008,0100) “Bq/ml” (UCUM designator, CID 84 v. 20170914) corresponds to Units (0054,1001) “BQML”. Units g/ml are followed by the SUV</w:t>
      </w:r>
      <w:r>
        <w:rPr>
          <w:vertAlign w:val="subscript"/>
        </w:rPr>
        <w:t>bw</w:t>
      </w:r>
      <w:r>
        <w:rPr/>
        <w:t xml:space="preserve"> type, e.g., “g/ml{SUVbw}” (UCUM designator, CID 85 v.20161106) corresponds to Units (0054,1001) “GML” with SUV Type (0054,1006) “BW”.</w:t>
      </w:r>
    </w:p>
    <w:p>
      <w:pPr>
        <w:pStyle w:val="Compact"/>
        <w:numPr>
          <w:ilvl w:val="0"/>
          <w:numId w:val="154"/>
        </w:numPr>
        <w:jc w:val="both"/>
        <w:rPr/>
      </w:pPr>
      <w:r>
        <w:rPr/>
        <w:t>Dose: decay-corrected images are recognized by the value “YES” of the Decay Corrected (0018,9758) attribute. The decay-correction reference datetime is stored in the attribute Decay Correction DateTime (0018,9701). Images that are not decay-corrected (Decay Corrected (0018,9758) = “NO”) show values at the Frame Reference DateTime (0018,9151) which can be used as decay-correction reference datetime.</w:t>
      </w:r>
    </w:p>
    <w:p>
      <w:pPr>
        <w:pStyle w:val="Compact"/>
        <w:numPr>
          <w:ilvl w:val="0"/>
          <w:numId w:val="155"/>
        </w:numPr>
        <w:jc w:val="both"/>
        <w:rPr/>
      </w:pPr>
      <w:bookmarkStart w:id="95" w:name="background-6"/>
      <w:r>
        <w:rPr/>
        <w:t>Administration time: only stored as Radiopharmaceutical Start DateTime (0018,1078).</w:t>
      </w:r>
      <w:bookmarkEnd w:id="95"/>
    </w:p>
    <w:p>
      <w:pPr>
        <w:pStyle w:val="Heading4"/>
        <w:jc w:val="both"/>
        <w:rPr/>
      </w:pPr>
      <w:bookmarkStart w:id="96" w:name="metadata-analysis-7"/>
      <w:r>
        <w:rPr/>
        <w:t>Metadata analysis</w:t>
      </w:r>
    </w:p>
    <w:p>
      <w:pPr>
        <w:pStyle w:val="FirstParagraph"/>
        <w:jc w:val="both"/>
        <w:rPr/>
      </w:pPr>
      <w:bookmarkStart w:id="97" w:name="metadata-analysis-7"/>
      <w:r>
        <w:rPr/>
        <w:t>There were no series of this SOP class between the analyzed files.</w:t>
      </w:r>
      <w:bookmarkEnd w:id="97"/>
    </w:p>
    <w:p>
      <w:pPr>
        <w:pStyle w:val="Heading4"/>
        <w:jc w:val="both"/>
        <w:rPr/>
      </w:pPr>
      <w:bookmarkStart w:id="98" w:name="digital-reference-object-6"/>
      <w:r>
        <w:rPr/>
        <w:t>Digital reference object</w:t>
      </w:r>
    </w:p>
    <w:p>
      <w:pPr>
        <w:pStyle w:val="FirstParagraph"/>
        <w:jc w:val="both"/>
        <w:rPr/>
      </w:pPr>
      <w:r>
        <w:rPr/>
        <w:t>To verify that Enhanced PET SOP Class is quantified correctly, following DROs were constructed:</w:t>
      </w:r>
    </w:p>
    <w:p>
      <w:pPr>
        <w:pStyle w:val="Compact"/>
        <w:numPr>
          <w:ilvl w:val="0"/>
          <w:numId w:val="156"/>
        </w:numPr>
        <w:jc w:val="both"/>
        <w:rPr/>
      </w:pPr>
      <w:r>
        <w:rPr/>
        <w:t>DRO_7_0_0 default DRO of the Enhanced PET SOP class. Typical issues contain:</w:t>
      </w:r>
    </w:p>
    <w:p>
      <w:pPr>
        <w:pStyle w:val="Compact"/>
        <w:numPr>
          <w:ilvl w:val="1"/>
          <w:numId w:val="157"/>
        </w:numPr>
        <w:jc w:val="both"/>
        <w:rPr/>
      </w:pPr>
      <w:r>
        <w:rPr/>
        <w:t>Enhanced PET SOP Class is not implemented</w:t>
      </w:r>
    </w:p>
    <w:p>
      <w:pPr>
        <w:pStyle w:val="Compact"/>
        <w:numPr>
          <w:ilvl w:val="1"/>
          <w:numId w:val="158"/>
        </w:numPr>
        <w:jc w:val="both"/>
        <w:rPr/>
      </w:pPr>
      <w:r>
        <w:rPr/>
        <w:t>stored voxel values or units are not interpreted correctly</w:t>
      </w:r>
    </w:p>
    <w:p>
      <w:pPr>
        <w:pStyle w:val="Compact"/>
        <w:numPr>
          <w:ilvl w:val="0"/>
          <w:numId w:val="159"/>
        </w:numPr>
        <w:jc w:val="both"/>
        <w:rPr/>
      </w:pPr>
      <w:r>
        <w:rPr/>
        <w:t>DRO_7_1_0 with multiple values of Real World Value Slope Slope. Typical issues contain:</w:t>
      </w:r>
    </w:p>
    <w:p>
      <w:pPr>
        <w:pStyle w:val="Compact"/>
        <w:numPr>
          <w:ilvl w:val="1"/>
          <w:numId w:val="160"/>
        </w:numPr>
        <w:jc w:val="both"/>
        <w:rPr/>
      </w:pPr>
      <w:r>
        <w:rPr/>
        <w:t>per-frame rescale slope is not applied correctly</w:t>
      </w:r>
    </w:p>
    <w:p>
      <w:pPr>
        <w:pStyle w:val="Compact"/>
        <w:numPr>
          <w:ilvl w:val="0"/>
          <w:numId w:val="161"/>
        </w:numPr>
        <w:jc w:val="both"/>
        <w:rPr/>
      </w:pPr>
      <w:r>
        <w:rPr/>
        <w:t>DRO_7_2_0 with units corresponding to g/ml (SUV</w:t>
      </w:r>
      <w:r>
        <w:rPr>
          <w:vertAlign w:val="subscript"/>
        </w:rPr>
        <w:t>bw</w:t>
      </w:r>
      <w:r>
        <w:rPr/>
        <w:t>). Typical issues contain:</w:t>
      </w:r>
    </w:p>
    <w:p>
      <w:pPr>
        <w:pStyle w:val="Compact"/>
        <w:numPr>
          <w:ilvl w:val="1"/>
          <w:numId w:val="162"/>
        </w:numPr>
        <w:jc w:val="both"/>
        <w:rPr/>
      </w:pPr>
      <w:r>
        <w:rPr/>
        <w:t>units code is not interpreted correctly</w:t>
      </w:r>
    </w:p>
    <w:p>
      <w:pPr>
        <w:pStyle w:val="Compact"/>
        <w:numPr>
          <w:ilvl w:val="0"/>
          <w:numId w:val="163"/>
        </w:numPr>
        <w:jc w:val="both"/>
        <w:rPr/>
      </w:pPr>
      <w:r>
        <w:rPr/>
        <w:t>DRO_7_3_0 with Decay Corrected set to “YES” and series and acquisition datetimes after Decay Correction DateTime. Typical issues contain:</w:t>
      </w:r>
    </w:p>
    <w:p>
      <w:pPr>
        <w:pStyle w:val="Compact"/>
        <w:numPr>
          <w:ilvl w:val="1"/>
          <w:numId w:val="164"/>
        </w:numPr>
        <w:jc w:val="both"/>
        <w:rPr/>
      </w:pPr>
      <w:r>
        <w:rPr/>
        <w:t>Decay Correction DateTime is not used as decay-correction reference time (scan start time) for dose correction</w:t>
      </w:r>
    </w:p>
    <w:p>
      <w:pPr>
        <w:pStyle w:val="Compact"/>
        <w:numPr>
          <w:ilvl w:val="0"/>
          <w:numId w:val="165"/>
        </w:numPr>
        <w:jc w:val="both"/>
        <w:rPr/>
      </w:pPr>
      <w:r>
        <w:rPr/>
        <w:t>DRO_7_3_1 with Decay Corrected set to “NO”. Typical issues contain:</w:t>
      </w:r>
    </w:p>
    <w:p>
      <w:pPr>
        <w:pStyle w:val="Compact"/>
        <w:numPr>
          <w:ilvl w:val="1"/>
          <w:numId w:val="166"/>
        </w:numPr>
        <w:jc w:val="both"/>
        <w:rPr/>
      </w:pPr>
      <w:bookmarkStart w:id="99" w:name="digital-reference-object-6"/>
      <w:r>
        <w:rPr/>
        <w:t>Frame Reference Datetime is not used as decay-correction reference time (measurement time) for dose correction</w:t>
      </w:r>
      <w:bookmarkEnd w:id="99"/>
    </w:p>
    <w:p>
      <w:pPr>
        <w:pStyle w:val="Heading4"/>
        <w:jc w:val="both"/>
        <w:rPr/>
      </w:pPr>
      <w:bookmarkStart w:id="100" w:name="recommendations-6"/>
      <w:r>
        <w:rPr/>
        <w:t>Recommendations</w:t>
      </w:r>
    </w:p>
    <w:p>
      <w:pPr>
        <w:pStyle w:val="FirstParagraph"/>
        <w:jc w:val="both"/>
        <w:rPr/>
      </w:pPr>
      <w:r>
        <w:rPr>
          <w:b/>
          <w:bCs/>
          <w:i/>
          <w:iCs/>
        </w:rPr>
        <w:t>Medical image analysis software should be able to read and correctly quantify PET images of the Enhanced PET SOP Class.</w:t>
      </w:r>
    </w:p>
    <w:p>
      <w:pPr>
        <w:pStyle w:val="BodyText"/>
        <w:jc w:val="both"/>
        <w:rPr/>
      </w:pPr>
      <w:r>
        <w:rPr>
          <w:b/>
          <w:bCs/>
          <w:i/>
          <w:iCs/>
        </w:rPr>
        <w:t>Real World Value Slope (0040,9225) and Real World Value Intercept (0040,9224) must be present in the Real World Value Mapping Sequence (0040,9096), otherwise, SUV</w:t>
      </w:r>
      <w:r>
        <w:rPr>
          <w:b/>
          <w:bCs/>
          <w:i/>
          <w:iCs/>
          <w:vertAlign w:val="subscript"/>
        </w:rPr>
        <w:t>bw</w:t>
      </w:r>
      <w:r>
        <w:rPr>
          <w:b/>
          <w:bCs/>
          <w:i/>
          <w:iCs/>
        </w:rPr>
        <w:t xml:space="preserve"> computation is not possible.</w:t>
      </w:r>
      <w:r>
        <w:rPr/>
        <w:t xml:space="preserve"> </w:t>
      </w:r>
      <w:r>
        <w:rPr>
          <w:b/>
          <w:bCs/>
          <w:i/>
          <w:iCs/>
        </w:rPr>
        <w:t>The corresponding slope and intercept have to be applied to all stored voxel values within a frame.</w:t>
      </w:r>
    </w:p>
    <w:p>
      <w:pPr>
        <w:pStyle w:val="BodyText"/>
        <w:jc w:val="both"/>
        <w:rPr/>
      </w:pPr>
      <w:r>
        <w:rPr/>
        <w:t>Justification: Analogous to the Positron Emission Tomography SOP Class, differently encoded. Rescale Slope (0028,1053) and Rescale Intercept (0028,1052) may not always lead to the unit specified in the Measurement Units Code Sequence (0040, 08EA).</w:t>
      </w:r>
    </w:p>
    <w:p>
      <w:pPr>
        <w:pStyle w:val="BodyText"/>
        <w:jc w:val="both"/>
        <w:rPr/>
      </w:pPr>
      <w:r>
        <w:rPr>
          <w:b/>
          <w:bCs/>
          <w:i/>
          <w:iCs/>
        </w:rPr>
        <w:t>Units code must be present in the Measurement Units Code Sequence (0040, 08EA), and correspond either to Bq/ml or SUV (g/ml or cm2/ml),</w:t>
      </w:r>
      <w:r>
        <w:rPr/>
        <w:t xml:space="preserve"> </w:t>
      </w:r>
      <w:r>
        <w:rPr>
          <w:b/>
          <w:bCs/>
          <w:i/>
          <w:iCs/>
        </w:rPr>
        <w:t>otherwise, SUV</w:t>
      </w:r>
      <w:r>
        <w:rPr>
          <w:b/>
          <w:bCs/>
          <w:i/>
          <w:iCs/>
          <w:vertAlign w:val="subscript"/>
        </w:rPr>
        <w:t>bw</w:t>
      </w:r>
      <w:r>
        <w:rPr>
          <w:b/>
          <w:bCs/>
          <w:i/>
          <w:iCs/>
        </w:rPr>
        <w:t xml:space="preserve"> computation is not possible.</w:t>
      </w:r>
      <w:r>
        <w:rPr/>
        <w:t xml:space="preserve"> </w:t>
      </w:r>
      <w:r>
        <w:rPr>
          <w:b/>
          <w:bCs/>
          <w:i/>
          <w:iCs/>
        </w:rPr>
        <w:t>If the conversion between SUV types is required, the Patient’s Weight (0010,1030) and the Patient’s Size (0010,1020) must have a positive, non-zero value, otherwise, SUV</w:t>
      </w:r>
      <w:r>
        <w:rPr>
          <w:b/>
          <w:bCs/>
          <w:i/>
          <w:iCs/>
          <w:vertAlign w:val="subscript"/>
        </w:rPr>
        <w:t>bw</w:t>
      </w:r>
      <w:r>
        <w:rPr>
          <w:b/>
          <w:bCs/>
          <w:i/>
          <w:iCs/>
        </w:rPr>
        <w:t xml:space="preserve"> computation is not possible.</w:t>
      </w:r>
      <w:r>
        <w:rPr/>
        <w:t xml:space="preserve"> </w:t>
      </w:r>
      <w:r>
        <w:rPr>
          <w:b/>
          <w:bCs/>
          <w:i/>
          <w:iCs/>
        </w:rPr>
        <w:t>Furthermore, if sex of the patient is required for the conversion, the Patient’s Sex (0010,1040) must have one of the values “M”, “F”, or “O”, otherwise, SUV</w:t>
      </w:r>
      <w:r>
        <w:rPr>
          <w:b/>
          <w:bCs/>
          <w:i/>
          <w:iCs/>
          <w:vertAlign w:val="subscript"/>
        </w:rPr>
        <w:t>bw</w:t>
      </w:r>
      <w:r>
        <w:rPr>
          <w:b/>
          <w:bCs/>
          <w:i/>
          <w:iCs/>
        </w:rPr>
        <w:t xml:space="preserve"> computation is not possible.</w:t>
      </w:r>
      <w:r>
        <w:rPr/>
        <w:t xml:space="preserve"> </w:t>
      </w:r>
      <w:r>
        <w:rPr>
          <w:b/>
          <w:bCs/>
          <w:i/>
          <w:iCs/>
        </w:rPr>
        <w:t>The conversion between SUV types should be done using the aforementioned conversion formulas.</w:t>
      </w:r>
      <w:r>
        <w:rPr/>
        <w:t xml:space="preserve"> </w:t>
      </w:r>
      <w:r>
        <w:rPr>
          <w:b/>
          <w:bCs/>
          <w:i/>
          <w:iCs/>
        </w:rPr>
        <w:t>If the units correspond to Bq/ml, conversion to SUV</w:t>
      </w:r>
      <w:r>
        <w:rPr>
          <w:b/>
          <w:bCs/>
          <w:i/>
          <w:iCs/>
          <w:vertAlign w:val="subscript"/>
        </w:rPr>
        <w:t>bw</w:t>
      </w:r>
      <w:r>
        <w:rPr>
          <w:b/>
          <w:bCs/>
          <w:i/>
          <w:iCs/>
        </w:rPr>
        <w:t xml:space="preserve"> and dose correction are required.</w:t>
      </w:r>
    </w:p>
    <w:p>
      <w:pPr>
        <w:pStyle w:val="BodyText"/>
        <w:jc w:val="both"/>
        <w:rPr/>
      </w:pPr>
      <w:r>
        <w:rPr/>
        <w:t>Justification: Analogous to the Positron Emission Tomography SOP Class. Unit code can be stored either in (0008,0100) Code Value, (0008,0119) Long Code Value, or (0008,0120) URN Code Value. Each stores different types of codes.</w:t>
      </w:r>
    </w:p>
    <w:p>
      <w:pPr>
        <w:pStyle w:val="BodyText"/>
        <w:jc w:val="both"/>
        <w:rPr/>
      </w:pPr>
      <w:r>
        <w:rPr>
          <w:b/>
          <w:bCs/>
          <w:i/>
          <w:iCs/>
        </w:rPr>
        <w:t>If dose correction is required, the attribute Patient’s Weight (0010,1030) must be present and have a positive, non-zero value. Otherwise, SUV</w:t>
      </w:r>
      <w:r>
        <w:rPr>
          <w:b/>
          <w:bCs/>
          <w:i/>
          <w:iCs/>
          <w:vertAlign w:val="subscript"/>
        </w:rPr>
        <w:t>bw</w:t>
      </w:r>
      <w:r>
        <w:rPr>
          <w:b/>
          <w:bCs/>
          <w:i/>
          <w:iCs/>
        </w:rPr>
        <w:t xml:space="preserve"> cannot be computed.</w:t>
      </w:r>
      <w:r>
        <w:rPr/>
        <w:t xml:space="preserve"> </w:t>
      </w:r>
      <w:r>
        <w:rPr>
          <w:b/>
          <w:bCs/>
          <w:i/>
          <w:iCs/>
        </w:rPr>
        <w:t>The Patient’s Weight (0010,1030) values equal to or greater than 1000 should be interpreted as grams while values lower than 1000 should be interpreted as kilograms.</w:t>
      </w:r>
    </w:p>
    <w:p>
      <w:pPr>
        <w:pStyle w:val="BodyText"/>
        <w:jc w:val="both"/>
        <w:rPr/>
      </w:pPr>
      <w:r>
        <w:rPr/>
        <w:t>Justification: Analogous to the Positron Emission Tomography SOP Class.</w:t>
      </w:r>
    </w:p>
    <w:p>
      <w:pPr>
        <w:pStyle w:val="BodyText"/>
        <w:jc w:val="both"/>
        <w:rPr/>
      </w:pPr>
      <w:r>
        <w:rPr>
          <w:b/>
          <w:bCs/>
          <w:i/>
          <w:iCs/>
        </w:rPr>
        <w:t>If dose correction is required, the Decay Corrected (0018,9758) attribute must be present and have one of the values “YES” or “NO”, otherwise, SUV</w:t>
      </w:r>
      <w:r>
        <w:rPr>
          <w:b/>
          <w:bCs/>
          <w:i/>
          <w:iCs/>
          <w:vertAlign w:val="subscript"/>
        </w:rPr>
        <w:t>bw</w:t>
      </w:r>
      <w:r>
        <w:rPr>
          <w:b/>
          <w:bCs/>
          <w:i/>
          <w:iCs/>
        </w:rPr>
        <w:t xml:space="preserve"> computation is not possible.</w:t>
      </w:r>
      <w:r>
        <w:rPr/>
        <w:t xml:space="preserve"> </w:t>
      </w:r>
      <w:r>
        <w:rPr>
          <w:b/>
          <w:bCs/>
          <w:i/>
          <w:iCs/>
        </w:rPr>
        <w:t>If dose correction is required and Decay Corrected (0018,9758) is “YES”, Decay Correction DateTime (0018,9701) must be present, otherwise, SUV</w:t>
      </w:r>
      <w:r>
        <w:rPr>
          <w:b/>
          <w:bCs/>
          <w:i/>
          <w:iCs/>
          <w:vertAlign w:val="subscript"/>
        </w:rPr>
        <w:t>bw</w:t>
      </w:r>
      <w:r>
        <w:rPr>
          <w:b/>
          <w:bCs/>
          <w:i/>
          <w:iCs/>
        </w:rPr>
        <w:t xml:space="preserve"> computation is not possible.</w:t>
      </w:r>
      <w:r>
        <w:rPr/>
        <w:t xml:space="preserve"> </w:t>
      </w:r>
      <w:r>
        <w:rPr>
          <w:b/>
          <w:bCs/>
          <w:i/>
          <w:iCs/>
        </w:rPr>
        <w:t>This datetime should be used as the decay-correction reference datetime for dose correction.</w:t>
      </w:r>
    </w:p>
    <w:p>
      <w:pPr>
        <w:pStyle w:val="BodyText"/>
        <w:jc w:val="both"/>
        <w:rPr/>
      </w:pPr>
      <w:r>
        <w:rPr/>
        <w:t>Justification: These attributes simplify the determination of the decay-correction reference time. Independently on vendor, the decay-correction reference datetime for decay-corrected images is stored in this attribute.</w:t>
      </w:r>
    </w:p>
    <w:p>
      <w:pPr>
        <w:pStyle w:val="BodyText"/>
        <w:jc w:val="both"/>
        <w:rPr/>
      </w:pPr>
      <w:r>
        <w:rPr>
          <w:b/>
          <w:bCs/>
          <w:i/>
          <w:iCs/>
        </w:rPr>
        <w:t>If dose correction is required and Decay Corrected (0018,9758) is “NO”, Frame Reference DateTime (0018,9151) must be present, otherwise, SUV</w:t>
      </w:r>
      <w:r>
        <w:rPr>
          <w:b/>
          <w:bCs/>
          <w:i/>
          <w:iCs/>
          <w:vertAlign w:val="subscript"/>
        </w:rPr>
        <w:t>bw</w:t>
      </w:r>
      <w:r>
        <w:rPr>
          <w:b/>
          <w:bCs/>
          <w:i/>
          <w:iCs/>
        </w:rPr>
        <w:t xml:space="preserve"> computation is not possible.</w:t>
      </w:r>
      <w:r>
        <w:rPr/>
        <w:t xml:space="preserve"> </w:t>
      </w:r>
      <w:r>
        <w:rPr>
          <w:b/>
          <w:bCs/>
          <w:i/>
          <w:iCs/>
        </w:rPr>
        <w:t>This datetime corresponds to the time at which the average activity occured (measurement time).</w:t>
      </w:r>
    </w:p>
    <w:p>
      <w:pPr>
        <w:pStyle w:val="BodyText"/>
        <w:jc w:val="both"/>
        <w:rPr/>
      </w:pPr>
      <w:r>
        <w:rPr/>
        <w:t>Justification: Based on DICOM definition. In one possible implementation, dose can be corrected to this datetime.</w:t>
      </w:r>
    </w:p>
    <w:p>
      <w:pPr>
        <w:pStyle w:val="BodyText"/>
        <w:jc w:val="both"/>
        <w:rPr/>
      </w:pPr>
      <w:r>
        <w:rPr>
          <w:b/>
          <w:bCs/>
          <w:i/>
          <w:iCs/>
        </w:rPr>
        <w:t>If Radiopharmaceutical Start DateTime (0018,1078) is present and the time offset between the decay-correction reference datetime and Radiopharmaceutical Start DateTime (0018,1078)</w:t>
      </w:r>
      <w:r>
        <w:rPr/>
        <w:t xml:space="preserve"> </w:t>
      </w:r>
      <w:r>
        <w:rPr>
          <w:b/>
          <w:bCs/>
          <w:i/>
          <w:iCs/>
        </w:rPr>
        <w:t>is higher or equal to -3,600 s and shorter than twice the Radionuclide Half Life (0018,1075),</w:t>
      </w:r>
      <w:r>
        <w:rPr/>
        <w:t xml:space="preserve"> </w:t>
      </w:r>
      <w:r>
        <w:rPr>
          <w:b/>
          <w:bCs/>
          <w:i/>
          <w:iCs/>
        </w:rPr>
        <w:t>the administration datetime can be extracted from the attributes Radiopharmaceutical Start DateTime (0018,1078).</w:t>
      </w:r>
      <w:r>
        <w:rPr/>
        <w:t xml:space="preserve"> </w:t>
      </w:r>
      <w:r>
        <w:rPr>
          <w:b/>
          <w:bCs/>
          <w:i/>
          <w:iCs/>
        </w:rPr>
        <w:t>If Radiopharmaceutical Start DateTime (0018,1078) is present and the time offset between the decay-correction reference datetime and Radiopharmaceutical Start DateTime (0018,1078)</w:t>
      </w:r>
      <w:r>
        <w:rPr/>
        <w:t xml:space="preserve"> </w:t>
      </w:r>
      <w:r>
        <w:rPr>
          <w:b/>
          <w:bCs/>
          <w:i/>
          <w:iCs/>
        </w:rPr>
        <w:t>is lower than -3,600 s or longer or equal to twice the Radionuclide Half Life (0018,1075), SUV</w:t>
      </w:r>
      <w:r>
        <w:rPr>
          <w:b/>
          <w:bCs/>
          <w:i/>
          <w:iCs/>
          <w:vertAlign w:val="subscript"/>
        </w:rPr>
        <w:t>bw</w:t>
      </w:r>
      <w:r>
        <w:rPr>
          <w:b/>
          <w:bCs/>
          <w:i/>
          <w:iCs/>
        </w:rPr>
        <w:t xml:space="preserve"> can only be computed if the Radionuclide Half Life (0018,1075) is shorter than 41,400s.</w:t>
      </w:r>
      <w:r>
        <w:rPr/>
        <w:t xml:space="preserve"> </w:t>
      </w:r>
      <w:r>
        <w:rPr>
          <w:b/>
          <w:bCs/>
          <w:i/>
          <w:iCs/>
        </w:rPr>
        <w:t>In that case, the administration datetime should be created by a combination of the date component of the decay-correction datetime and the time component of the Radiopharmaceutical Start DateTime (0018,1078).</w:t>
      </w:r>
      <w:r>
        <w:rPr/>
        <w:t xml:space="preserve"> </w:t>
      </w:r>
      <w:r>
        <w:rPr>
          <w:b/>
          <w:bCs/>
          <w:i/>
          <w:iCs/>
        </w:rPr>
        <w:t>If the time offset between the time components of the decay-correction datetime and Radiopharmaceutical Start DateTime is lower than -3,600s, subtract one day from the administration datetime.</w:t>
      </w:r>
      <w:r>
        <w:rPr/>
        <w:t xml:space="preserve"> </w:t>
      </w:r>
      <w:r>
        <w:rPr>
          <w:b/>
          <w:bCs/>
          <w:i/>
          <w:iCs/>
        </w:rPr>
        <w:t>If Radiopharmaceutical Start DateTime (0018,1078) is absent, SUV</w:t>
      </w:r>
      <w:r>
        <w:rPr>
          <w:b/>
          <w:bCs/>
          <w:i/>
          <w:iCs/>
          <w:vertAlign w:val="subscript"/>
        </w:rPr>
        <w:t>bw</w:t>
      </w:r>
      <w:r>
        <w:rPr>
          <w:b/>
          <w:bCs/>
          <w:i/>
          <w:iCs/>
        </w:rPr>
        <w:t xml:space="preserve"> computation is not possible.</w:t>
      </w:r>
    </w:p>
    <w:p>
      <w:pPr>
        <w:pStyle w:val="BodyText"/>
        <w:jc w:val="both"/>
        <w:rPr/>
      </w:pPr>
      <w:r>
        <w:rPr/>
        <w:t>Justification: Analogous to the Positron Emission Tomography SOP Class, howevere, Radiopharmaceutical Start Time (0018,1072) is always absent.</w:t>
      </w:r>
    </w:p>
    <w:p>
      <w:pPr>
        <w:pStyle w:val="BodyText"/>
        <w:jc w:val="both"/>
        <w:rPr/>
      </w:pPr>
      <w:r>
        <w:rPr>
          <w:b/>
          <w:bCs/>
          <w:i/>
          <w:iCs/>
        </w:rPr>
        <w:t>In images where dose correction is required, the Radionuclide Half Life (0018,1075) attribute must be present and have a positive, non-zero value; otherwise, SUV</w:t>
      </w:r>
      <w:r>
        <w:rPr>
          <w:b/>
          <w:bCs/>
          <w:i/>
          <w:iCs/>
          <w:vertAlign w:val="subscript"/>
        </w:rPr>
        <w:t>bw</w:t>
      </w:r>
      <w:r>
        <w:rPr>
          <w:b/>
          <w:bCs/>
          <w:i/>
          <w:iCs/>
        </w:rPr>
        <w:t xml:space="preserve"> computation is not possible.</w:t>
      </w:r>
    </w:p>
    <w:p>
      <w:pPr>
        <w:pStyle w:val="BodyText"/>
        <w:jc w:val="both"/>
        <w:rPr/>
      </w:pPr>
      <w:bookmarkStart w:id="101" w:name="enhanced-pet-image-storage-sop-class"/>
      <w:bookmarkStart w:id="102" w:name="recommendations-6"/>
      <w:r>
        <w:rPr/>
        <w:t>Justification: Analogous to the Positron Emission Tomography SOP Class.</w:t>
      </w:r>
      <w:bookmarkEnd w:id="101"/>
      <w:bookmarkEnd w:id="102"/>
    </w:p>
    <w:p>
      <w:pPr>
        <w:pStyle w:val="Heading3"/>
        <w:jc w:val="both"/>
        <w:rPr/>
      </w:pPr>
      <w:bookmarkStart w:id="103" w:name="Xcdf09109e1e103ce5edf0c6767683a285b6a76c"/>
      <w:r>
        <w:rPr/>
        <w:t>Legacy Converted Enhanced PET Image Storage</w:t>
      </w:r>
    </w:p>
    <w:p>
      <w:pPr>
        <w:pStyle w:val="Heading4"/>
        <w:jc w:val="both"/>
        <w:rPr/>
      </w:pPr>
      <w:bookmarkStart w:id="104" w:name="background-7"/>
      <w:r>
        <w:rPr/>
        <w:t>Background</w:t>
      </w:r>
    </w:p>
    <w:p>
      <w:pPr>
        <w:pStyle w:val="FirstParagraph"/>
        <w:jc w:val="both"/>
        <w:rPr/>
      </w:pPr>
      <w:bookmarkStart w:id="105" w:name="background-7"/>
      <w:r>
        <w:rPr/>
        <w:t>The SOP Class UID (0008,0016) value “1.2.840.10008.5.1.4.1.1.128.1” corresponds to the Legacy Converted Enhanced PET Image Storage. Images of this class are generated from the Positron Emission Tomography SOP Class in order to increase complementarity with the Enhanced PET SOP class and combine the elements of these two classes.</w:t>
      </w:r>
      <w:bookmarkEnd w:id="105"/>
    </w:p>
    <w:p>
      <w:pPr>
        <w:pStyle w:val="Heading4"/>
        <w:jc w:val="both"/>
        <w:rPr/>
      </w:pPr>
      <w:bookmarkStart w:id="106" w:name="metadata-analysis-8"/>
      <w:r>
        <w:rPr/>
        <w:t>Metadata analysis</w:t>
      </w:r>
    </w:p>
    <w:p>
      <w:pPr>
        <w:pStyle w:val="FirstParagraph"/>
        <w:jc w:val="both"/>
        <w:rPr/>
      </w:pPr>
      <w:bookmarkStart w:id="107" w:name="metadata-analysis-8"/>
      <w:r>
        <w:rPr/>
        <w:t>There were no series of this SOP class between the analyzed files.</w:t>
      </w:r>
      <w:bookmarkEnd w:id="107"/>
    </w:p>
    <w:p>
      <w:pPr>
        <w:pStyle w:val="Heading4"/>
        <w:jc w:val="both"/>
        <w:rPr/>
      </w:pPr>
      <w:bookmarkStart w:id="108" w:name="digital-reference-object-7"/>
      <w:r>
        <w:rPr/>
        <w:t>Digital reference object</w:t>
      </w:r>
    </w:p>
    <w:p>
      <w:pPr>
        <w:pStyle w:val="FirstParagraph"/>
        <w:jc w:val="both"/>
        <w:rPr/>
      </w:pPr>
      <w:bookmarkStart w:id="109" w:name="digital-reference-object-7"/>
      <w:r>
        <w:rPr/>
        <w:t>There are currently no digital reference objects of this class.</w:t>
      </w:r>
      <w:bookmarkEnd w:id="109"/>
    </w:p>
    <w:p>
      <w:pPr>
        <w:pStyle w:val="Heading4"/>
        <w:jc w:val="both"/>
        <w:rPr/>
      </w:pPr>
      <w:bookmarkStart w:id="110" w:name="recommendations-7"/>
      <w:r>
        <w:rPr/>
        <w:t>Recommendations</w:t>
      </w:r>
    </w:p>
    <w:p>
      <w:pPr>
        <w:pStyle w:val="FirstParagraph"/>
        <w:jc w:val="both"/>
        <w:rPr/>
      </w:pPr>
      <w:r>
        <w:rPr>
          <w:b/>
          <w:bCs/>
          <w:i/>
          <w:iCs/>
        </w:rPr>
        <w:t>Medical image analysis software should be able to read and quantify correctly PET images of the Legacy Converted Enhanced PET SOP Class.</w:t>
      </w:r>
      <w:r>
        <w:rPr/>
        <w:t xml:space="preserve"> </w:t>
      </w:r>
      <w:r>
        <w:rPr>
          <w:b/>
          <w:bCs/>
          <w:i/>
          <w:iCs/>
        </w:rPr>
        <w:t>The same recommendations apply as for the Enhanced PET SOP Class. In case of missing information, attributes from the Positron Emission Tomography SOP Class should be used.</w:t>
      </w:r>
      <w:bookmarkEnd w:id="92"/>
      <w:bookmarkEnd w:id="103"/>
      <w:bookmarkEnd w:id="110"/>
    </w:p>
    <w:p>
      <w:pPr>
        <w:pStyle w:val="Heading2"/>
        <w:jc w:val="both"/>
        <w:rPr/>
      </w:pPr>
      <w:bookmarkStart w:id="111" w:name="computing-other-suv-types"/>
      <w:r>
        <w:rPr/>
        <w:t>Computing other SUV types</w:t>
      </w:r>
    </w:p>
    <w:p>
      <w:pPr>
        <w:pStyle w:val="FirstParagraph"/>
        <w:jc w:val="both"/>
        <w:rPr/>
      </w:pPr>
      <w:r>
        <w:rPr/>
        <w:t>Other commonly used SUV types, such as SUV</w:t>
      </w:r>
      <w:r>
        <w:rPr>
          <w:vertAlign w:val="subscript"/>
        </w:rPr>
        <w:t>lbm</w:t>
      </w:r>
      <w:r>
        <w:rPr/>
        <w:t>, SUV</w:t>
      </w:r>
      <w:r>
        <w:rPr>
          <w:vertAlign w:val="subscript"/>
        </w:rPr>
        <w:t>bsa</w:t>
      </w:r>
      <w:r>
        <w:rPr/>
        <w:t>, and SUV</w:t>
      </w:r>
      <w:r>
        <w:rPr>
          <w:vertAlign w:val="subscript"/>
        </w:rPr>
        <w:t>ibw</w:t>
      </w:r>
      <w:r>
        <w:rPr/>
        <w:t xml:space="preserve"> can be computed analogously by replacing body weight by the corresponding normalization factors, as described in the section “Units”.</w:t>
      </w:r>
    </w:p>
    <w:p>
      <w:pPr>
        <w:pStyle w:val="BodyText"/>
        <w:jc w:val="both"/>
        <w:rPr/>
      </w:pPr>
      <w:r>
        <w:rPr/>
        <w:t>E.g., to convert SUV</w:t>
      </w:r>
      <w:r>
        <w:rPr>
          <w:vertAlign w:val="subscript"/>
        </w:rPr>
        <w:t>bw</w:t>
      </w:r>
      <w:r>
        <w:rPr/>
        <w:t xml:space="preserve"> to another SUV type, the original SUV can be multiplied by the corresponding factor and divided by the patient’s weight:</w:t>
      </w:r>
    </w:p>
    <w:p>
      <w:pPr>
        <w:pStyle w:val="BodyText"/>
        <w:jc w:val="both"/>
        <w:rPr/>
      </w:pPr>
      <w:r>
        <w:rPr/>
        <w:t>$$ \text{SUV}_{lbmjames128} = \frac{\text{SUV}_{bw}  \, \text{LBM}_{james128} \, 10^{3}}{\text  W} $$</w:t>
      </w:r>
    </w:p>
    <w:p>
      <w:pPr>
        <w:pStyle w:val="FirstParagraph"/>
        <w:jc w:val="both"/>
        <w:rPr/>
      </w:pPr>
      <w:r>
        <w:rPr/>
        <w:t>$$ \text{SUV}_{lbmjanma} = \frac{\text{SUV}_{bw}  \, \text{LBM}_{janma} \, 10^{3}}{\text  W} $$</w:t>
      </w:r>
    </w:p>
    <w:p>
      <w:pPr>
        <w:pStyle w:val="FirstParagraph"/>
        <w:jc w:val="both"/>
        <w:rPr/>
      </w:pPr>
      <w:r>
        <w:rPr/>
        <w:t>$$ \text{SUV}_{ibw} = \frac{\text{SUV}_{bw}  \, \text{IBW} \, 10^{3}}{\text  W} $$</w:t>
      </w:r>
    </w:p>
    <w:p>
      <w:pPr>
        <w:pStyle w:val="FirstParagraph"/>
        <w:jc w:val="both"/>
        <w:rPr/>
      </w:pPr>
      <w:r>
        <w:rPr/>
        <w:t>$$ \text{SUV}_{bsa} = \frac{\text{SUV}_{bw}  \, \text{BSA} \, 10^{4}}{\text  W} $$</w:t>
      </w:r>
    </w:p>
    <w:p>
      <w:pPr>
        <w:pStyle w:val="FirstParagraph"/>
        <w:jc w:val="both"/>
        <w:rPr/>
      </w:pPr>
      <w:r>
        <w:rPr/>
        <w:t>Note that computing these SUV types may change which attributes are required. As an example, Patient’s Size (0010,1020) is required for all these SUV types, while Patient’s Sex (0010,1040) is only required for SUV</w:t>
      </w:r>
      <w:r>
        <w:rPr>
          <w:vertAlign w:val="subscript"/>
        </w:rPr>
        <w:t>lbmjames128</w:t>
      </w:r>
      <w:r>
        <w:rPr/>
        <w:t>, SUV</w:t>
      </w:r>
      <w:r>
        <w:rPr>
          <w:vertAlign w:val="subscript"/>
        </w:rPr>
        <w:t>lbmjanma</w:t>
      </w:r>
      <w:r>
        <w:rPr/>
        <w:t>, and SUV</w:t>
      </w:r>
      <w:r>
        <w:rPr>
          <w:vertAlign w:val="subscript"/>
        </w:rPr>
        <w:t>ibw</w:t>
      </w:r>
      <w:r>
        <w:rPr/>
        <w:t xml:space="preserve"> except for the cases when the real-world values already correspond to this SUV type. In contrast, Patient’s Weight (0010,1030) is not required to compute SUV</w:t>
      </w:r>
      <w:r>
        <w:rPr>
          <w:vertAlign w:val="subscript"/>
        </w:rPr>
        <w:t>ibw</w:t>
      </w:r>
      <w:r>
        <w:rPr/>
        <w:t>.</w:t>
      </w:r>
    </w:p>
    <w:p>
      <w:pPr>
        <w:pStyle w:val="BodyText"/>
        <w:jc w:val="both"/>
        <w:rPr/>
      </w:pPr>
      <w:bookmarkStart w:id="112" w:name="results"/>
      <w:bookmarkStart w:id="113" w:name="computing-other-suv-types"/>
      <w:r>
        <w:rPr/>
        <w:t xml:space="preserve"> </w:t>
      </w:r>
      <w:bookmarkEnd w:id="112"/>
      <w:bookmarkEnd w:id="113"/>
    </w:p>
    <w:p>
      <w:pPr>
        <w:pStyle w:val="Heading1"/>
        <w:jc w:val="both"/>
        <w:rPr/>
      </w:pPr>
      <w:bookmarkStart w:id="114" w:name="discussion-tbd"/>
      <w:r>
        <w:rPr/>
        <w:t>Discussion (tbd)</w:t>
      </w:r>
    </w:p>
    <w:p>
      <w:pPr>
        <w:pStyle w:val="FirstParagraph"/>
        <w:jc w:val="both"/>
        <w:rPr/>
      </w:pPr>
      <w:r>
        <w:rPr/>
        <w:t xml:space="preserve">In the past, efforts have been made to standardize SUV computation, most notably by the </w:t>
      </w:r>
      <w:hyperlink r:id="rId63">
        <w:r>
          <w:rPr>
            <w:rStyle w:val="Hyperlink"/>
          </w:rPr>
          <w:t>Quantitative Imaging Biomarkers Alliance (QIBA)</w:t>
        </w:r>
      </w:hyperlink>
      <w:r>
        <w:rPr/>
        <w:t xml:space="preserve">. Furthermore, </w:t>
      </w:r>
      <w:hyperlink r:id="rId64">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computation across software platforms and institutions – an aspect that is particularly critical in multi-center studies. Additionaly, a precise specification of the conditions and methodology for SUV computation will facilitate fully automated research and clinical pipelines.</w:t>
      </w:r>
    </w:p>
    <w:p>
      <w:pPr>
        <w:pStyle w:val="BodyText"/>
        <w:jc w:val="both"/>
        <w:rPr/>
      </w:pPr>
      <w:r>
        <w:rPr/>
        <w:t>As a limitation, the analysis and resulting recommendations are partially restricted to three vendors, as data from other vendors were sparse or unavailable both in the metadata analysis and in the literature. We contacted these vendors, however, no response has been received to date.</w:t>
      </w:r>
    </w:p>
    <w:p>
      <w:pPr>
        <w:pStyle w:val="BodyText"/>
        <w:jc w:val="both"/>
        <w:rPr/>
      </w:pPr>
      <w:r>
        <w:rPr/>
        <w:t>…</w:t>
      </w:r>
    </w:p>
    <w:p>
      <w:pPr>
        <w:pStyle w:val="BodyText"/>
        <w:jc w:val="both"/>
        <w:rPr/>
      </w:pPr>
      <w:bookmarkStart w:id="115" w:name="discussion-tbd"/>
      <w:r>
        <w:rPr/>
        <w:t xml:space="preserve"> </w:t>
      </w:r>
      <w:bookmarkEnd w:id="115"/>
    </w:p>
    <w:p>
      <w:pPr>
        <w:pStyle w:val="Heading1"/>
        <w:jc w:val="both"/>
        <w:rPr/>
      </w:pPr>
      <w:r>
        <w:rPr/>
        <w:t>Supplementary material</w:t>
      </w:r>
    </w:p>
    <w:p>
      <w:pPr>
        <w:pStyle w:val="FirstParagraph"/>
        <w:jc w:val="both"/>
        <w:rPr/>
      </w:pPr>
      <w:r>
        <w:rPr/>
      </w:r>
    </w:p>
    <w:p>
      <w:pPr>
        <w:pStyle w:val="TableCaption"/>
        <w:jc w:val="both"/>
        <w:rPr/>
      </w:pPr>
      <w:r>
        <w:rPr/>
        <w:t>Suppl. Table 1: DICOM attributes scanned in the metadata analysis.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Attribute</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Vendor-specific</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0008,0021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SeriesDate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0008,0022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AcquisitionDate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0008,002A</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AcquisitionDateTime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0008,0031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0008,0032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AcquisitionTime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0008,0070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0008,103E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SeriesDescription</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0008,1090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ManufacturerModelName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0009,100D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GEDecayCorrectionDateTime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0009,103B</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GEAdministrationDateTime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0010,0010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PatientName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0010,0020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PatientID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PatientSex</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PatientSize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PatientWeight</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RadiopharmaceuticalStartTime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RadionuclideTotalDose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RadiotracerHalfLifeTime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RadiopharmaceuticalStartDateTime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0018,1242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ActualFrameDuration</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0018,9701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DecayCorrectionDateTime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0028,1052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RescaleIntercept</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0028,1053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RescaleSlope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0054,0300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RadionuclideCodeSequence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0054,1000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SeriesType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0054,1001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0054,1006</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SUVType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0054,1102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DecayCorrection</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0054,1300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FrameReferenceTime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0054,1321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DecayFactor</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0054,1322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DoseCalibrationFactor</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0071,1022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SiemensDecayCorrectionDateTime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Siemens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7053,1000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PhilipsSUVScaleFactor</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7053,1009</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PhilipsActivityConcentrationScaleFactor</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w:t>
            </w:r>
          </w:p>
        </w:tc>
      </w:tr>
    </w:tbl>
    <w:p>
      <w:pPr>
        <w:pStyle w:val="BodyText"/>
        <w:jc w:val="both"/>
        <w:rPr/>
      </w:pPr>
      <w:r>
        <w:rPr/>
      </w:r>
    </w:p>
    <w:p>
      <w:pPr>
        <w:pStyle w:val="TableCaption"/>
        <w:jc w:val="both"/>
        <w:rPr/>
      </w:pPr>
      <w:r>
        <w:rPr/>
        <w:t>Suppl. Table 2: DICOM attributes required for SUV</w:t>
      </w:r>
      <w:r>
        <w:rPr>
          <w:vertAlign w:val="subscript"/>
        </w:rPr>
        <w:t>bw</w:t>
      </w:r>
      <w:r>
        <w:rPr/>
        <w:t xml:space="preserve"> computation in images from the Positron Emission Tomography SOP class. Note that some of them are only required conditionally, depending on the combination of values of other attributes.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AttributeName</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VR</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0008,0016</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SOP Class UID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UI</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Should be “1.2.840.10008.5.1.4.1.1.128”</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0008,0021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 Date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0008,0022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Acquisition Date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0008,0031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Series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TM</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0008,0032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Acquisition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Should be “PT”</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0008,0070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Manufacturer</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LO</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0009,100D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 Private Scan Start DateTime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Sex</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“M”, “F”, or “O”</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Size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Weight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kg;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TM</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Bq;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Radiotracer Half Life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sec;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0018,1242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Actual Frame Duration</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IS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0028,1052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Rescale Intercept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0028,1053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Rescale Slope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0054,1001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“BQML”, “GML”, “CM2ML”, “CNTS”</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0054,1006</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SUV Type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“BW”, “LBM”, “LBMJAMES128”, “LBMJANMA”, “IBW”, or “BSA”</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0054,1102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“ADMIN”, “START”, “NONE”</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0054,1300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Frame Reference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0071,1022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Siemens Private Scan Start DateTime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7053,1000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 SUV Scale Factor</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7053,1009</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Philips Activity Concentration Scale Factor</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Private – name, type, and VR not defined by DICOM standards</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7fe0,0010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Pixel Data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OB/OW</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Standardly a 2-dimensional object</w:t>
            </w:r>
          </w:p>
        </w:tc>
      </w:tr>
    </w:tbl>
    <w:p>
      <w:pPr>
        <w:pStyle w:val="BodyText"/>
        <w:jc w:val="both"/>
        <w:rPr/>
      </w:pPr>
      <w:r>
        <w:rPr/>
      </w:r>
    </w:p>
    <w:p>
      <w:pPr>
        <w:pStyle w:val="BodyText"/>
        <w:jc w:val="both"/>
        <w:rPr/>
      </w:pPr>
      <w:r>
        <w:rPr/>
      </w:r>
    </w:p>
    <w:p>
      <w:pPr>
        <w:pStyle w:val="TableCaption"/>
        <w:jc w:val="both"/>
        <w:rPr/>
      </w:pPr>
      <w:r>
        <w:rPr/>
        <w:t>Suppl. Table 3: DICOM attributes required for SUV</w:t>
      </w:r>
      <w:r>
        <w:rPr>
          <w:vertAlign w:val="subscript"/>
        </w:rPr>
        <w:t>bw</w:t>
      </w:r>
      <w:r>
        <w:rPr/>
        <w:t xml:space="preserve"> computation in images from the Enhanced PET SOP class. Note that some of them are only required conditionally, depending on the combination of values of other attributes.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DICOMTag</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AttributeName</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VR</w:t>
            </w:r>
          </w:p>
        </w:tc>
        <w:tc>
          <w:tcPr>
            <w:tcW w:w="1584"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0008,0016</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SOP Class UID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UI</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Should be “1.2.840.10008.5.1.4.1.1.130”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0008,0060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Modality</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Should be “PT”</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0010,0040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Sex</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“M”, “F”, or “O”</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0010,1020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Size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0010,1030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Patient Weight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kg;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0018,1074</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Bq;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0018,1075</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Radiotracer Half Life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sec; should be &gt;0</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0018,1078</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 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7fe0,0010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Pixel Data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OB/OW</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Standardly a 3-dimensional object</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0040,9224</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Real World Value Intercept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Preferrably from the per-frame functional group</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0040,9225</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Real World Value Slope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Preferrably from the per-frame functional group</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0018,9758</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Corrected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CS</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Possible values: “YES” or “NO”</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0018,9701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Datetime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0018,9220</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Frame Acquisition Duration</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FD</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Standard unit: msec; should be &gt;0; preferrably from the per-frame functional group</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0018,9074</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Frame Acquisition Datetime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Preferrably from the per-frame functional group</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0018,9151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Frame Reference Datetime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1C</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DT</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Preferrably from the per-frame functional group</w:t>
            </w:r>
          </w:p>
        </w:tc>
      </w:tr>
      <w:tr>
        <w:trPr/>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0040,08EA</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Measurement Units Code Sequence</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SQ</w:t>
            </w:r>
          </w:p>
        </w:tc>
        <w:tc>
          <w:tcPr>
            <w:tcW w:w="1584"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 stored either as Code Value, Long Code Value, or URN Code Value. Should correspond to Bq/ml, g/ml, or cm2/ml.</w:t>
            </w:r>
          </w:p>
        </w:tc>
      </w:tr>
    </w:tbl>
    <w:p>
      <w:pPr>
        <w:pStyle w:val="BodyText"/>
        <w:jc w:val="both"/>
        <w:rPr/>
      </w:pPr>
      <w:r>
        <w:rPr/>
      </w:r>
    </w:p>
    <w:p>
      <w:pPr>
        <w:pStyle w:val="BodyText"/>
        <w:jc w:val="both"/>
        <w:rPr/>
      </w:pPr>
      <w:r>
        <w:rPr/>
      </w:r>
    </w:p>
    <w:p>
      <w:pPr>
        <w:pStyle w:val="TableCaption"/>
        <w:jc w:val="both"/>
        <w:rPr/>
      </w:pPr>
      <w:r>
        <w:rPr/>
        <w:t>Suppl. Table 4: List of created DROs to verify SUV</w:t>
      </w:r>
      <w:r>
        <w:rPr>
          <w:vertAlign w:val="subscript"/>
        </w:rPr>
        <w:t>bw</w:t>
      </w:r>
      <w:r>
        <w:rPr/>
        <w:t xml:space="preserve"> computation.</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264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DRO_0_0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Default DRO of the Positron Emission Tomography Image Storage SOP class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rescaleslope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DRO_1_0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multiple values Rescale Slope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SUVbw</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DRO_2_1_0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SUVlbmjames128</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DRO_2_1_1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SUVlbmjames128</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DRO_2_1_2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SUVlbmjames128</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DRO_2_2_0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SUVibw</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DRO_2_2_1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SUVibw</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DRO_2_2_2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SUVibw</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“CM2ML” corresponding to SUVbsa</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DRO_2_4</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using Philips SUV scale factor</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DRO_2_5</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using Philips activity scale factor</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DRO_2_6_0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“M” corresponding to SUVlbmjanma</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DRO_2_6_1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“F” corresponding to SUVlbmjanma</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DRO_2_6_2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with Patient’s Sex is “O” corresponding to SUVlbmjanma</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 in MBq</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“ADMIN”</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DRO_3_2_0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SIEMENS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DRO_3_2_1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DRO_3_2_2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PHILIPS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DRO_3_2_3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SYNTHETIC</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DRO_3_3_0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and private scan start datetime present SIEMENS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DRO_3_3_1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after Acquisition Date/Time and private scan start datetime present 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DRO_3_4_0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SIEMENS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DRO_3_4_1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DRO_3_4_2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PHILIPS and Units are CNTS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DRO_3_4_3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“NONE” and multiple values Acquisition Date/Time SYNTHETIC</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DRO_3_5_0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SIEMENS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DRO_3_5_1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GE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DRO_3_5_2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PHILIPS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DRO_3_5_3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Decay Correction is “START” but Series Date/Time equal to Acquisition Date/Time SYNTHETIC</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DateTime present and Radiopharmaceutical Start Time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Radiopharmaceutical Start Time present and Radiopharmaceutical Start DateTime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Radiopharmaceutical Start DateTime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Radiopharmaceutical Start DateTime present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DRO_4_4</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Uptake time sparing midnight and anonymized Acquisiiton Date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DRO_4_5</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Zr89 and uptake time more than 24 hours and Radiopharmaceutical Start DateTime present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halflife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DRO_5_0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Ga68</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DRO_7_0_0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Default DRO of the Enhaced PET Image Storage SOP class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DRO_7_1_0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multiple values Rescale Slope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DRO_7_2_0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Units are “GML” corresponding to SUVbw</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DRO_7_3_0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Series Date/Time after Decay Correction Datetime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DRO_7_3_1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Enhanced PET and DecayCorrected = “NO” and multiple values Frame Reference DateTime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“BQML” and Patient’s Weight is missing</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“BQML” and Patient’s Weight is 0</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Sex is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DRO_error_2_3</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Sex has other value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DRO_error_2_4</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Size is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DRO_error_2_5</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“GML” corresponding to SUVibw and Patient’s Size is 0</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DRO_error_2_6</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“CNTS” and both activity scale factor and SUV scale factor are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DRO_error_2_7</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Units are “PROPCNTS”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DRO_error_3_0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 is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DRO_error_3_1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Total Dose is negative</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dose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DRO_error_3_2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Actual Frame Duration is absent and not GE – 3 series with “BQML” and Decay Correction START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DRO_error_4_0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Both Radiopharmaceutical Start Time and Radiopharmaceutical Start DateTime are absent</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DRO_error_4_1</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Uptake time more than 24 hours and Radiopharmaceutcial Start DateTime is absent – seen in 63 series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admintime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DRO_error_4_2</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Uptake time more than 24 hours and Radiopharmaceutcial Start DateTime is anonymized – seen in 2 series</w:t>
            </w:r>
          </w:p>
        </w:tc>
      </w:tr>
      <w:tr>
        <w:trPr/>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halflife</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DRO_error_5_0</w:t>
            </w:r>
          </w:p>
        </w:tc>
        <w:tc>
          <w:tcPr>
            <w:tcW w:w="264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Radionuclide Half Life is absent</w:t>
            </w:r>
            <w:bookmarkStart w:id="116" w:name="supplementary-material"/>
            <w:bookmarkEnd w:id="116"/>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upperLetter"/>
      <w:lvlText w:val="%1)"/>
      <w:lvlJc w:val="left"/>
      <w:pPr>
        <w:tabs>
          <w:tab w:val="num" w:pos="0"/>
        </w:tabs>
        <w:ind w:left="720" w:hanging="480"/>
      </w:pPr>
      <w:rPr/>
    </w:lvl>
    <w:lvl w:ilvl="1">
      <w:start w:val="1"/>
      <w:numFmt w:val="upperLetter"/>
      <w:lvlText w:val="%2)"/>
      <w:lvlJc w:val="left"/>
      <w:pPr>
        <w:tabs>
          <w:tab w:val="num" w:pos="0"/>
        </w:tabs>
        <w:ind w:left="1440" w:hanging="480"/>
      </w:pPr>
      <w:rPr/>
    </w:lvl>
    <w:lvl w:ilvl="2">
      <w:start w:val="1"/>
      <w:numFmt w:val="upperLetter"/>
      <w:lvlText w:val="%3)"/>
      <w:lvlJc w:val="left"/>
      <w:pPr>
        <w:tabs>
          <w:tab w:val="num" w:pos="0"/>
        </w:tabs>
        <w:ind w:left="2160" w:hanging="480"/>
      </w:pPr>
      <w:rPr/>
    </w:lvl>
    <w:lvl w:ilvl="3">
      <w:start w:val="1"/>
      <w:numFmt w:val="upperLetter"/>
      <w:lvlText w:val="%4)"/>
      <w:lvlJc w:val="left"/>
      <w:pPr>
        <w:tabs>
          <w:tab w:val="num" w:pos="0"/>
        </w:tabs>
        <w:ind w:left="2880" w:hanging="480"/>
      </w:pPr>
      <w:rPr/>
    </w:lvl>
    <w:lvl w:ilvl="4">
      <w:start w:val="1"/>
      <w:numFmt w:val="upperLetter"/>
      <w:lvlText w:val="%5)"/>
      <w:lvlJc w:val="left"/>
      <w:pPr>
        <w:tabs>
          <w:tab w:val="num" w:pos="0"/>
        </w:tabs>
        <w:ind w:left="3600" w:hanging="480"/>
      </w:pPr>
      <w:rPr/>
    </w:lvl>
    <w:lvl w:ilvl="5">
      <w:start w:val="1"/>
      <w:numFmt w:val="upperLetter"/>
      <w:lvlText w:val="%6)"/>
      <w:lvlJc w:val="left"/>
      <w:pPr>
        <w:tabs>
          <w:tab w:val="num" w:pos="0"/>
        </w:tabs>
        <w:ind w:left="4320" w:hanging="480"/>
      </w:pPr>
      <w:rPr/>
    </w:lvl>
    <w:lvl w:ilvl="6">
      <w:start w:val="1"/>
      <w:numFmt w:val="upperLetter"/>
      <w:lvlText w:val="%7)"/>
      <w:lvlJc w:val="left"/>
      <w:pPr>
        <w:tabs>
          <w:tab w:val="num" w:pos="0"/>
        </w:tabs>
        <w:ind w:left="5040" w:hanging="480"/>
      </w:pPr>
      <w:rPr/>
    </w:lvl>
    <w:lvl w:ilvl="7">
      <w:start w:val="1"/>
      <w:numFmt w:val="upperLetter"/>
      <w:lvlText w:val="%8)"/>
      <w:lvlJc w:val="left"/>
      <w:pPr>
        <w:tabs>
          <w:tab w:val="num" w:pos="0"/>
        </w:tabs>
        <w:ind w:left="5760" w:hanging="480"/>
      </w:pPr>
      <w:rPr/>
    </w:lvl>
    <w:lvl w:ilvl="8">
      <w:start w:val="1"/>
      <w:numFmt w:val="upperLetter"/>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upperLetter"/>
      <w:lvlText w:val="%1)"/>
      <w:lvlJc w:val="left"/>
      <w:pPr>
        <w:tabs>
          <w:tab w:val="num" w:pos="0"/>
        </w:tabs>
        <w:ind w:left="720" w:hanging="480"/>
      </w:pPr>
      <w:rPr/>
    </w:lvl>
    <w:lvl w:ilvl="1">
      <w:start w:val="1"/>
      <w:numFmt w:val="upperLetter"/>
      <w:lvlText w:val="%2)"/>
      <w:lvlJc w:val="left"/>
      <w:pPr>
        <w:tabs>
          <w:tab w:val="num" w:pos="0"/>
        </w:tabs>
        <w:ind w:left="1440" w:hanging="480"/>
      </w:pPr>
      <w:rPr/>
    </w:lvl>
    <w:lvl w:ilvl="2">
      <w:start w:val="1"/>
      <w:numFmt w:val="upperLetter"/>
      <w:lvlText w:val="%3)"/>
      <w:lvlJc w:val="left"/>
      <w:pPr>
        <w:tabs>
          <w:tab w:val="num" w:pos="0"/>
        </w:tabs>
        <w:ind w:left="2160" w:hanging="480"/>
      </w:pPr>
      <w:rPr/>
    </w:lvl>
    <w:lvl w:ilvl="3">
      <w:start w:val="1"/>
      <w:numFmt w:val="upperLetter"/>
      <w:lvlText w:val="%4)"/>
      <w:lvlJc w:val="left"/>
      <w:pPr>
        <w:tabs>
          <w:tab w:val="num" w:pos="0"/>
        </w:tabs>
        <w:ind w:left="2880" w:hanging="480"/>
      </w:pPr>
      <w:rPr/>
    </w:lvl>
    <w:lvl w:ilvl="4">
      <w:start w:val="1"/>
      <w:numFmt w:val="upperLetter"/>
      <w:lvlText w:val="%5)"/>
      <w:lvlJc w:val="left"/>
      <w:pPr>
        <w:tabs>
          <w:tab w:val="num" w:pos="0"/>
        </w:tabs>
        <w:ind w:left="3600" w:hanging="480"/>
      </w:pPr>
      <w:rPr/>
    </w:lvl>
    <w:lvl w:ilvl="5">
      <w:start w:val="1"/>
      <w:numFmt w:val="upperLetter"/>
      <w:lvlText w:val="%6)"/>
      <w:lvlJc w:val="left"/>
      <w:pPr>
        <w:tabs>
          <w:tab w:val="num" w:pos="0"/>
        </w:tabs>
        <w:ind w:left="4320" w:hanging="480"/>
      </w:pPr>
      <w:rPr/>
    </w:lvl>
    <w:lvl w:ilvl="6">
      <w:start w:val="1"/>
      <w:numFmt w:val="upperLetter"/>
      <w:lvlText w:val="%7)"/>
      <w:lvlJc w:val="left"/>
      <w:pPr>
        <w:tabs>
          <w:tab w:val="num" w:pos="0"/>
        </w:tabs>
        <w:ind w:left="5040" w:hanging="480"/>
      </w:pPr>
      <w:rPr/>
    </w:lvl>
    <w:lvl w:ilvl="7">
      <w:start w:val="1"/>
      <w:numFmt w:val="upperLetter"/>
      <w:lvlText w:val="%8)"/>
      <w:lvlJc w:val="left"/>
      <w:pPr>
        <w:tabs>
          <w:tab w:val="num" w:pos="0"/>
        </w:tabs>
        <w:ind w:left="5760" w:hanging="480"/>
      </w:pPr>
      <w:rPr/>
    </w:lvl>
    <w:lvl w:ilvl="8">
      <w:start w:val="1"/>
      <w:numFmt w:val="upperLetter"/>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2"/>
  </w:num>
  <w:num w:numId="52">
    <w:abstractNumId w:val="2"/>
  </w:num>
  <w:num w:numId="53">
    <w:abstractNumId w:val="4"/>
    <w:lvlOverride w:ilvl="0">
      <w:startOverride w:val="1"/>
    </w:lvlOverride>
  </w:num>
  <w:num w:numId="54">
    <w:abstractNumId w:val="2"/>
  </w:num>
  <w:num w:numId="55">
    <w:abstractNumId w:val="2"/>
  </w:num>
  <w:num w:numId="56">
    <w:abstractNumId w:val="6"/>
    <w:lvlOverride w:ilvl="0">
      <w:startOverride w:val="1"/>
    </w:lvlOverride>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6"/>
    <w:lvlOverride w:ilvl="0">
      <w:startOverride w:val="1"/>
    </w:lvlOverride>
  </w:num>
  <w:num w:numId="66">
    <w:abstractNumId w:val="6"/>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marketing.webassets.siemens-healthineers.com/e224b4e95f62dbd6/b4ec4dc662f0/MI_DCS_Horizon_VJ30.pdf?ste_sid=4472df6cb8103bfe5fad8589b711dce6" TargetMode="External"/><Relationship Id="rId54" Type="http://schemas.openxmlformats.org/officeDocument/2006/relationships/hyperlink" Target="https://qibawiki.rsna.org/index.php/Standardized_Uptake_Value_(SUV)" TargetMode="External"/><Relationship Id="rId55" Type="http://schemas.openxmlformats.org/officeDocument/2006/relationships/hyperlink" Target="https://arxiv.org/pdf/2410.13348" TargetMode="External"/><Relationship Id="rId56"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7" Type="http://schemas.openxmlformats.org/officeDocument/2006/relationships/hyperlink" Target="https://qibawiki.rsna.org/index.php/Standardized_Uptake_Value_(SUV)" TargetMode="External"/><Relationship Id="rId58" Type="http://schemas.openxmlformats.org/officeDocument/2006/relationships/hyperlink" Target="https://marketing.webassets.siemens-healthineers.com/c0e861a25663344e/a3fb836ba935/MI_DCS_Vision_VG80.pdf?ste_sid=4472df6cb8103bfe5fad8589b711dce6" TargetMode="External"/><Relationship Id="rId59" Type="http://schemas.openxmlformats.org/officeDocument/2006/relationships/hyperlink" Target="https://arxiv.org/pdf/2410.13348" TargetMode="External"/><Relationship Id="rId60" Type="http://schemas.openxmlformats.org/officeDocument/2006/relationships/hyperlink" Target="https://www.dicomstandard.org/" TargetMode="External"/><Relationship Id="rId61" Type="http://schemas.openxmlformats.org/officeDocument/2006/relationships/image" Target="media/image2.png"/><Relationship Id="rId62" Type="http://schemas.openxmlformats.org/officeDocument/2006/relationships/hyperlink" Target="https://dicom.nema.org/medical/dicom/current/output/chtml/part03/sect_c.8.9.2.html" TargetMode="External"/><Relationship Id="rId63" Type="http://schemas.openxmlformats.org/officeDocument/2006/relationships/hyperlink" Target="https://qibawiki.rsna.org/index.php/Main_Page" TargetMode="External"/><Relationship Id="rId64" Type="http://schemas.openxmlformats.org/officeDocument/2006/relationships/hyperlink" Target="https://depts.washington.edu/petctdro/index.html" TargetMode="Externa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2026-06-22T08:46:20Z</dcterms:created>
  <dc:creator/>
  <dc:description/>
  <dc:language>en-US</dc:language>
  <cp:lastModifiedBy/>
  <dcterms:modified xsi:type="dcterms:W3CDTF">2026-06-22T10:47:41Z</dcterms:modified>
  <cp:revision>1</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3.0</vt:lpwstr>
  </property>
</Properties>
</file>