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Comprehensive Manual for SUV Computation and Digital Reference Objects for its Verification</w:t>
      </w:r>
    </w:p>
    <w:p>
      <w:pPr>
        <w:pStyle w:val="Subtitle"/>
        <w:rPr/>
      </w:pPr>
      <w:r>
        <w:rPr/>
        <w:t>Working version 2.0</w:t>
      </w:r>
    </w:p>
    <w:p>
      <w:pPr>
        <w:pStyle w:val="FirstParagraph"/>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3,4,5</w:t>
      </w:r>
      <w:r>
        <w:rPr/>
        <w:t xml:space="preserve">, Steffen Löck </w:t>
      </w:r>
      <w:r>
        <w:rPr>
          <w:vertAlign w:val="superscript"/>
        </w:rPr>
        <w:t>1,2,6,7,8</w:t>
      </w:r>
      <w:r>
        <w:rPr/>
        <w:t xml:space="preserve">, Alex Zwanenburg </w:t>
      </w:r>
      <w:r>
        <w:rPr>
          <w:vertAlign w:val="superscript"/>
        </w:rPr>
        <w:t>1,6</w:t>
      </w:r>
    </w:p>
    <w:p>
      <w:pPr>
        <w:pStyle w:val="BodyText"/>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rPr/>
      </w:pPr>
      <w:r>
        <w:rPr>
          <w:vertAlign w:val="superscript"/>
        </w:rPr>
        <w:t>2</w:t>
      </w:r>
      <w:r>
        <w:rPr/>
        <w:t>Helmholtz-Zentrum Dresden-Rossendorf, Institute of Radiooncology - OncoRay, Dresden, Germany</w:t>
      </w:r>
    </w:p>
    <w:p>
      <w:pPr>
        <w:pStyle w:val="BodyText"/>
        <w:rPr/>
      </w:pPr>
      <w:r>
        <w:rPr>
          <w:vertAlign w:val="superscript"/>
        </w:rPr>
        <w:t>3</w:t>
      </w:r>
      <w:r>
        <w:rPr/>
        <w:t>Institute of Radiopharmaceutical Cancer Research, Helmholtz-Zentrum Dresden-Rossendorf, Dresden, Germany</w:t>
      </w:r>
    </w:p>
    <w:p>
      <w:pPr>
        <w:pStyle w:val="BodyText"/>
        <w:rPr/>
      </w:pPr>
      <w:r>
        <w:rPr>
          <w:vertAlign w:val="superscript"/>
        </w:rPr>
        <w:t>4</w:t>
      </w:r>
      <w:r>
        <w:rPr/>
        <w:t>Department of Nuclear Medicine, University Hospital Carl Gustav Carus, Technische Universität Dresden, Dresden, Germany</w:t>
      </w:r>
    </w:p>
    <w:p>
      <w:pPr>
        <w:pStyle w:val="BodyText"/>
        <w:rPr/>
      </w:pPr>
      <w:r>
        <w:rPr>
          <w:vertAlign w:val="superscript"/>
        </w:rPr>
        <w:t>5</w:t>
      </w:r>
      <w:r>
        <w:rPr/>
        <w:t>Carl Gustav Carus Faculty of Medicine, Technische Universität Dresden, Dresden, Germany</w:t>
      </w:r>
    </w:p>
    <w:p>
      <w:pPr>
        <w:pStyle w:val="BodyText"/>
        <w:rPr/>
      </w:pPr>
      <w:r>
        <w:rPr>
          <w:vertAlign w:val="superscript"/>
        </w:rPr>
        <w:t>6</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rPr/>
      </w:pPr>
      <w:r>
        <w:rPr>
          <w:vertAlign w:val="superscript"/>
        </w:rPr>
        <w:t>7</w:t>
      </w:r>
      <w:r>
        <w:rPr/>
        <w:t>Department of Radiotherapy and Radiation Oncology, Faculty of Medicine and University Hospital Carl Gustav Carus, Technische Universität Dresden, Dresden, Germany</w:t>
      </w:r>
    </w:p>
    <w:p>
      <w:pPr>
        <w:pStyle w:val="BodyText"/>
        <w:rPr/>
      </w:pPr>
      <w:r>
        <w:rPr>
          <w:vertAlign w:val="superscript"/>
        </w:rPr>
        <w:t>8</w:t>
      </w:r>
      <w:r>
        <w:rPr/>
        <w:t>German Cancer Consortium, partner site Dresden, and German Cancer Research Center, Heidelberg, Germany</w:t>
      </w:r>
    </w:p>
    <w:p>
      <w:pPr>
        <w:pStyle w:val="BodyText"/>
        <w:rPr/>
      </w:pPr>
      <w:r>
        <w:rPr/>
        <w:t>$ Participants and their affiliations are to be specified.</w:t>
      </w:r>
    </w:p>
    <w:p>
      <w:pPr>
        <w:pStyle w:val="BodyText"/>
        <w:rPr/>
      </w:pPr>
      <w:r>
        <w:rPr/>
      </w:r>
    </w:p>
    <w:p>
      <w:pPr>
        <w:pStyle w:val="Heading1"/>
        <w:rPr/>
      </w:pPr>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the viewing or analytical tools in order to convert the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software tools. This can give rise to two potential issues:</w:t>
      </w:r>
    </w:p>
    <w:p>
      <w:pPr>
        <w:pStyle w:val="Compact"/>
        <w:numPr>
          <w:ilvl w:val="0"/>
          <w:numId w:val="2"/>
        </w:numPr>
        <w:jc w:val="both"/>
        <w:rPr/>
      </w:pPr>
      <w:r>
        <w:rPr/>
        <w:t>incorrect or inconsistent SUV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by software tools, we aim to:</w:t>
      </w:r>
    </w:p>
    <w:p>
      <w:pPr>
        <w:pStyle w:val="Compact"/>
        <w:numPr>
          <w:ilvl w:val="0"/>
          <w:numId w:val="90"/>
        </w:numPr>
        <w:jc w:val="both"/>
        <w:rPr/>
      </w:pPr>
      <w:r>
        <w:rPr/>
        <w:t>verify that SUV</w:t>
      </w:r>
      <w:r>
        <w:rPr>
          <w:vertAlign w:val="subscript"/>
        </w:rPr>
        <w:t>bw</w:t>
      </w:r>
      <w:r>
        <w:rPr/>
        <w:t xml:space="preserve"> is computed correctly;</w:t>
      </w:r>
    </w:p>
    <w:p>
      <w:pPr>
        <w:pStyle w:val="Compact"/>
        <w:numPr>
          <w:ilvl w:val="0"/>
          <w:numId w:val="91"/>
        </w:numPr>
        <w:jc w:val="both"/>
        <w:rPr/>
      </w:pPr>
      <w:r>
        <w:rPr/>
        <w:t>maximize the number of PET imaging series that can be used for quantitative image analysis.</w:t>
      </w:r>
    </w:p>
    <w:p>
      <w:pPr>
        <w:pStyle w:val="FirstParagraph"/>
        <w:jc w:val="both"/>
        <w:rPr/>
      </w:pPr>
      <w:r>
        <w:rPr/>
        <w:t>Therefore, we:</w:t>
      </w:r>
    </w:p>
    <w:p>
      <w:pPr>
        <w:pStyle w:val="Compact"/>
        <w:numPr>
          <w:ilvl w:val="0"/>
          <w:numId w:val="92"/>
        </w:numPr>
        <w:jc w:val="both"/>
        <w:rPr/>
      </w:pPr>
      <w:r>
        <w:rPr/>
        <w:t>studied how PET images are stored in real-world imaging DICOM files;</w:t>
      </w:r>
    </w:p>
    <w:p>
      <w:pPr>
        <w:pStyle w:val="Compact"/>
        <w:numPr>
          <w:ilvl w:val="0"/>
          <w:numId w:val="93"/>
        </w:numPr>
        <w:jc w:val="both"/>
        <w:rPr/>
      </w:pPr>
      <w:r>
        <w:rPr/>
        <w:t>summarized the instructions on how to read these files and calculate SUV</w:t>
      </w:r>
      <w:r>
        <w:rPr>
          <w:vertAlign w:val="subscript"/>
        </w:rPr>
        <w:t>bw</w:t>
      </w:r>
      <w:r>
        <w:rPr/>
        <w:t>;</w:t>
      </w:r>
    </w:p>
    <w:p>
      <w:pPr>
        <w:pStyle w:val="Compact"/>
        <w:numPr>
          <w:ilvl w:val="0"/>
          <w:numId w:val="94"/>
        </w:numPr>
        <w:jc w:val="both"/>
        <w:rPr/>
      </w:pPr>
      <w:r>
        <w:rPr/>
        <w:t>generated a set of representative digital reference objects (DROs) to assess whether imaging software can accurately interpret diverse PET DICOM formats.</w:t>
      </w:r>
    </w:p>
    <w:p>
      <w:pPr>
        <w:pStyle w:val="FirstParagraph"/>
        <w:rPr/>
      </w:pPr>
      <w:bookmarkStart w:id="0" w:name="introduction"/>
      <w:r>
        <w:rPr/>
        <w:t xml:space="preserve"> </w:t>
      </w:r>
      <w:bookmarkEnd w:id="0"/>
    </w:p>
    <w:p>
      <w:pPr>
        <w:pStyle w:val="Heading1"/>
        <w:rPr/>
      </w:pPr>
      <w:r>
        <w:rPr/>
        <w:t>Methods</w:t>
      </w:r>
    </w:p>
    <w:p>
      <w:pPr>
        <w:pStyle w:val="Heading2"/>
        <w:rPr/>
      </w:pPr>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95"/>
        </w:numPr>
        <w:jc w:val="both"/>
        <w:rPr/>
      </w:pPr>
      <w:hyperlink r:id="rId3">
        <w:r>
          <w:rPr>
            <w:rStyle w:val="Hyperlink"/>
          </w:rPr>
          <w:t>The Cancer Imaging Archive</w:t>
        </w:r>
      </w:hyperlink>
      <w:r>
        <w:rPr/>
        <w:t xml:space="preserve"> Radiology Portal</w:t>
      </w:r>
    </w:p>
    <w:p>
      <w:pPr>
        <w:pStyle w:val="Compact"/>
        <w:numPr>
          <w:ilvl w:val="0"/>
          <w:numId w:val="96"/>
        </w:numPr>
        <w:jc w:val="both"/>
        <w:rPr/>
      </w:pPr>
      <w:r>
        <w:rPr/>
        <w:t>our internal imaging archives</w:t>
      </w:r>
    </w:p>
    <w:p>
      <w:pPr>
        <w:pStyle w:val="FirstParagraph"/>
        <w:jc w:val="both"/>
        <w:rPr/>
      </w:pPr>
      <w:r>
        <w:rPr/>
        <w:t>We identified 37 cohorts containing relevant PET imaging data:</w:t>
      </w:r>
    </w:p>
    <w:p>
      <w:pPr>
        <w:pStyle w:val="BodyText"/>
        <w:jc w:val="both"/>
        <w:rPr/>
      </w:pP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Internal-Berlin, Internal-Dresden, Internal-Munich,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BodyText"/>
        <w:jc w:val="both"/>
        <w:rPr/>
      </w:pPr>
      <w:bookmarkStart w:id="1" w:name="metadata-analysis"/>
      <w:r>
        <w:rPr/>
        <w:t>We excluded imaging series without attenuation correction and detector normalization applied, as well as series with only one image within, maximum intensity projections and other reprojections. For all remaining series, we scanned a preselected set of attributes (listed in Suppl. Table 1) and analyzed how they were used in practice.</w:t>
      </w:r>
      <w:bookmarkEnd w:id="1"/>
    </w:p>
    <w:p>
      <w:pPr>
        <w:pStyle w:val="Heading2"/>
        <w:jc w:val="both"/>
        <w:rPr/>
      </w:pPr>
      <w:bookmarkStart w:id="2" w:name="manual-for-pet-dicom-suvbw-conversion"/>
      <w:r>
        <w:rPr/>
        <w:t>Manual for PET DICOM SUV</w:t>
      </w:r>
      <w:r>
        <w:rPr>
          <w:vertAlign w:val="subscript"/>
        </w:rPr>
        <w:t>bw</w:t>
      </w:r>
      <w:r>
        <w:rPr/>
        <w:t xml:space="preserve"> conversion</w:t>
      </w:r>
    </w:p>
    <w:p>
      <w:pPr>
        <w:pStyle w:val="FirstParagraph"/>
        <w:jc w:val="both"/>
        <w:rPr/>
      </w:pPr>
      <w:r>
        <w:rPr/>
        <w:t>Based on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converting PET images into SUV</w:t>
      </w:r>
      <w:r>
        <w:rPr>
          <w:vertAlign w:val="subscript"/>
        </w:rPr>
        <w:t>bw</w:t>
      </w:r>
      <w:r>
        <w:rPr/>
        <w:t>-normalized images. Suppl. Fig. 1 includes a diagram summarizing the recommended strategy.</w:t>
      </w:r>
      <w:bookmarkEnd w:id="2"/>
    </w:p>
    <w:p>
      <w:pPr>
        <w:pStyle w:val="Heading2"/>
        <w:jc w:val="both"/>
        <w:rPr/>
      </w:pPr>
      <w:r>
        <w:rPr/>
        <w:t>Construction of digital reference objects</w:t>
      </w:r>
    </w:p>
    <w:p>
      <w:pPr>
        <w:pStyle w:val="FirstParagraph"/>
        <w:jc w:val="both"/>
        <w:rPr/>
      </w:pPr>
      <w:r>
        <w:rPr/>
        <w:t xml:space="preserve">Furthermore, we assembled a comprehensive set of digital reference objects (DROs) for verifying SUV conversion. All DRO DICOM files were synthesized de novo using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surrounding zero-activity region (SUV</w:t>
      </w:r>
      <w:r>
        <w:rPr>
          <w:vertAlign w:val="subscript"/>
        </w:rPr>
        <w:t>bw</w:t>
      </w:r>
      <w:r>
        <w:rPr/>
        <w:t xml:space="preserve"> = 0.00) (See Fig.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a software tool computes the SUV</w:t>
      </w:r>
      <w:r>
        <w:rPr>
          <w:vertAlign w:val="subscript"/>
        </w:rPr>
        <w:t>bw</w:t>
      </w:r>
      <w:r>
        <w:rPr/>
        <w:t xml:space="preserve"> correctly, either:</w:t>
      </w:r>
    </w:p>
    <w:p>
      <w:pPr>
        <w:pStyle w:val="Normal"/>
        <w:numPr>
          <w:ilvl w:val="0"/>
          <w:numId w:val="97"/>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98"/>
        </w:numPr>
        <w:jc w:val="both"/>
        <w:rPr/>
      </w:pPr>
      <w:r>
        <w:rPr/>
        <w:t>convert the DRO DICOM file to SUV</w:t>
      </w:r>
      <w:r>
        <w:rPr>
          <w:vertAlign w:val="subscript"/>
        </w:rPr>
        <w:t>bw</w:t>
      </w:r>
      <w:r>
        <w:rPr/>
        <w:t xml:space="preserve"> and extract the DRO maximum, minimum, and median SUV</w:t>
      </w:r>
      <w:r>
        <w:rPr>
          <w:vertAlign w:val="subscript"/>
        </w:rPr>
        <w:t>bw</w:t>
      </w:r>
      <w:r>
        <w:rPr/>
        <w:t xml:space="preserve"> values from the ROI;</w:t>
      </w:r>
    </w:p>
    <w:p>
      <w:pPr>
        <w:pStyle w:val="Normal"/>
        <w:numPr>
          <w:ilvl w:val="0"/>
          <w:numId w:val="99"/>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values should be calculated with a precision of two decimal digits. The target values are identical across all cases and are defined as follows:</w:t>
      </w:r>
    </w:p>
    <w:p>
      <w:pPr>
        <w:pStyle w:val="Compact"/>
        <w:numPr>
          <w:ilvl w:val="0"/>
          <w:numId w:val="100"/>
        </w:numPr>
        <w:jc w:val="both"/>
        <w:rPr/>
      </w:pPr>
      <w:r>
        <w:rPr/>
        <w:t>Hot sphere / maximum DRO value = 4.00 SUV</w:t>
      </w:r>
      <w:r>
        <w:rPr>
          <w:vertAlign w:val="subscript"/>
        </w:rPr>
        <w:t>bw</w:t>
      </w:r>
    </w:p>
    <w:p>
      <w:pPr>
        <w:pStyle w:val="Compact"/>
        <w:numPr>
          <w:ilvl w:val="0"/>
          <w:numId w:val="101"/>
        </w:numPr>
        <w:jc w:val="both"/>
        <w:rPr/>
      </w:pPr>
      <w:r>
        <w:rPr/>
        <w:t>Cold sphere / minimum DRO value = 0.20 SUV</w:t>
      </w:r>
      <w:r>
        <w:rPr>
          <w:vertAlign w:val="subscript"/>
        </w:rPr>
        <w:t>bw</w:t>
      </w:r>
    </w:p>
    <w:p>
      <w:pPr>
        <w:pStyle w:val="Compact"/>
        <w:numPr>
          <w:ilvl w:val="0"/>
          <w:numId w:val="102"/>
        </w:numPr>
        <w:jc w:val="both"/>
        <w:rPr/>
      </w:pPr>
      <w:r>
        <w:rPr/>
        <w:t>Background region / median DRO value = 1.00 SUV</w:t>
      </w:r>
      <w:r>
        <w:rPr>
          <w:vertAlign w:val="subscript"/>
        </w:rPr>
        <w:t>bw</w:t>
      </w:r>
    </w:p>
    <w:p>
      <w:pPr>
        <w:pStyle w:val="CaptionedFigure"/>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rPr/>
      </w:pPr>
      <w:r>
        <w:rPr/>
        <w:t>Fig. 1: Visualization of the DRO design in axial, coronal, and sagittal planes (from left to right). Voxel values are shown in SUVbw.</w:t>
      </w:r>
    </w:p>
    <w:p>
      <w:pPr>
        <w:pStyle w:val="BodyText"/>
        <w:rPr/>
      </w:pPr>
      <w:bookmarkStart w:id="3" w:name="X1b019d5c921bbd09a48dc0ee2d5b583d8e89767"/>
      <w:bookmarkStart w:id="4" w:name="methods"/>
      <w:r>
        <w:rPr/>
        <w:t xml:space="preserve"> </w:t>
      </w:r>
      <w:bookmarkEnd w:id="3"/>
      <w:bookmarkEnd w:id="4"/>
    </w:p>
    <w:p>
      <w:pPr>
        <w:pStyle w:val="Heading1"/>
        <w:rPr/>
      </w:pPr>
      <w:r>
        <w:rPr/>
        <w:t>Results</w:t>
      </w:r>
    </w:p>
    <w:p>
      <w:pPr>
        <w:pStyle w:val="Heading2"/>
        <w:rPr/>
      </w:pPr>
      <w:bookmarkStart w:id="5" w:name="baseline-characteristics"/>
      <w:bookmarkEnd w:id="5"/>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scans were from CTI/CPS (CTI Molecular Imaging/CPS Innovations, Knoxville, USA) or the Manufacturer (0008,0070) attribute did not contain any name of a PET scanner manufacturer (Table 1).</w:t>
      </w:r>
    </w:p>
    <w:p>
      <w:pPr>
        <w:pStyle w:val="TableCaption"/>
        <w:rPr/>
      </w:pPr>
      <w:r>
        <w:rPr/>
        <w:t>Table 1: Percentage of series and a list of unique Manufacturer Model Name (0008,1090) values by scanner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9"/>
        <w:gridCol w:w="931"/>
        <w:gridCol w:w="6660"/>
      </w:tblGrid>
      <w:tr>
        <w:trPr>
          <w:tblHeader w:val="true"/>
        </w:trPr>
        <w:tc>
          <w:tcPr>
            <w:tcW w:w="1769"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931"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666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CTI/CPS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1023, 1024, 1062, 1080, 962</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Advance, Discovery 610, Discovery 690, Discovery 710, Discovery IQ, Discovery LS, Discovery MI, Discovery MI DR, Discovery RX, Discovery ST, Discovery STE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Allegro Body(C), GEMINI TF Big Bore, GEMINI TF TOF 16, Guardian Body(C), TruFlight Select</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DicomCleaner, Integrity Medical Image Importer</w:t>
            </w:r>
          </w:p>
        </w:tc>
      </w:tr>
    </w:tbl>
    <w:p>
      <w:pPr>
        <w:pStyle w:val="BodyText"/>
        <w:rPr/>
      </w:pPr>
      <w:r>
        <w:rPr/>
      </w:r>
      <w:bookmarkStart w:id="6" w:name="baseline-characteristics_Copy_1"/>
      <w:bookmarkStart w:id="7" w:name="baseline-characteristics_Copy_1"/>
      <w:bookmarkEnd w:id="7"/>
    </w:p>
    <w:p>
      <w:pPr>
        <w:pStyle w:val="Heading2"/>
        <w:rPr/>
      </w:pPr>
      <w:bookmarkStart w:id="8" w:name="rescale-slope-m-and-intercept-b"/>
      <w:bookmarkEnd w:id="8"/>
      <w:r>
        <w:rPr/>
        <w:t>Rescale slope (m) and intercept (b)</w:t>
      </w:r>
    </w:p>
    <w:p>
      <w:pPr>
        <w:pStyle w:val="Heading3"/>
        <w:rPr/>
      </w:pPr>
      <w:r>
        <w:rPr/>
        <w:t>Background</w:t>
      </w:r>
    </w:p>
    <w:p>
      <w:pPr>
        <w:pStyle w:val="FirstParagraph"/>
        <w:jc w:val="both"/>
        <w:rPr/>
      </w:pPr>
      <w:r>
        <w:rPr/>
        <w:t>Due to the wide range of the measured voxel values in PET imaging data, the use of rescale slope (Rescale Slope; 0028,1053) ensures that stored values are within the range that can be stored in the voxel data type (e.g., signed 16-bit integers can store integer values from -32,768 to 32,767). Applying the rescale slope to the stored voxel data leads to conversion of the stored voxel values to the physical units, that are specified in Units (0054,1001). Independently of the units, it is a mandatory first step in SUV calculation: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P</m:t>
          </m:r>
          <m:r>
            <w:rPr>
              <w:rFonts w:ascii="Cambria Math" w:hAnsi="Cambria Math"/>
            </w:rPr>
            <m:t xml:space="preserve">+</m:t>
          </m:r>
          <m:r>
            <w:rPr>
              <w:rFonts w:ascii="Cambria Math" w:hAnsi="Cambria Math"/>
            </w:rPr>
            <m:t xml:space="preserve">b</m:t>
          </m:r>
        </m:oMath>
      </m:oMathPara>
    </w:p>
    <w:p>
      <w:pPr>
        <w:pStyle w:val="FirstParagraph"/>
        <w:jc w:val="both"/>
        <w:rPr/>
      </w:pPr>
      <w:bookmarkStart w:id="9" w:name="background"/>
      <w:r>
        <w:rPr/>
        <w:t>where P is the stored voxel value (Pixel Data; 7fe0,0010), m the rescale slope, b the rescale intercept (Rescale Intercept; 0028,1052). The rescale slope may vary for each slice and must be applied on a slice-wise basis. Since the rescale intercept is required to be 0 in all PET studies, it can be omitted from the formula.</w:t>
      </w:r>
      <w:bookmarkEnd w:id="9"/>
    </w:p>
    <w:p>
      <w:pPr>
        <w:pStyle w:val="Heading3"/>
        <w:jc w:val="left"/>
        <w:rPr/>
      </w:pPr>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103"/>
        </w:numPr>
        <w:jc w:val="both"/>
        <w:rPr/>
      </w:pPr>
      <w:r>
        <w:rPr/>
        <w:t>constant (N=1015, 32.7%)</w:t>
      </w:r>
    </w:p>
    <w:p>
      <w:pPr>
        <w:pStyle w:val="Compact"/>
        <w:numPr>
          <w:ilvl w:val="0"/>
          <w:numId w:val="104"/>
        </w:numPr>
        <w:jc w:val="both"/>
        <w:rPr/>
      </w:pPr>
      <w:r>
        <w:rPr/>
        <w:t>different in each slice (N=1698, 54.7%)</w:t>
      </w:r>
    </w:p>
    <w:p>
      <w:pPr>
        <w:pStyle w:val="Compact"/>
        <w:numPr>
          <w:ilvl w:val="0"/>
          <w:numId w:val="105"/>
        </w:numPr>
        <w:jc w:val="both"/>
        <w:rPr/>
      </w:pPr>
      <w:r>
        <w:rPr/>
        <w:t>rather constant with a few exceptions (N=391, 12.6%) - we noted the exceptions typically included slices with the highest uptake (e.g., slices containing the tumor region).</w:t>
      </w:r>
    </w:p>
    <w:p>
      <w:pPr>
        <w:pStyle w:val="FirstParagraph"/>
        <w:jc w:val="both"/>
        <w:rPr/>
      </w:pPr>
      <w:bookmarkStart w:id="10" w:name="metadata-analysis-1"/>
      <w:r>
        <w:rPr/>
        <w:t>In our dataset, all PET imaging series had Rescale Intercept attribute present and its value was zero.</w:t>
      </w:r>
      <w:bookmarkEnd w:id="10"/>
    </w:p>
    <w:p>
      <w:pPr>
        <w:pStyle w:val="Heading3"/>
        <w:jc w:val="both"/>
        <w:rPr/>
      </w:pPr>
      <w:r>
        <w:rPr/>
        <w:t>Digital reference object</w:t>
      </w:r>
    </w:p>
    <w:p>
      <w:pPr>
        <w:pStyle w:val="FirstParagraph"/>
        <w:jc w:val="both"/>
        <w:rPr/>
      </w:pPr>
      <w:r>
        <w:rPr/>
        <w:t>The following DRO was constructed:</w:t>
      </w:r>
    </w:p>
    <w:p>
      <w:pPr>
        <w:pStyle w:val="Normal"/>
        <w:numPr>
          <w:ilvl w:val="0"/>
          <w:numId w:val="106"/>
        </w:numPr>
        <w:jc w:val="both"/>
        <w:rPr/>
      </w:pPr>
      <w:r>
        <w:rPr/>
        <w:t>DRO10 with multiple values of the Rescale Slope attribute.</w:t>
      </w:r>
    </w:p>
    <w:p>
      <w:pPr>
        <w:pStyle w:val="Normal"/>
        <w:numPr>
          <w:ilvl w:val="0"/>
          <w:numId w:val="1"/>
        </w:numPr>
        <w:jc w:val="both"/>
        <w:rPr/>
      </w:pPr>
      <w:r>
        <w:rPr/>
        <w:t>Possible issues:</w:t>
      </w:r>
    </w:p>
    <w:p>
      <w:pPr>
        <w:pStyle w:val="Compact"/>
        <w:numPr>
          <w:ilvl w:val="1"/>
          <w:numId w:val="107"/>
        </w:numPr>
        <w:jc w:val="both"/>
        <w:rPr/>
      </w:pPr>
      <w:bookmarkStart w:id="11" w:name="digital-reference-object"/>
      <w:r>
        <w:rPr/>
        <w:t>Rescale Slope is not applied slice-wise</w:t>
      </w:r>
      <w:bookmarkEnd w:id="11"/>
    </w:p>
    <w:p>
      <w:pPr>
        <w:pStyle w:val="Heading3"/>
        <w:jc w:val="both"/>
        <w:rPr/>
      </w:pPr>
      <w:bookmarkStart w:id="12" w:name="recommendations"/>
      <w:bookmarkEnd w:id="12"/>
      <w:r>
        <w:rPr/>
        <w:t>Recommendations</w:t>
      </w:r>
    </w:p>
    <w:p>
      <w:pPr>
        <w:pStyle w:val="FirstParagraph"/>
        <w:jc w:val="both"/>
        <w:rPr/>
      </w:pPr>
      <w:r>
        <w:rPr>
          <w:b/>
          <w:bCs/>
          <w:i/>
          <w:iCs/>
        </w:rPr>
        <w:t>The Rescale Intercept (0028,1052) attribute must be checked to ensure it equals 0. Otherwise, SUV computation is not possible.</w:t>
      </w:r>
    </w:p>
    <w:p>
      <w:pPr>
        <w:pStyle w:val="BodyText"/>
        <w:jc w:val="both"/>
        <w:rPr/>
      </w:pPr>
      <w:r>
        <w:rPr/>
        <w:t>Justification: The Rescale Intercept is required to be present and equal to zero in PET images.</w:t>
      </w:r>
    </w:p>
    <w:p>
      <w:pPr>
        <w:pStyle w:val="BodyText"/>
        <w:jc w:val="both"/>
        <w:rPr/>
      </w:pPr>
      <w:r>
        <w:rPr>
          <w:b/>
          <w:bCs/>
          <w:i/>
          <w:iCs/>
        </w:rPr>
        <w:t>The Rescale Slope (0028,1053) attribute must be present and have a positive, non-zero value; otherwise, SUV computation is not possible.</w:t>
      </w:r>
      <w:r>
        <w:rPr/>
        <w:t xml:space="preserve"> </w:t>
      </w:r>
      <w:r>
        <w:rPr>
          <w:b/>
          <w:bCs/>
          <w:i/>
          <w:iCs/>
        </w:rPr>
        <w:t>The corresponding Rescale Slope (0028,1053) has to be applied to all stored voxel values within a slice, independently of other parameters such as the units.</w:t>
      </w:r>
    </w:p>
    <w:p>
      <w:pPr>
        <w:pStyle w:val="BodyText"/>
        <w:jc w:val="both"/>
        <w:rPr/>
      </w:pPr>
      <w:r>
        <w:rPr/>
        <w:t>Justification: The Rescale Slope is required in PET images to convert voxel values to physical units and may vary between slices.</w:t>
      </w:r>
    </w:p>
    <w:p>
      <w:pPr>
        <w:pStyle w:val="BodyText"/>
        <w:jc w:val="both"/>
        <w:rPr/>
      </w:pPr>
      <w:r>
        <w:rPr/>
      </w:r>
      <w:bookmarkStart w:id="13" w:name="recommendations_Copy_1"/>
      <w:bookmarkStart w:id="14" w:name="rescale-slope-m-and-intercept-b_Copy_1"/>
      <w:bookmarkStart w:id="15" w:name="recommendations_Copy_1"/>
      <w:bookmarkStart w:id="16" w:name="rescale-slope-m-and-intercept-b_Copy_1"/>
      <w:bookmarkEnd w:id="15"/>
      <w:bookmarkEnd w:id="16"/>
    </w:p>
    <w:p>
      <w:pPr>
        <w:pStyle w:val="Heading2"/>
        <w:jc w:val="both"/>
        <w:rPr/>
      </w:pPr>
      <w:bookmarkStart w:id="17" w:name="voxel-values-p-and-their-unit"/>
      <w:bookmarkEnd w:id="17"/>
      <w:r>
        <w:rPr/>
        <w:t>Voxel values (P) and their unit</w:t>
      </w:r>
    </w:p>
    <w:p>
      <w:pPr>
        <w:pStyle w:val="Heading3"/>
        <w:jc w:val="both"/>
        <w:rPr/>
      </w:pPr>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 While single-slice DICOM images still prevail, multi-planar DICOM images containing 3-D voxel data (i.e., ‘one-file DICOM’ formats) may become increasingly common in the future. For PET imaging, the interpretation of these values depends on the unit specified in the Units (0054,1001) attribute. As mentioned before, the attribute specifies to which physical units are the voxel values converted by applying the rescale slope. In general, the strategy can be divided into two pathways: A) direct conversion to SUV</w:t>
      </w:r>
      <w:r>
        <w:rPr>
          <w:vertAlign w:val="subscript"/>
        </w:rPr>
        <w:t>bw</w:t>
      </w:r>
      <w:r>
        <w:rPr/>
        <w:t>; B) conversion to Bq/ml followed by conversion from Bq/ml to SUV</w:t>
      </w:r>
      <w:r>
        <w:rPr>
          <w:vertAlign w:val="subscript"/>
        </w:rPr>
        <w:t>bw</w:t>
      </w:r>
      <w:r>
        <w:rPr/>
        <w:t>.</w:t>
      </w:r>
    </w:p>
    <w:p>
      <w:pPr>
        <w:pStyle w:val="Heading4"/>
        <w:jc w:val="both"/>
        <w:rPr/>
      </w:pPr>
      <w:r>
        <w:rPr/>
        <w:t>Units = “BQML”</w:t>
      </w:r>
    </w:p>
    <w:p>
      <w:pPr>
        <w:pStyle w:val="FirstParagraph"/>
        <w:jc w:val="both"/>
        <w:rPr/>
      </w:pPr>
      <w:r>
        <w:rPr/>
        <w:t>The attribute Units (0054,1001) is commonly set to “BQML”, which signalizes physical units in becquerels per milliliter. Assuming W and D are accordingly corrected and expressed in proper units, U may be used directly in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18" w:name="units-bqml"/>
      <w:r>
        <w:rPr/>
        <w:t>However, other units may be used by scanners or due to previous processing of the DICOM file.</w:t>
      </w:r>
      <w:bookmarkEnd w:id="18"/>
    </w:p>
    <w:p>
      <w:pPr>
        <w:pStyle w:val="Heading4"/>
        <w:jc w:val="both"/>
        <w:rPr/>
      </w:pPr>
      <w:r>
        <w:rPr/>
        <w:t>Units = “GML”</w:t>
      </w:r>
    </w:p>
    <w:p>
      <w:pPr>
        <w:pStyle w:val="FirstParagraph"/>
        <w:jc w:val="both"/>
        <w:rPr/>
      </w:pPr>
      <w:r>
        <w:rPr/>
        <w:t>Another common value of the Units (0054,1001) attribute is grams per milliliter (“GML”). This indicates the activity concentration was already normalized. In most cases, normalization corresponds to body-weight normalization (BW), where the SUV voxel value equals the stored value multiplied by the rescale slope.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as BW if empty</w:t>
        </w:r>
      </w:hyperlink>
      <w:r>
        <w:rPr/>
        <w:t xml:space="preserve">. The following factors are used, as reported by </w:t>
      </w:r>
      <w:hyperlink r:id="rId46">
        <w:r>
          <w:rPr>
            <w:rStyle w:val="Hyperlink"/>
          </w:rPr>
          <w:t>Sugawara</w:t>
        </w:r>
      </w:hyperlink>
      <w:r>
        <w:rPr/>
        <w:t>:</w:t>
      </w:r>
    </w:p>
    <w:p>
      <w:pPr>
        <w:pStyle w:val="Normal"/>
        <w:numPr>
          <w:ilvl w:val="0"/>
          <w:numId w:val="108"/>
        </w:numPr>
        <w:rPr/>
      </w:pPr>
      <w:r>
        <w:rPr/>
        <w:t xml:space="preserve">lean body mass by </w:t>
      </w:r>
      <w:hyperlink r:id="rId47">
        <w:r>
          <w:rPr>
            <w:rStyle w:val="Hyperlink"/>
          </w:rPr>
          <w:t>Morgan</w:t>
        </w:r>
      </w:hyperlink>
      <w:r>
        <w:rPr/>
        <w:t xml:space="preserve"> (SUV Type = “LBM”)</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09"/>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10"/>
        </w:numPr>
        <w:rPr/>
      </w:pPr>
      <w:r>
        <w:rPr/>
        <w:t xml:space="preserve">lean body mass by </w:t>
      </w:r>
      <w:hyperlink r:id="rId49">
        <w:r>
          <w:rPr>
            <w:rStyle w:val="Hyperlink"/>
          </w:rPr>
          <w:t>Janmahasatian</w:t>
        </w:r>
      </w:hyperlink>
      <w:r>
        <w:rPr/>
        <w:t xml:space="preserve"> (SUV Type = “LBMJANMA”)</w:t>
      </w:r>
    </w:p>
    <w:p>
      <w:pPr>
        <w:pStyle w:val="Normal"/>
        <w:numPr>
          <w:ilvl w:val="0"/>
          <w:numId w:val="1"/>
        </w:numPr>
        <w:jc w:val="left"/>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r>
                    <w:rPr>
                      <w:rFonts w:ascii="Cambria Math" w:hAnsi="Cambria Math"/>
                    </w:rPr>
                    <m:t xml:space="preserve">H</m:t>
                  </m:r>
                </m:e>
                <m:sup>
                  <m:r>
                    <w:rPr>
                      <w:rFonts w:ascii="Cambria Math" w:hAnsi="Cambria Math"/>
                    </w:rPr>
                    <m:t xml:space="preserve">2</m:t>
                  </m:r>
                </m:sup>
              </m:sSup>
            </m:den>
          </m:f>
        </m:oMath>
      </m:oMathPara>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111"/>
        </w:numPr>
        <w:rPr/>
      </w:pPr>
      <w:r>
        <w:rPr/>
        <w:t>ideal body weight (SUV Type = “IBW”)</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112"/>
        </w:numPr>
        <w:jc w:val="both"/>
        <w:rPr/>
      </w:pPr>
      <w:r>
        <w:rPr/>
        <w:t>Patient’s Size (0010,1020) - Height of the patient in m</w:t>
      </w:r>
    </w:p>
    <w:p>
      <w:pPr>
        <w:pStyle w:val="Normal"/>
        <w:numPr>
          <w:ilvl w:val="0"/>
          <w:numId w:val="113"/>
        </w:numPr>
        <w:jc w:val="both"/>
        <w:rPr/>
      </w:pPr>
      <w:r>
        <w:rPr/>
        <w:t>Patient’s Sex (0010,0040) - Sex of the patient - M (male), F (female) or O (other)</w:t>
      </w:r>
    </w:p>
    <w:p>
      <w:pPr>
        <w:pStyle w:val="FirstParagraph"/>
        <w:jc w:val="both"/>
        <w:rPr/>
      </w:pPr>
      <w:r>
        <w:rPr/>
        <w:t>In turn, this factor (LBM or IBW) can be used for normalization:</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factor</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stored voxel values can be divided by the corresponding factor and multiplied by the patient’s weight and the rescale slope of the slice: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19" w:name="units-gml"/>
      <w:r>
        <w:rPr/>
        <w:t>There is currently no consensus on the computation of LBM and IBW when Patient’s Sex is specified as “O”. Using the mean value of the sex-specific factors appears to be a reasonable and simple solution.</w:t>
      </w:r>
      <w:bookmarkEnd w:id="19"/>
    </w:p>
    <w:p>
      <w:pPr>
        <w:pStyle w:val="Heading4"/>
        <w:jc w:val="both"/>
        <w:rPr/>
      </w:pPr>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rPr/>
      </w:pPr>
      <w:r>
        <w:rPr/>
        <w:t>SUV</w:t>
      </w:r>
      <w:r>
        <w:rPr>
          <w:vertAlign w:val="subscript"/>
        </w:rPr>
        <w:t>bw</w:t>
      </w:r>
      <w:r>
        <w:rPr/>
        <w:t xml:space="preserve"> can be backcomputed analogically to the previous section:</w:t>
      </w:r>
    </w:p>
    <w:p>
      <w:pPr>
        <w:pStyle w:val="BodyText"/>
        <w:jc w:val="center"/>
        <w:rPr/>
      </w:pPr>
      <w:bookmarkStart w:id="20" w:name="units-cm2ml"/>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20"/>
    </w:p>
    <w:p>
      <w:pPr>
        <w:pStyle w:val="Heading4"/>
        <w:jc w:val="both"/>
        <w:rPr/>
      </w:pPr>
      <w:r>
        <w:rPr/>
        <w:t>Units = “CNTS”</w:t>
      </w:r>
    </w:p>
    <w:p>
      <w:pPr>
        <w:pStyle w:val="FirstParagraph"/>
        <w:jc w:val="both"/>
        <w:rPr/>
      </w:pPr>
      <w:r>
        <w:rPr/>
        <w:t>Philips scanners often store the units counts (Units=“CNTS”). In this case, scale factors may be provided for converting the stored values to activity concentration or directly to SUV values. SUV scale factor allows direct conversion of the voxel values to SUV</w:t>
      </w:r>
      <w:r>
        <w:rPr>
          <w:vertAlign w:val="subscript"/>
        </w:rPr>
        <w:t>bw</w:t>
      </w:r>
      <w:r>
        <w:rPr/>
        <w:t xml:space="preserve">. The formula is mentioned in Philips conformance statements (here, for </w:t>
      </w:r>
      <w:hyperlink r:id="rId51">
        <w:r>
          <w:rPr>
            <w:rStyle w:val="Hyperlink"/>
          </w:rPr>
          <w:t>Philips Ingenuity</w:t>
        </w:r>
      </w:hyperlink>
      <w:r>
        <w:rPr/>
        <w:t>):</w:t>
      </w:r>
    </w:p>
    <w:p>
      <w:pPr>
        <w:pStyle w:val="BodyText"/>
        <w:jc w:val="both"/>
        <w:rPr/>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voxel values to Bq/ml, as explained in the conformance statement (here, for </w:t>
      </w:r>
      <w:hyperlink r:id="rId52">
        <w:r>
          <w:rPr>
            <w:rStyle w:val="Hyperlink"/>
          </w:rPr>
          <w:t>Philips Ingenuity</w:t>
        </w:r>
      </w:hyperlink>
      <w:r>
        <w:rPr/>
        <w:t>):</w:t>
      </w:r>
    </w:p>
    <w:p>
      <w:pPr>
        <w:pStyle w:val="BodyText"/>
        <w:jc w:val="both"/>
        <w:rPr/>
      </w:pPr>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pPr>
        <w:pStyle w:val="BodyText"/>
        <w:jc w:val="both"/>
        <w:rPr/>
      </w:pPr>
      <w:bookmarkStart w:id="21" w:name="units-cnts"/>
      <w:r>
        <w:rPr/>
        <w:t>In case none of the factors is provided, counts (CNTS) can be converted to counts per second (CPS) by dividing by the actual frame duration in seconds, i.e., the Actual Frame Duration attribute (0018,1242) value divided by 1000.</w:t>
      </w:r>
      <w:bookmarkEnd w:id="21"/>
    </w:p>
    <w:p>
      <w:pPr>
        <w:pStyle w:val="Heading4"/>
        <w:jc w:val="both"/>
        <w:rPr/>
      </w:pPr>
      <w:r>
        <w:rPr/>
        <w:t>Units = “CPS”</w:t>
      </w:r>
    </w:p>
    <w:p>
      <w:pPr>
        <w:pStyle w:val="FirstParagraph"/>
        <w:jc w:val="both"/>
        <w:rPr/>
      </w:pPr>
      <w:r>
        <w:rPr/>
        <w:t xml:space="preserve">Counts per second (CPS) </w:t>
      </w:r>
      <w:hyperlink r:id="rId53">
        <w:r>
          <w:rPr>
            <w:rStyle w:val="Hyperlink"/>
          </w:rPr>
          <w:t>can be converted to activity concentration (Bq/ml)</w:t>
        </w:r>
      </w:hyperlink>
      <w:r>
        <w:rPr/>
        <w:t xml:space="preserve"> based on whether the image is dose calibrated or not, which can be derived from the presence of “DCAL” in the attribute Corrected Image (0028,0051):</w:t>
      </w:r>
    </w:p>
    <w:p>
      <w:pPr>
        <w:pStyle w:val="Normal"/>
        <w:numPr>
          <w:ilvl w:val="0"/>
          <w:numId w:val="114"/>
        </w:numPr>
        <w:jc w:val="both"/>
        <w:rPr/>
      </w:pPr>
      <w:r>
        <w:rPr/>
        <w:t>in case the image is not dose calibrated, by multiplying by the Dose Calibration Factor (0054,1322) and dividing by voxel volume in ml - however, in most cases, the factor may be unknown;</w:t>
      </w:r>
    </w:p>
    <w:p>
      <w:pPr>
        <w:pStyle w:val="Normal"/>
        <w:numPr>
          <w:ilvl w:val="0"/>
          <w:numId w:val="115"/>
        </w:numPr>
        <w:jc w:val="both"/>
        <w:rPr/>
      </w:pPr>
      <w:r>
        <w:rPr/>
        <w:t>in case the image is already dose calibrated, by dividing by voxel volume in ml:</w:t>
      </w:r>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p>
                <m:e>
                  <m:r>
                    <w:rPr>
                      <w:rFonts w:ascii="Cambria Math" w:hAnsi="Cambria Math"/>
                    </w:rPr>
                    <m:t xml:space="preserve">x</m:t>
                  </m:r>
                </m:e>
                <m:sup>
                  <m:r>
                    <w:rPr>
                      <w:rFonts w:ascii="Cambria Math" w:hAnsi="Cambria Math"/>
                    </w:rPr>
                    <m:t xml:space="preserve">2</m:t>
                  </m:r>
                </m:sup>
              </m:sSup>
              <m:r>
                <w:rPr>
                  <w:rFonts w:ascii="Cambria Math" w:hAnsi="Cambria Math"/>
                </w:rPr>
                <m:t xml:space="preserve">z</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den>
          </m:f>
        </m:oMath>
      </m:oMathPara>
    </w:p>
    <w:p>
      <w:pPr>
        <w:pStyle w:val="FirstParagraph"/>
        <w:jc w:val="both"/>
        <w:rPr/>
      </w:pPr>
      <w:r>
        <w:rPr/>
        <w:t>where x is the Pixel Spacing (0028,0030) and z is the Slice Thickness (0018,0050), which show the dimensions of a single voxel in mm.</w:t>
      </w:r>
    </w:p>
    <w:p>
      <w:pPr>
        <w:pStyle w:val="BodyText"/>
        <w:jc w:val="both"/>
        <w:rPr/>
      </w:pPr>
      <w:bookmarkStart w:id="22" w:name="units-cps"/>
      <w:r>
        <w:rPr/>
        <w:t>Importantly, it must be verified that all required image corrections have been applied, as this unit is often associated with uncorrected image data.</w:t>
      </w:r>
      <w:bookmarkEnd w:id="22"/>
    </w:p>
    <w:p>
      <w:pPr>
        <w:pStyle w:val="Heading4"/>
        <w:rPr/>
      </w:pPr>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following units:</w:t>
      </w:r>
    </w:p>
    <w:p>
      <w:pPr>
        <w:pStyle w:val="Normal"/>
        <w:numPr>
          <w:ilvl w:val="0"/>
          <w:numId w:val="116"/>
        </w:numPr>
        <w:jc w:val="both"/>
        <w:rPr/>
      </w:pPr>
      <w:r>
        <w:rPr/>
        <w:t>PROPCNTS - proportional to counts, not mentioned in conformance statements, conversion is not clear</w:t>
      </w:r>
    </w:p>
    <w:p>
      <w:pPr>
        <w:pStyle w:val="Normal"/>
        <w:numPr>
          <w:ilvl w:val="0"/>
          <w:numId w:val="117"/>
        </w:numPr>
        <w:jc w:val="both"/>
        <w:rPr/>
      </w:pPr>
      <w:r>
        <w:rPr/>
        <w:t xml:space="preserve">PROPCPS - proportional to counts per second, </w:t>
      </w:r>
      <w:hyperlink r:id="rId54">
        <w:r>
          <w:rPr>
            <w:rStyle w:val="Hyperlink"/>
          </w:rPr>
          <w:t>mentioned by Siemens</w:t>
        </w:r>
      </w:hyperlink>
      <w:r>
        <w:rPr/>
        <w:t xml:space="preserve"> for “non-quantitative, non-attenuation corrected images”, conversion is not clear</w:t>
      </w:r>
    </w:p>
    <w:p>
      <w:pPr>
        <w:pStyle w:val="Normal"/>
        <w:numPr>
          <w:ilvl w:val="0"/>
          <w:numId w:val="118"/>
        </w:numPr>
        <w:jc w:val="both"/>
        <w:rPr/>
      </w:pPr>
      <w:bookmarkStart w:id="23" w:name="other-units"/>
      <w:bookmarkStart w:id="24" w:name="background-1"/>
      <w:r>
        <w:rPr/>
        <w:t>1CM - 1/centimeter, used for mu maps</w:t>
      </w:r>
      <w:bookmarkEnd w:id="23"/>
      <w:bookmarkEnd w:id="24"/>
    </w:p>
    <w:p>
      <w:pPr>
        <w:pStyle w:val="Heading3"/>
        <w:jc w:val="both"/>
        <w:rPr/>
      </w:pPr>
      <w:r>
        <w:rPr/>
        <w:t>Metadata analysis</w:t>
      </w:r>
    </w:p>
    <w:p>
      <w:pPr>
        <w:pStyle w:val="FirstParagraph"/>
        <w:jc w:val="both"/>
        <w:rPr/>
      </w:pPr>
      <w:r>
        <w:rPr/>
        <w:t>The units used were highly dependent on scanner manufacturer (see Table 2):</w:t>
      </w:r>
    </w:p>
    <w:p>
      <w:pPr>
        <w:pStyle w:val="TableCaption"/>
        <w:rPr/>
      </w:pPr>
      <w:r>
        <w:rPr/>
        <w:t>Table 2: Frequency of unique Units (0054,1001) value by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0"/>
        <w:gridCol w:w="1439"/>
        <w:gridCol w:w="1441"/>
        <w:gridCol w:w="1454"/>
        <w:gridCol w:w="1260"/>
        <w:gridCol w:w="1605"/>
      </w:tblGrid>
      <w:tr>
        <w:trPr>
          <w:tblHeader w:val="true"/>
        </w:trPr>
        <w:tc>
          <w:tcPr>
            <w:tcW w:w="216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r>
          </w:p>
        </w:tc>
        <w:tc>
          <w:tcPr>
            <w:tcW w:w="1439"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BQML</w:t>
            </w:r>
          </w:p>
        </w:tc>
        <w:tc>
          <w:tcPr>
            <w:tcW w:w="1441"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CNTS</w:t>
            </w:r>
          </w:p>
        </w:tc>
        <w:tc>
          <w:tcPr>
            <w:tcW w:w="1454"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CPS</w:t>
            </w:r>
          </w:p>
        </w:tc>
        <w:tc>
          <w:tcPr>
            <w:tcW w:w="1260"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GML</w:t>
            </w:r>
          </w:p>
        </w:tc>
        <w:tc>
          <w:tcPr>
            <w:tcW w:w="1605"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PROPCNTS</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Total</w:t>
            </w:r>
          </w:p>
        </w:tc>
        <w:tc>
          <w:tcPr>
            <w:tcW w:w="1439"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2768</w:t>
            </w:r>
          </w:p>
        </w:tc>
        <w:tc>
          <w:tcPr>
            <w:tcW w:w="144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1439"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1670</w:t>
            </w:r>
          </w:p>
        </w:tc>
        <w:tc>
          <w:tcPr>
            <w:tcW w:w="144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Siemens/CTI/CPS</w:t>
            </w:r>
          </w:p>
        </w:tc>
        <w:tc>
          <w:tcPr>
            <w:tcW w:w="1439"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952</w:t>
            </w:r>
          </w:p>
        </w:tc>
        <w:tc>
          <w:tcPr>
            <w:tcW w:w="144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1439"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111</w:t>
            </w:r>
          </w:p>
        </w:tc>
        <w:tc>
          <w:tcPr>
            <w:tcW w:w="144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1439"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35</w:t>
            </w:r>
          </w:p>
        </w:tc>
        <w:tc>
          <w:tcPr>
            <w:tcW w:w="144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6 series (3.9%) only the SUV scale factor. The Activity Concentration Scale Factor never appeared without the SUV scale factor. 10 series (6.6%) stored none of the factors. None of these 10 series was dose calibrated and the Dose Calibration Factor was never present which would disable SUV conversion.</w:t>
      </w:r>
    </w:p>
    <w:p>
      <w:pPr>
        <w:pStyle w:val="BodyText"/>
        <w:jc w:val="both"/>
        <w:rPr/>
      </w:pPr>
      <w:r>
        <w:rPr/>
        <w:t>The Philips conformance statements don’t specify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rPr/>
        <w:t>, as using the Activity Concentration Scale Factor and Patient’s Weight lead to practically the same SUV as using the SUV scale factor (mean relative paired difference of 0.05%).</w:t>
      </w:r>
    </w:p>
    <w:p>
      <w:pPr>
        <w:pStyle w:val="BodyText"/>
        <w:jc w:val="both"/>
        <w:rPr/>
      </w:pPr>
      <w:bookmarkStart w:id="25" w:name="metadata-analysis-2"/>
      <w:r>
        <w:rPr/>
        <w:t>There were 120 series with Units = “CPS”, all of them were dose calibrated and decay corrected.</w:t>
      </w:r>
      <w:bookmarkEnd w:id="25"/>
    </w:p>
    <w:p>
      <w:pPr>
        <w:pStyle w:val="Heading3"/>
        <w:jc w:val="both"/>
        <w:rPr/>
      </w:pPr>
      <w:r>
        <w:rPr/>
        <w:t>Digital reference object</w:t>
      </w:r>
    </w:p>
    <w:p>
      <w:pPr>
        <w:pStyle w:val="FirstParagraph"/>
        <w:jc w:val="both"/>
        <w:rPr/>
      </w:pPr>
      <w:r>
        <w:rPr/>
        <w:t>We synthesized multiple DROs verifying a standardized conversion to SUV</w:t>
      </w:r>
      <w:r>
        <w:rPr>
          <w:vertAlign w:val="subscript"/>
        </w:rPr>
        <w:t>bw</w:t>
      </w:r>
      <w:r>
        <w:rPr/>
        <w:t>:</w:t>
      </w:r>
    </w:p>
    <w:p>
      <w:pPr>
        <w:pStyle w:val="Normal"/>
        <w:numPr>
          <w:ilvl w:val="0"/>
          <w:numId w:val="119"/>
        </w:numPr>
        <w:jc w:val="both"/>
        <w:rPr/>
      </w:pPr>
      <w:r>
        <w:rPr/>
        <w:t>DRO00 with Units = BQML and Decay Correction = START (baseline DRO)</w:t>
      </w:r>
    </w:p>
    <w:p>
      <w:pPr>
        <w:pStyle w:val="Normal"/>
        <w:numPr>
          <w:ilvl w:val="0"/>
          <w:numId w:val="1"/>
        </w:numPr>
        <w:jc w:val="both"/>
        <w:rPr/>
      </w:pPr>
      <w:r>
        <w:rPr/>
        <w:t>Possible issues:</w:t>
      </w:r>
    </w:p>
    <w:p>
      <w:pPr>
        <w:pStyle w:val="Compact"/>
        <w:numPr>
          <w:ilvl w:val="1"/>
          <w:numId w:val="120"/>
        </w:numPr>
        <w:jc w:val="both"/>
        <w:rPr/>
      </w:pPr>
      <w:r>
        <w:rPr/>
        <w:t>unit BQML is not implemented.</w:t>
      </w:r>
    </w:p>
    <w:p>
      <w:pPr>
        <w:pStyle w:val="Normal"/>
        <w:numPr>
          <w:ilvl w:val="0"/>
          <w:numId w:val="121"/>
        </w:numPr>
        <w:jc w:val="both"/>
        <w:rPr/>
      </w:pPr>
      <w:r>
        <w:rPr/>
        <w:t>DRO20 Units = GML (corresponding to SUV</w:t>
      </w:r>
      <w:r>
        <w:rPr>
          <w:vertAlign w:val="subscript"/>
        </w:rPr>
        <w:t>bw</w:t>
      </w:r>
      <w:r>
        <w:rPr/>
        <w:t>)</w:t>
      </w:r>
    </w:p>
    <w:p>
      <w:pPr>
        <w:pStyle w:val="Normal"/>
        <w:numPr>
          <w:ilvl w:val="0"/>
          <w:numId w:val="1"/>
        </w:numPr>
        <w:jc w:val="both"/>
        <w:rPr/>
      </w:pPr>
      <w:r>
        <w:rPr/>
        <w:t>Possible issues:</w:t>
      </w:r>
    </w:p>
    <w:p>
      <w:pPr>
        <w:pStyle w:val="Compact"/>
        <w:numPr>
          <w:ilvl w:val="1"/>
          <w:numId w:val="122"/>
        </w:numPr>
        <w:jc w:val="both"/>
        <w:rPr/>
      </w:pPr>
      <w:r>
        <w:rPr/>
        <w:t>unit GML is not implemented;</w:t>
      </w:r>
    </w:p>
    <w:p>
      <w:pPr>
        <w:pStyle w:val="Compact"/>
        <w:numPr>
          <w:ilvl w:val="1"/>
          <w:numId w:val="123"/>
        </w:numPr>
        <w:jc w:val="both"/>
        <w:rPr/>
      </w:pPr>
      <w:r>
        <w:rPr/>
        <w:t>SUV Type is required (while should be considered “BW” by default)</w:t>
      </w:r>
    </w:p>
    <w:p>
      <w:pPr>
        <w:pStyle w:val="Compact"/>
        <w:numPr>
          <w:ilvl w:val="1"/>
          <w:numId w:val="124"/>
        </w:numPr>
        <w:jc w:val="both"/>
        <w:rPr/>
      </w:pPr>
      <w:r>
        <w:rPr/>
        <w:t>Rescale Slope is not applied;</w:t>
      </w:r>
    </w:p>
    <w:p>
      <w:pPr>
        <w:pStyle w:val="Compact"/>
        <w:numPr>
          <w:ilvl w:val="1"/>
          <w:numId w:val="125"/>
        </w:numPr>
        <w:jc w:val="both"/>
        <w:rPr/>
      </w:pPr>
      <w:r>
        <w:rPr/>
        <w:t>other corrections are applied.</w:t>
      </w:r>
    </w:p>
    <w:p>
      <w:pPr>
        <w:pStyle w:val="Normal"/>
        <w:numPr>
          <w:ilvl w:val="0"/>
          <w:numId w:val="126"/>
        </w:numPr>
        <w:jc w:val="both"/>
        <w:rPr/>
      </w:pPr>
      <w:r>
        <w:rPr/>
        <w:t>DRO21x Units = GML (corresponding to SUV LBMJAMES128)</w:t>
      </w:r>
    </w:p>
    <w:p>
      <w:pPr>
        <w:pStyle w:val="Compact"/>
        <w:numPr>
          <w:ilvl w:val="1"/>
          <w:numId w:val="127"/>
        </w:numPr>
        <w:jc w:val="both"/>
        <w:rPr/>
      </w:pPr>
      <w:r>
        <w:rPr/>
        <w:t>three variations: DRO211 (Patient’s Sex = “M”), DRO212 (Patient’s Sex = “F”), DRO213 (Patient’s Sex = “O”)</w:t>
      </w:r>
    </w:p>
    <w:p>
      <w:pPr>
        <w:pStyle w:val="Normal"/>
        <w:numPr>
          <w:ilvl w:val="0"/>
          <w:numId w:val="1"/>
        </w:numPr>
        <w:jc w:val="both"/>
        <w:rPr/>
      </w:pPr>
      <w:r>
        <w:rPr/>
        <w:t>Possible issues (not considering previously mentioned):</w:t>
      </w:r>
    </w:p>
    <w:p>
      <w:pPr>
        <w:pStyle w:val="Compact"/>
        <w:numPr>
          <w:ilvl w:val="1"/>
          <w:numId w:val="128"/>
        </w:numPr>
        <w:jc w:val="both"/>
        <w:rPr/>
      </w:pPr>
      <w:r>
        <w:rPr/>
        <w:t>SUVlbm is not implemented;</w:t>
      </w:r>
    </w:p>
    <w:p>
      <w:pPr>
        <w:pStyle w:val="Compact"/>
        <w:numPr>
          <w:ilvl w:val="1"/>
          <w:numId w:val="129"/>
        </w:numPr>
        <w:jc w:val="both"/>
        <w:rPr/>
      </w:pPr>
      <w:r>
        <w:rPr/>
        <w:t>incorrect formula for LBM is used (instead of LBMJAMES128 DICOM standard);</w:t>
      </w:r>
    </w:p>
    <w:p>
      <w:pPr>
        <w:pStyle w:val="Compact"/>
        <w:numPr>
          <w:ilvl w:val="1"/>
          <w:numId w:val="130"/>
        </w:numPr>
        <w:jc w:val="both"/>
        <w:rPr/>
      </w:pPr>
      <w:r>
        <w:rPr/>
        <w:t>LBM unit is not changed to g;</w:t>
      </w:r>
    </w:p>
    <w:p>
      <w:pPr>
        <w:pStyle w:val="Compact"/>
        <w:numPr>
          <w:ilvl w:val="1"/>
          <w:numId w:val="131"/>
        </w:numPr>
        <w:jc w:val="both"/>
        <w:rPr/>
      </w:pPr>
      <w:r>
        <w:rPr/>
        <w:t>patient’s weight, height or sex are not extracted correctly;</w:t>
      </w:r>
    </w:p>
    <w:p>
      <w:pPr>
        <w:pStyle w:val="Compact"/>
        <w:numPr>
          <w:ilvl w:val="1"/>
          <w:numId w:val="132"/>
        </w:numPr>
        <w:jc w:val="both"/>
        <w:rPr/>
      </w:pPr>
      <w:r>
        <w:rPr/>
        <w:t>SUV type is not extracted correctly</w:t>
      </w:r>
    </w:p>
    <w:p>
      <w:pPr>
        <w:pStyle w:val="Compact"/>
        <w:numPr>
          <w:ilvl w:val="1"/>
          <w:numId w:val="133"/>
        </w:numPr>
        <w:jc w:val="both"/>
        <w:rPr/>
      </w:pPr>
      <w:r>
        <w:rPr/>
        <w:t>strategy for Patient’s Sex = “O” is not implemented.</w:t>
      </w:r>
    </w:p>
    <w:p>
      <w:pPr>
        <w:pStyle w:val="Normal"/>
        <w:numPr>
          <w:ilvl w:val="0"/>
          <w:numId w:val="134"/>
        </w:numPr>
        <w:jc w:val="both"/>
        <w:rPr/>
      </w:pPr>
      <w:r>
        <w:rPr/>
        <w:t>DRO22x Patient’s Sex = “O” (other) with Units = GML (corresponding to SUV IBW)</w:t>
      </w:r>
    </w:p>
    <w:p>
      <w:pPr>
        <w:pStyle w:val="Compact"/>
        <w:numPr>
          <w:ilvl w:val="1"/>
          <w:numId w:val="135"/>
        </w:numPr>
        <w:jc w:val="both"/>
        <w:rPr/>
      </w:pPr>
      <w:r>
        <w:rPr/>
        <w:t>three variations: DRO221 (Patient’s Sex = “M”), DRO222 (Patient’s Sex = “F”), DRO223 (Patient’s Sex = “O”)</w:t>
      </w:r>
    </w:p>
    <w:p>
      <w:pPr>
        <w:pStyle w:val="Normal"/>
        <w:numPr>
          <w:ilvl w:val="0"/>
          <w:numId w:val="1"/>
        </w:numPr>
        <w:jc w:val="both"/>
        <w:rPr/>
      </w:pPr>
      <w:r>
        <w:rPr/>
        <w:t>Possible issues (not considering previously mentioned):</w:t>
      </w:r>
    </w:p>
    <w:p>
      <w:pPr>
        <w:pStyle w:val="Compact"/>
        <w:numPr>
          <w:ilvl w:val="1"/>
          <w:numId w:val="136"/>
        </w:numPr>
        <w:jc w:val="both"/>
        <w:rPr/>
      </w:pPr>
      <w:r>
        <w:rPr/>
        <w:t>SUVibw is not implemented.</w:t>
      </w:r>
    </w:p>
    <w:p>
      <w:pPr>
        <w:pStyle w:val="Normal"/>
        <w:numPr>
          <w:ilvl w:val="0"/>
          <w:numId w:val="137"/>
        </w:numPr>
        <w:jc w:val="both"/>
        <w:rPr/>
      </w:pPr>
      <w:r>
        <w:rPr/>
        <w:t>DRO23 Units = CM2ML (corresponding to SUVbsa)</w:t>
      </w:r>
    </w:p>
    <w:p>
      <w:pPr>
        <w:pStyle w:val="Normal"/>
        <w:numPr>
          <w:ilvl w:val="0"/>
          <w:numId w:val="1"/>
        </w:numPr>
        <w:jc w:val="both"/>
        <w:rPr/>
      </w:pPr>
      <w:r>
        <w:rPr/>
        <w:t>Possible issues (not considering previously mentioned):</w:t>
      </w:r>
    </w:p>
    <w:p>
      <w:pPr>
        <w:pStyle w:val="Compact"/>
        <w:numPr>
          <w:ilvl w:val="1"/>
          <w:numId w:val="138"/>
        </w:numPr>
        <w:jc w:val="both"/>
        <w:rPr/>
      </w:pPr>
      <w:r>
        <w:rPr/>
        <w:t>SUVbsa is not implemented;</w:t>
      </w:r>
    </w:p>
    <w:p>
      <w:pPr>
        <w:pStyle w:val="Compact"/>
        <w:numPr>
          <w:ilvl w:val="1"/>
          <w:numId w:val="139"/>
        </w:numPr>
        <w:jc w:val="both"/>
        <w:rPr/>
      </w:pPr>
      <w:r>
        <w:rPr/>
        <w:t>incorrect formula for BSA is used;</w:t>
      </w:r>
    </w:p>
    <w:p>
      <w:pPr>
        <w:pStyle w:val="Compact"/>
        <w:numPr>
          <w:ilvl w:val="1"/>
          <w:numId w:val="140"/>
        </w:numPr>
        <w:jc w:val="both"/>
        <w:rPr/>
      </w:pPr>
      <w:r>
        <w:rPr/>
        <w:t>BSA unit is not changed to cm2.</w:t>
      </w:r>
    </w:p>
    <w:p>
      <w:pPr>
        <w:pStyle w:val="Normal"/>
        <w:numPr>
          <w:ilvl w:val="0"/>
          <w:numId w:val="141"/>
        </w:numPr>
        <w:jc w:val="both"/>
        <w:rPr/>
      </w:pPr>
      <w:r>
        <w:rPr/>
        <w:t>DRO24 Units = CNTS using Philips SUV scale factor</w:t>
      </w:r>
    </w:p>
    <w:p>
      <w:pPr>
        <w:pStyle w:val="Normal"/>
        <w:numPr>
          <w:ilvl w:val="0"/>
          <w:numId w:val="1"/>
        </w:numPr>
        <w:jc w:val="both"/>
        <w:rPr/>
      </w:pPr>
      <w:r>
        <w:rPr/>
        <w:t>Possible issues (not considering previously mentioned):</w:t>
      </w:r>
    </w:p>
    <w:p>
      <w:pPr>
        <w:pStyle w:val="Compact"/>
        <w:numPr>
          <w:ilvl w:val="1"/>
          <w:numId w:val="142"/>
        </w:numPr>
        <w:jc w:val="left"/>
        <w:rPr/>
      </w:pPr>
      <w:r>
        <w:rPr/>
        <w:t>unit CNTS is not implemented;</w:t>
        <w:br/>
      </w:r>
    </w:p>
    <w:p>
      <w:pPr>
        <w:pStyle w:val="Compact"/>
        <w:numPr>
          <w:ilvl w:val="1"/>
          <w:numId w:val="143"/>
        </w:numPr>
        <w:jc w:val="both"/>
        <w:rPr/>
      </w:pPr>
      <w:r>
        <w:rPr/>
        <w:t>SUV scale factor is not extracted or applied correctly.</w:t>
      </w:r>
    </w:p>
    <w:p>
      <w:pPr>
        <w:pStyle w:val="Normal"/>
        <w:numPr>
          <w:ilvl w:val="0"/>
          <w:numId w:val="144"/>
        </w:numPr>
        <w:jc w:val="both"/>
        <w:rPr/>
      </w:pPr>
      <w:r>
        <w:rPr/>
        <w:t>DRO25 Units = CNTS using Philips activity scale factor</w:t>
      </w:r>
    </w:p>
    <w:p>
      <w:pPr>
        <w:pStyle w:val="Normal"/>
        <w:numPr>
          <w:ilvl w:val="0"/>
          <w:numId w:val="1"/>
        </w:numPr>
        <w:jc w:val="both"/>
        <w:rPr/>
      </w:pPr>
      <w:r>
        <w:rPr/>
        <w:t>Possible issues (not considering previously mentioned):</w:t>
      </w:r>
    </w:p>
    <w:p>
      <w:pPr>
        <w:pStyle w:val="Compact"/>
        <w:numPr>
          <w:ilvl w:val="1"/>
          <w:numId w:val="145"/>
        </w:numPr>
        <w:jc w:val="both"/>
        <w:rPr/>
      </w:pPr>
      <w:r>
        <w:rPr/>
        <w:t>activity scale factor is not extracted or applied correctly.</w:t>
      </w:r>
    </w:p>
    <w:p>
      <w:pPr>
        <w:pStyle w:val="Normal"/>
        <w:numPr>
          <w:ilvl w:val="0"/>
          <w:numId w:val="146"/>
        </w:numPr>
        <w:jc w:val="both"/>
        <w:rPr/>
      </w:pPr>
      <w:r>
        <w:rPr/>
        <w:t>DRO26x PatientSex = “O” (other) with Units = GML (corresponding to SUV LBMJANMA)</w:t>
      </w:r>
    </w:p>
    <w:p>
      <w:pPr>
        <w:pStyle w:val="Compact"/>
        <w:numPr>
          <w:ilvl w:val="1"/>
          <w:numId w:val="147"/>
        </w:numPr>
        <w:jc w:val="both"/>
        <w:rPr/>
      </w:pPr>
      <w:r>
        <w:rPr/>
        <w:t>three variations: DRO261 (PatientSex = “M”), DRO262 (PatientSex = “F”), DRO263 (PatientSex = “O”)</w:t>
      </w:r>
    </w:p>
    <w:p>
      <w:pPr>
        <w:pStyle w:val="Normal"/>
        <w:numPr>
          <w:ilvl w:val="0"/>
          <w:numId w:val="1"/>
        </w:numPr>
        <w:jc w:val="both"/>
        <w:rPr/>
      </w:pPr>
      <w:r>
        <w:rPr/>
        <w:t>Possible issues (not considering previously mentioned):</w:t>
      </w:r>
    </w:p>
    <w:p>
      <w:pPr>
        <w:pStyle w:val="Compact"/>
        <w:numPr>
          <w:ilvl w:val="1"/>
          <w:numId w:val="148"/>
        </w:numPr>
        <w:jc w:val="both"/>
        <w:rPr/>
      </w:pPr>
      <w:r>
        <w:rPr/>
        <w:t>SUVlbmjanma is not implemented.</w:t>
      </w:r>
    </w:p>
    <w:p>
      <w:pPr>
        <w:pStyle w:val="FirstParagraph"/>
        <w:jc w:val="both"/>
        <w:rPr/>
      </w:pPr>
      <w:bookmarkStart w:id="26" w:name="digital-reference-object-1"/>
      <w:r>
        <w:rPr/>
        <w:t>Note: The strategy with SUV Type = “LBM” is considered obsolete and currently not covered by the digital reference objects.</w:t>
      </w:r>
      <w:bookmarkEnd w:id="26"/>
    </w:p>
    <w:p>
      <w:pPr>
        <w:pStyle w:val="Heading3"/>
        <w:rPr/>
      </w:pPr>
      <w:bookmarkStart w:id="27" w:name="recommendations-1"/>
      <w:bookmarkEnd w:id="27"/>
      <w:r>
        <w:rPr/>
        <w:t>Recommendations</w:t>
      </w:r>
    </w:p>
    <w:p>
      <w:pPr>
        <w:pStyle w:val="FirstParagraph"/>
        <w:jc w:val="both"/>
        <w:rPr/>
      </w:pPr>
      <w:r>
        <w:rPr>
          <w:b/>
          <w:bCs/>
          <w:i/>
          <w:iCs/>
        </w:rPr>
        <w:t>The Units (0054,1001) attribute must be present and have one of these values: “BQML”, “GML”, “CM2ML”, “CNTS”, “CPS”; otherwise, SUV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stored voxel values can be directly converted to SUV</w:t>
      </w:r>
      <w:r>
        <w:rPr>
          <w:b/>
          <w:bCs/>
          <w:i/>
          <w:iCs/>
          <w:vertAlign w:val="subscript"/>
        </w:rPr>
        <w:t>bw</w:t>
      </w:r>
      <w:r>
        <w:rPr>
          <w:b/>
          <w:bCs/>
          <w:i/>
          <w:iCs/>
        </w:rPr>
        <w:t xml:space="preserve"> by multiplying by the Rescale Slope (0028,1053).</w:t>
      </w:r>
    </w:p>
    <w:p>
      <w:pPr>
        <w:pStyle w:val="BodyText"/>
        <w:jc w:val="both"/>
        <w:rPr/>
      </w:pPr>
      <w:r>
        <w:rPr/>
        <w:t>Justification: In this case, the voxel values correspond to units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stored voxel values can be directly converted to SUV</w:t>
      </w:r>
      <w:r>
        <w:rPr>
          <w:b/>
          <w:bCs/>
          <w:i/>
          <w:iCs/>
          <w:vertAlign w:val="subscript"/>
        </w:rPr>
        <w:t>bw</w:t>
      </w:r>
      <w:r>
        <w:rPr>
          <w:b/>
          <w:bCs/>
          <w:i/>
          <w:iCs/>
        </w:rPr>
        <w:t xml:space="preserve"> using the above mentioned formulas.</w:t>
      </w:r>
      <w:r>
        <w:rPr/>
        <w:t xml:space="preserve"> </w:t>
      </w: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stored voxel values can be converted directly to SUV</w:t>
      </w:r>
      <w:r>
        <w:rPr>
          <w:b/>
          <w:bCs/>
          <w:i/>
          <w:iCs/>
          <w:vertAlign w:val="subscript"/>
        </w:rPr>
        <w:t>bw</w:t>
      </w:r>
      <w:r>
        <w:rPr>
          <w:b/>
          <w:bCs/>
          <w:i/>
          <w:iCs/>
        </w:rPr>
        <w:t xml:space="preserve"> using the above-mentioned formulas.</w:t>
      </w:r>
    </w:p>
    <w:p>
      <w:pPr>
        <w:pStyle w:val="BodyText"/>
        <w:jc w:val="both"/>
        <w:rPr/>
      </w:pPr>
      <w:r>
        <w:rPr/>
        <w:t>Justification: In this case, the voxel values correspond to another SUV type and have to be converted to SUV</w:t>
      </w:r>
      <w:r>
        <w:rPr>
          <w:vertAlign w:val="subscript"/>
        </w:rPr>
        <w:t>bw</w:t>
      </w:r>
      <w:r>
        <w:rPr/>
        <w:t>.</w:t>
      </w:r>
    </w:p>
    <w:p>
      <w:pPr>
        <w:pStyle w:val="BodyText"/>
        <w:jc w:val="both"/>
        <w:rPr/>
      </w:pPr>
      <w:r>
        <w:rPr>
          <w:b/>
          <w:bCs/>
          <w:i/>
          <w:iCs/>
        </w:rPr>
        <w:t>When the Units (0054,1001) are set to “CNTS” and the Activity Concentration Scale Factor (7053,1009) is present and has a positive, non-zero value and the Manufacturer (0008,0070) attribute contains “PHILIPS”, the stored voxel values can be converted to Bq/ml by multiplying by the Rescale Slope (0028,1053) and this factor.</w:t>
      </w:r>
      <w:r>
        <w:rPr/>
        <w:t xml:space="preserve"> </w:t>
      </w:r>
      <w:r>
        <w:rPr>
          <w:b/>
          <w:bCs/>
          <w:i/>
          <w:iCs/>
        </w:rPr>
        <w:t>If it is absent, negative, or zero and the SUV Scale Factor (7053,1000) is present and has a positive, non-zero value and the Manufacturer (0008,0070) attribute contains “PHILIPS” and the SUV Type (0054,1006) is “BW” or empty or absent, the stored voxel values can be directly converted to SUV</w:t>
      </w:r>
      <w:r>
        <w:rPr>
          <w:b/>
          <w:bCs/>
          <w:i/>
          <w:iCs/>
          <w:vertAlign w:val="subscript"/>
        </w:rPr>
        <w:t>bw</w:t>
      </w:r>
      <w:r>
        <w:rPr>
          <w:b/>
          <w:bCs/>
          <w:i/>
          <w:iCs/>
        </w:rPr>
        <w:t xml:space="preserve"> by multiplying by the Rescale Slope (0028,1053) and this factor.</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When the Units (0054,1001) are set to “CNTS” and the Activity Concentration Scale Factor (7053,1009) is absent or empty or negative or zero and the SUV Scale Factor (7053,1000) is absent or empty or negative or zero or the Manufacturer (0008,0070) attribute does not contain “PHILIPS”</w:t>
      </w:r>
      <w:r>
        <w:rPr/>
        <w:t xml:space="preserve"> </w:t>
      </w:r>
      <w:r>
        <w:rPr>
          <w:b/>
          <w:bCs/>
          <w:i/>
          <w:iCs/>
        </w:rPr>
        <w:t>and the attribute Corrected Image (0028,0051) contains “DCAL” and the voxel volume can be computed and is has a positive, non-zero value, the stored voxel values can be converted to Bq/ml by multiplying by the Rescale Slope (0028,1053) and dividing by the voxel volume in ml and Actual Frame Duration (0018,1242) in seconds.</w:t>
      </w:r>
      <w:r>
        <w:rPr/>
        <w:t xml:space="preserve"> </w:t>
      </w:r>
      <w:r>
        <w:rPr>
          <w:b/>
          <w:bCs/>
          <w:i/>
          <w:iCs/>
        </w:rPr>
        <w:t>When Units (0054,1001) are set to “CPS” and the attribute Corrected Image (0028,0051) contains “DCAL”, and the voxel volume can be computed and has a positive, non-zero value, the stored voxel values can be converted to Bq/ml by multiplying by the Rescale Slope (0028,1053) and dividing by the voxel volume in ml.</w:t>
      </w:r>
    </w:p>
    <w:p>
      <w:pPr>
        <w:pStyle w:val="BodyText"/>
        <w:jc w:val="both"/>
        <w:rPr/>
      </w:pPr>
      <w:r>
        <w:rPr/>
        <w:t>Justification: Counts / s can be converted to Bq / ml by multiplying by the dose calibration factor and dividing by voxel volume.</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SUV computation is not possible.</w:t>
      </w:r>
      <w:r>
        <w:rP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r>
      <w:bookmarkStart w:id="28" w:name="recommendations-1_Copy_1"/>
      <w:bookmarkStart w:id="29" w:name="voxel-values-p-and-their-unit_Copy_1"/>
      <w:bookmarkStart w:id="30" w:name="recommendations-1_Copy_1"/>
      <w:bookmarkStart w:id="31" w:name="voxel-values-p-and-their-unit_Copy_1"/>
      <w:bookmarkEnd w:id="30"/>
      <w:bookmarkEnd w:id="31"/>
    </w:p>
    <w:p>
      <w:pPr>
        <w:pStyle w:val="Heading2"/>
        <w:jc w:val="both"/>
        <w:rPr/>
      </w:pPr>
      <w:bookmarkStart w:id="32" w:name="patients-weight-w"/>
      <w:bookmarkEnd w:id="32"/>
      <w:r>
        <w:rPr/>
        <w:t>Patient’s weight (W)</w:t>
      </w:r>
    </w:p>
    <w:p>
      <w:pPr>
        <w:pStyle w:val="Heading3"/>
        <w:jc w:val="both"/>
        <w:rPr/>
      </w:pPr>
      <w:r>
        <w:rPr/>
        <w:t>Background</w:t>
      </w:r>
    </w:p>
    <w:p>
      <w:pPr>
        <w:pStyle w:val="FirstParagraph"/>
        <w:jc w:val="both"/>
        <w:rPr/>
      </w:pPr>
      <w:bookmarkStart w:id="33" w:name="background-2"/>
      <w:r>
        <w:rPr/>
        <w:t>Patient’s Weight (0010,1030) is often manually entered, which can result in missing values or incorrect units. The correct DICOM unit is kilograms, values equal to or greater than 1000 indicate that the weight was entered in grams. For the SUV formula, the value must be converted to grams. Furthermore, patient weight may occasionally be incorrectly stored in a different DICOM attribute, particularly Patient’s Size (0010,1020).</w:t>
      </w:r>
      <w:bookmarkEnd w:id="33"/>
    </w:p>
    <w:p>
      <w:pPr>
        <w:pStyle w:val="Heading3"/>
        <w:jc w:val="both"/>
        <w:rPr/>
      </w:pPr>
      <w:r>
        <w:rPr/>
        <w:t>Metadata analysis</w:t>
      </w:r>
    </w:p>
    <w:p>
      <w:pPr>
        <w:pStyle w:val="FirstParagraph"/>
        <w:jc w:val="both"/>
        <w:rPr/>
      </w:pPr>
      <w:bookmarkStart w:id="34" w:name="metadata-analysis-3"/>
      <w:r>
        <w:rPr/>
        <w:t>In our dataset, no Patient’s Weight values were equal to or greater than 1000. In 55 (1.8%) series, there was no value.</w:t>
      </w:r>
      <w:bookmarkEnd w:id="34"/>
    </w:p>
    <w:p>
      <w:pPr>
        <w:pStyle w:val="Heading3"/>
        <w:jc w:val="both"/>
        <w:rPr/>
      </w:pPr>
      <w:r>
        <w:rPr/>
        <w:t>Digital reference object</w:t>
      </w:r>
    </w:p>
    <w:p>
      <w:pPr>
        <w:pStyle w:val="FirstParagraph"/>
        <w:jc w:val="both"/>
        <w:rPr/>
      </w:pPr>
      <w:bookmarkStart w:id="35" w:name="digital-reference-object-2"/>
      <w:r>
        <w:rPr/>
        <w:t>–</w:t>
      </w:r>
      <w:bookmarkEnd w:id="35"/>
    </w:p>
    <w:p>
      <w:pPr>
        <w:pStyle w:val="Heading3"/>
        <w:jc w:val="both"/>
        <w:rPr/>
      </w:pPr>
      <w:bookmarkStart w:id="36" w:name="recommendations-2"/>
      <w:bookmarkEnd w:id="36"/>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 computation is not possible.</w:t>
      </w:r>
    </w:p>
    <w:p>
      <w:pPr>
        <w:pStyle w:val="BodyText"/>
        <w:jc w:val="both"/>
        <w:rPr/>
      </w:pPr>
      <w:r>
        <w:rPr/>
        <w:t>Justification: Patient’s Weight is required for conversion to SUV.</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pragmatically, as values equal to or greater than 1000 kg or below 1000 g are highly unlikely in clinical or phantom PET imaging. Note that the SUV formula requires weight in grams while the aforementioned LBM/IBW/BSA formulas expect weight in kilograms.</w:t>
      </w:r>
    </w:p>
    <w:p>
      <w:pPr>
        <w:pStyle w:val="BodyText"/>
        <w:jc w:val="both"/>
        <w:rPr/>
      </w:pPr>
      <w:r>
        <w:rPr/>
      </w:r>
      <w:bookmarkStart w:id="37" w:name="recommendations-2_Copy_1"/>
      <w:bookmarkStart w:id="38" w:name="patients-weight-w_Copy_1"/>
      <w:bookmarkStart w:id="39" w:name="recommendations-2_Copy_1"/>
      <w:bookmarkStart w:id="40" w:name="patients-weight-w_Copy_1"/>
      <w:bookmarkEnd w:id="39"/>
      <w:bookmarkEnd w:id="40"/>
    </w:p>
    <w:p>
      <w:pPr>
        <w:pStyle w:val="Heading2"/>
        <w:jc w:val="both"/>
        <w:rPr/>
      </w:pPr>
      <w:bookmarkStart w:id="41" w:name="radiopharmaceutical-dose-d"/>
      <w:bookmarkEnd w:id="41"/>
      <w:r>
        <w:rPr/>
        <w:t>Radiopharmaceutical dose (D)</w:t>
      </w:r>
    </w:p>
    <w:p>
      <w:pPr>
        <w:pStyle w:val="Heading3"/>
        <w:jc w:val="both"/>
        <w:rPr/>
      </w:pPr>
      <w:bookmarkStart w:id="42"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 Furthermore, the unit may not be standardized as different Information Object Definitions (IODs) allow either Bq or MBq. The equation expects the unit to be Bq.</w:t>
      </w:r>
    </w:p>
    <w:p>
      <w:pPr>
        <w:pStyle w:val="BodyText"/>
        <w:jc w:val="both"/>
        <w:rPr/>
      </w:pPr>
      <w:r>
        <w:rPr/>
        <w:t>For SUV conversion, the administered dose must correspond to the time at which the voxel values occurred. This requires correcting the administered dose for radioactive decay of the radionuclide between the time of administration and the corresponding reference time point. Therefore, it is essential to know whether the images (voxel-values) were decay-corrected and, if so, to which time point. This information is provided by the Decay Correction (0054,1102) attribute, which can take one of three values (“ADMIN,” “START,” or “NONE”). As shown below, the subsequent correction steps depend on this attribute.</w:t>
      </w:r>
    </w:p>
    <w:p>
      <w:pPr>
        <w:pStyle w:val="BodyText"/>
        <w:jc w:val="both"/>
        <w:rPr/>
      </w:pPr>
      <w:r>
        <w:rPr/>
        <w:t>SUV is independent of the time point to which the images were corrected. Therefore, the Decay Correction (0054,1102) is not relevant when Units are “GML” or “CM2ML” or when the image can be directly scaled to SUV without considering the administered dose (Units are “CNTS” and SUV Scale Factor (7053,1000) is applied).</w:t>
      </w:r>
    </w:p>
    <w:p>
      <w:pPr>
        <w:pStyle w:val="Heading4"/>
        <w:jc w:val="both"/>
        <w:rPr/>
      </w:pPr>
      <w:r>
        <w:rPr/>
        <w:t>Decay correction = ADMIN</w:t>
      </w:r>
    </w:p>
    <w:p>
      <w:pPr>
        <w:pStyle w:val="FirstParagraph"/>
        <w:jc w:val="both"/>
        <w:rPr/>
      </w:pPr>
      <w:r>
        <w:rPr/>
        <w:t>The value “ADMIN” indicates that the PET image data were decay-corrected to the time of radiotracer administration. In this case, no additional correction of the administered dose is required, because it already represents the dose at the time point to which the images were decay-corrected. The formula is scanner-independent and can be written as:</w:t>
      </w:r>
    </w:p>
    <w:p>
      <w:pPr>
        <w:pStyle w:val="BodyText"/>
        <w:jc w:val="center"/>
        <w:rPr/>
      </w:pPr>
      <w:bookmarkStart w:id="43" w:name="decay-correction-admin"/>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43"/>
    </w:p>
    <w:p>
      <w:pPr>
        <w:pStyle w:val="Heading4"/>
        <w:rPr/>
      </w:pPr>
      <w:r>
        <w:rPr/>
        <w:t>Decay correction = START</w:t>
      </w:r>
    </w:p>
    <w:p>
      <w:pPr>
        <w:pStyle w:val="FirstParagraph"/>
        <w:jc w:val="both"/>
        <w:rPr/>
      </w:pPr>
      <w:r>
        <w:rPr/>
        <w:t xml:space="preserve">In most cases, the decay correction attribute is set to “START”, implying the series was decay corrected to a reference time representing the start of the PET image acquisition. The administered dose has to be adjusted to account for decay between administration and the reference time, using the formula: </w:t>
      </w:r>
      <w:r>
        <w:rPr/>
      </w:r>
      <m:oMath xmlns:m="http://schemas.openxmlformats.org/officeDocument/2006/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w:r>
        <w:rPr/>
        <w:t>. Then, SUV can be computed using the formula:</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oMath>
      <w:r>
        <w:rPr/>
        <w:t xml:space="preserve"> the reference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Heading5"/>
        <w:jc w:val="both"/>
        <w:rPr/>
      </w:pPr>
      <w:r>
        <w:rPr/>
        <w:t>Determining the reference time:</w:t>
      </w:r>
    </w:p>
    <w:p>
      <w:pPr>
        <w:pStyle w:val="FirstParagraph"/>
        <w:jc w:val="both"/>
        <w:rPr/>
      </w:pPr>
      <w:r>
        <w:rPr/>
        <w:t xml:space="preserve">Unfortunately, there is no single attribute reliably storing the reference time across scanners of different vendors. Moreover, the method for determining reference time is not obvious from conformance statements. A significant effort to determine a universal procedure was marked by The Quantitative Imaging Biomarkers Alliance (QIBA). In their </w:t>
      </w:r>
      <w:hyperlink r:id="rId55">
        <w:r>
          <w:rPr>
            <w:rStyle w:val="Hyperlink"/>
          </w:rPr>
          <w:t>vendor-neutral pseudo-code</w:t>
        </w:r>
      </w:hyperlink>
      <w:r>
        <w:rPr/>
        <w:t xml:space="preserve">, they recommend to primarily use Series Date (0008, 0021) and Series Time (0008, 0031). Since they acknowledge this attribute may be often modified during processing and shifted forward, they discourage from using it when it is later than Acquisition Date (0008,0022) and Acquisition Time (0008,0032). However, as shown by </w:t>
      </w:r>
      <w:hyperlink r:id="rId56">
        <w:r>
          <w:rPr>
            <w:rStyle w:val="Hyperlink"/>
          </w:rPr>
          <w:t>Fritsak et al.</w:t>
        </w:r>
      </w:hyperlink>
      <w:r>
        <w:rPr/>
        <w:t xml:space="preserve"> and observed in our data, the Series Time may be shifted by a smaller margin or in the opposite direction, which may be difficult to recognize. In these cases, the voxel values no longer correspond to the Series Time and this leads to notable SUV computation errors.</w:t>
      </w:r>
    </w:p>
    <w:p>
      <w:pPr>
        <w:pStyle w:val="BodyText"/>
        <w:jc w:val="both"/>
        <w:rPr/>
      </w:pPr>
      <w:r>
        <w:rPr/>
        <w:t xml:space="preserve">On the other hand, Siemens and GE store the reference times in their private tags, which often remains present in the DICOM metadata, and there seem to be no signs of the time component being modified during post-processing. GE state in conformance statements of some of their models (e.g., </w:t>
      </w:r>
      <w:hyperlink r:id="rId57">
        <w:r>
          <w:rPr>
            <w:rStyle w:val="Hyperlink"/>
          </w:rPr>
          <w:t>Discovery ST/ RX/ STE</w:t>
        </w:r>
      </w:hyperlink>
      <w:r>
        <w:rPr/>
        <w:t xml:space="preserve">) that, unlike some other models (e.g., Discovery 710/610 or Optima 560), the value of the private attribute PET scan_datetime (0009,100D) is used for setting the Series Date and Time. Furthermore, in the 2009 </w:t>
      </w:r>
      <w:hyperlink r:id="rId58">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 </w:t>
      </w:r>
      <w:hyperlink r:id="rId59">
        <w:r>
          <w:rPr>
            <w:rStyle w:val="Hyperlink"/>
          </w:rPr>
          <w:t>conformance statements</w:t>
        </w:r>
      </w:hyperlink>
      <w:r>
        <w:rPr/>
        <w:t>: This attribute is not used in the QIBA strategy.</w:t>
      </w:r>
    </w:p>
    <w:p>
      <w:pPr>
        <w:pStyle w:val="BodyText"/>
        <w:jc w:val="both"/>
        <w:rPr/>
      </w:pPr>
      <w:r>
        <w:rPr/>
        <w:t>Even though the private tags appear to be the most reliable source of the reference time, there is no such attribute for Philips, and the private tags are often missing. For the remaining cases, where Series Date and Time cannot be trusted and the private tags are missing, QIBA recommends using the earliest Acquisition Time (0008,0032). The Acquisition Time, unlike the Series Time, represents the start of image acquisition for the actual frame / slice. The earliest Acquisition Time within each series should be identical to the Series Time. However, there are multiple reasons why this strategy may have limited generalizability: One such case, as already acknowledged by QIBA, are multi-injection protocols; other common pitfalls are cropped scans or scans where the first bed position was skipped. Such scenarios require slice-wise solutions. Therefore, we believe the Acquisition Time can be used only in slices where it is equal to the Series Time.</w:t>
      </w:r>
    </w:p>
    <w:p>
      <w:pPr>
        <w:pStyle w:val="BodyText"/>
        <w:jc w:val="both"/>
        <w:rPr/>
      </w:pPr>
      <w:r>
        <w:rPr/>
        <w:t xml:space="preserve">The last option mentioned by QIBA is a reference time backcomputation. A single formula - using acquisition time, frame reference time, and actual frame duration - was provided by the alliance. However, </w:t>
      </w:r>
      <w:hyperlink r:id="rId60">
        <w:r>
          <w:rPr>
            <w:rStyle w:val="Hyperlink"/>
          </w:rPr>
          <w:t>Fritsak et al.</w:t>
        </w:r>
      </w:hyperlink>
      <w:r>
        <w:rPr/>
        <w:t xml:space="preserve"> have described the differences in the reference times used by GE, Siemens and Philips. Siemens and Philips correct the images to a reference time one frame reference time before the time the values occurred - i.e., follow the equation described in the pseudocode: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time, extracted from Acquisition Time (0008,0032),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61">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be computed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m:oMathPara>
    </w:p>
    <w:p>
      <w:pPr>
        <w:pStyle w:val="FirstParagraph"/>
        <w:jc w:val="both"/>
        <w:rPr/>
      </w:pPr>
      <w:r>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w:t>
      </w:r>
    </w:p>
    <w:p>
      <w:pPr>
        <w:pStyle w:val="BodyText"/>
        <w:jc w:val="both"/>
        <w:rPr/>
      </w:pPr>
      <w:r>
        <w:rPr/>
        <w:t>In contrast, GE scanners correct the images to another time point, which is one frame reference time before the stored Acquisition Time:</w:t>
      </w:r>
    </w:p>
    <w:p>
      <w:pPr>
        <w:pStyle w:val="BodyText"/>
        <w:jc w:val="center"/>
        <w:rPr/>
      </w:pPr>
      <w:r>
        <w:rPr/>
      </w:r>
      <m:oMathPara xmlns:m="http://schemas.openxmlformats.org/officeDocument/2006/math">
        <m:oMathParaPr>
          <m:jc m:val="center"/>
        </m:oMathParaPr>
        <m:oMath>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f</m:t>
          </m:r>
          <m:r>
            <w:rPr>
              <w:rFonts w:ascii="Cambria Math" w:hAnsi="Cambria Math"/>
            </w:rPr>
            <m:t xml:space="preserve">=</m:t>
          </m:r>
          <m:r>
            <w:rPr>
              <w:rFonts w:ascii="Cambria Math" w:hAnsi="Cambria Math"/>
            </w:rPr>
            <m:t xml:space="preserve">t</m:t>
          </m:r>
          <m:r>
            <w:rPr>
              <w:rFonts w:ascii="Cambria Math" w:hAnsi="Cambria Math"/>
            </w:rPr>
            <m:t xml:space="preserve">a</m:t>
          </m:r>
          <m:r>
            <w:rPr>
              <w:rFonts w:ascii="Cambria Math" w:hAnsi="Cambria Math"/>
            </w:rPr>
            <m:t xml:space="preserve">c</m:t>
          </m:r>
          <m:r>
            <w:rPr>
              <w:rFonts w:ascii="Cambria Math" w:hAnsi="Cambria Math"/>
            </w:rPr>
            <m:t xml:space="preserve">q</m:t>
          </m:r>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bookmarkStart w:id="44" w:name="determining-the-reference-time"/>
      <w:bookmarkStart w:id="45" w:name="decay-correction-start"/>
      <w:r>
        <w:rPr/>
        <w:t>As we lack PET scans from other manufacturers, no formula can be provided for these manufacturers.</w:t>
      </w:r>
      <w:bookmarkEnd w:id="44"/>
      <w:bookmarkEnd w:id="45"/>
    </w:p>
    <w:p>
      <w:pPr>
        <w:pStyle w:val="Heading4"/>
        <w:jc w:val="both"/>
        <w:rPr/>
      </w:pPr>
      <w:bookmarkStart w:id="46" w:name="decay-correction-none"/>
      <w:r>
        <w:rPr/>
        <w:t>Decay correction = NONE</w:t>
      </w:r>
    </w:p>
    <w:p>
      <w:pPr>
        <w:pStyle w:val="FirstParagraph"/>
        <w:jc w:val="both"/>
        <w:rPr/>
      </w:pPr>
      <w:r>
        <w:rPr/>
        <w:t>Another scenario involves PET images that have not been decay-corrected, with Decay Correction set to “NONE”. In this case, we must ensure that each image (voxel values) as well as the radionuclide dose is corrected to the same reference time point. The most straightforward would be correcting the dose to the measurement time (the time the values occurred) separately for each slice: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m</m:t>
              </m:r>
              <m:r>
                <w:rPr>
                  <w:rFonts w:ascii="Cambria Math" w:hAnsi="Cambria Math"/>
                </w:rPr>
                <m:t xml:space="preserve">P</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manufacturers. Once again, it must be checked that other corrections have been applied to the image.</w:t>
      </w:r>
      <w:bookmarkEnd w:id="42"/>
      <w:bookmarkEnd w:id="46"/>
    </w:p>
    <w:p>
      <w:pPr>
        <w:pStyle w:val="Heading3"/>
        <w:jc w:val="both"/>
        <w:rPr/>
      </w:pPr>
      <w:bookmarkStart w:id="47" w:name="metadata-analysis-4"/>
      <w:r>
        <w:rPr/>
        <w:t>Metadata analysis</w:t>
      </w:r>
    </w:p>
    <w:p>
      <w:pPr>
        <w:pStyle w:val="FirstParagraph"/>
        <w:jc w:val="both"/>
        <w:rPr/>
      </w:pPr>
      <w:r>
        <w:rPr/>
        <w:t>There were 208 scans (6.7%) with a missing value of the Radionuclide Total Dose (0018,1074) attribute. Two scans (0.1%) had a negative value of this attribute. In 2870 scans with fluorine-18 as radionuclide, the Radionuclide Total Dose values ranged between 203.5 and 3.182</w:t>
      </w:r>
      <w:r>
        <w:rPr>
          <w:i/>
          <w:iCs/>
        </w:rPr>
        <w:t xml:space="preserve">10^09. Two distinct peaks at approximately 4 × 10² and 4 × 10⁸ suggest that the administered dose was stored in MBq or Bq, respectively (see Fig. 2). There were 45 series (1.6%) with Radionuclide Total Dose lower than 10^4. All were from the ACRIN-NSCLC-FDG-PET collection. There were 28 scans with other radionuclides, the Radionuclide Total Dose ranged between 2 </w:t>
      </w:r>
      <w:r>
        <w:rPr/>
        <w:t xml:space="preserve"> 10^7 and 1.4541 * 10^9.</w:t>
      </w:r>
    </w:p>
    <w:p>
      <w:pPr>
        <w:pStyle w:val="CaptionedFigure"/>
        <w:rPr/>
      </w:pPr>
      <w:r>
        <w:rPr/>
        <w:drawing>
          <wp:inline distT="0" distB="0" distL="0" distR="0">
            <wp:extent cx="3395345" cy="3747135"/>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2"/>
                    <a:stretch>
                      <a:fillRect/>
                    </a:stretch>
                  </pic:blipFill>
                  <pic:spPr bwMode="auto">
                    <a:xfrm>
                      <a:off x="0" y="0"/>
                      <a:ext cx="3395345" cy="3747135"/>
                    </a:xfrm>
                    <a:prstGeom prst="rect">
                      <a:avLst/>
                    </a:prstGeom>
                  </pic:spPr>
                </pic:pic>
              </a:graphicData>
            </a:graphic>
          </wp:inline>
        </w:drawing>
      </w:r>
    </w:p>
    <w:p>
      <w:pPr>
        <w:pStyle w:val="ImageCaption"/>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More than half of series (N=2040, 59.4%) contained more than one Acquisition Time (0008,0032) values.</w:t>
      </w:r>
    </w:p>
    <w:p>
      <w:pPr>
        <w:pStyle w:val="BodyText"/>
        <w:jc w:val="both"/>
        <w:rPr/>
      </w:pPr>
      <w:r>
        <w:rPr/>
        <w:t>Out of 3337 series with Decay Correction = “START”, in 189 cases (5.7%), Series Time was later than Acquisition Times in at least one slice. In 168 series (5.0%), the Series Time was before Radiopharmaceutical Administration Time.</w:t>
      </w:r>
    </w:p>
    <w:p>
      <w:pPr>
        <w:pStyle w:val="BodyText"/>
        <w:jc w:val="both"/>
        <w:rPr/>
      </w:pPr>
      <w:r>
        <w:rPr/>
        <w:t>The GE private scan datetime was present in 508 series (25.2% of GE series) and 111,797 slices. The Acquisition Time was identical to the Series Time in 44,022 slices (39.4%) and in all of these slices (100.0%), this time was also equal to the time component of the private scan datetime. Out of the remaining 67,775 slices, the GE formula led to time equal to the private scan time in 62,945 cases (92.9%). The remaining 4,830 slices (4.3%) from 84 series, where neither the Acquisition Time was equal to Series Time and the private scan time nor the GE formula led to the private scan time, represent the fraction of slices where the proposed strategy would fail if the private scan datetime was removed. The median offset from the private scan time was 422 s (IQR: 243-423 s). However, the majority (69.7%) belonged to the HN-HGJ cohort of the HEAD-NECK-PET-CT collection, where all scans have the private scan datetime provided. In contrast, the Series Time differed from the private scan time in 16,321 slices (14.6%) with both attributes present with a median offset of 7150 s (IQR: 2581-10747 s).</w:t>
      </w:r>
    </w:p>
    <w:p>
      <w:pPr>
        <w:pStyle w:val="BodyText"/>
        <w:jc w:val="both"/>
        <w:rPr/>
      </w:pPr>
      <w:r>
        <w:rPr/>
        <w:t>The Siemens private scan datetime was present in 168 series (25.0% of Siemens series) and 54,090 slices. The time was always (100.0%) identical to the Series Time. Acquisition Time was equal to the Series Time in 3,054 of these slices (5.6%). In all these slices (100.0%), this time was also equal to the time component of the private scan datetime. Out of the remaining 51,036 slices, the Siemens formula led to time equal to the private scan datetime in all cases (100.0%).</w:t>
      </w:r>
    </w:p>
    <w:p>
      <w:pPr>
        <w:pStyle w:val="BodyText"/>
        <w:jc w:val="both"/>
        <w:rPr/>
      </w:pPr>
      <w:r>
        <w:rPr/>
        <w:t>There were 2,288 series (385,445 slices) from Siemens, GE, or Philips without any private scan datetime tags. Out of these, the proposed strategy led to more than one reference time per series in only 2 series (0.1%). Furthermore, the resulting reference time was never after the Acquisition Time (0.0%). in contrast, Series Time was after Acquisition Time in 10,594 slices (2.7%) from 92 series.</w:t>
      </w:r>
    </w:p>
    <w:p>
      <w:pPr>
        <w:pStyle w:val="BodyText"/>
        <w:jc w:val="both"/>
        <w:rPr/>
      </w:pPr>
      <w:r>
        <w:rPr/>
        <w:t>There were 375 series where the Manufacturer (0008,0070) attribute did not contain any of the names of the three previously mentioned scanner manufacturers. In 279 (74.4%) of these series, the strategy led to one reference time which was before acquisition time in all series. These included all series with values “Codonics” (N=2), “CTI / MIMvista” (N=1), or “PixelMed” (N=33) in the Manufacturer (0008,0070) attribute. The Siemens/Philips formula was used in case the Acquisition Time was not equal to the Series Time. In series with Manufacturer = “CPS”, the strategy led to multiple reference times in 96/192 (50.0%) cases.</w:t>
      </w:r>
    </w:p>
    <w:p>
      <w:pPr>
        <w:pStyle w:val="BodyText"/>
        <w:jc w:val="both"/>
        <w:rPr/>
      </w:pPr>
      <w:r>
        <w:rPr/>
        <w:t>The DecayFactor (0054,1321) attribute value corresponded to correction by the Frame Reference Time for all Siemens scans (100.0%). For GE, it corresponded to the sum of Frame Reference Time and T</w:t>
      </w:r>
      <w:r>
        <w:rPr>
          <w:vertAlign w:val="subscript"/>
        </w:rPr>
        <w:t>ave</w:t>
      </w:r>
      <w:r>
        <w:rPr/>
        <w:t xml:space="preserve"> in 97.5% of slices. That shows that for both manufacturers, the measured values (values before decay correction) appeared at the time Acquisition Time + T</w:t>
      </w:r>
      <w:r>
        <w:rPr>
          <w:vertAlign w:val="subscript"/>
        </w:rPr>
        <w:t>ave</w:t>
      </w:r>
      <w:r>
        <w:rPr/>
        <w:t>. For Philips, the Decay Factor was always set to 1.0 and cannot be used. For CPS, the Decay Factor corresponded to the sum of Frame Reference Time and T</w:t>
      </w:r>
      <w:r>
        <w:rPr>
          <w:vertAlign w:val="subscript"/>
        </w:rPr>
        <w:t>ave</w:t>
      </w:r>
      <w:r>
        <w:rPr/>
        <w:t xml:space="preserve"> in 93.6% of slices and to the Frame Reference Time in 6.4% of slices.</w:t>
      </w:r>
      <w:bookmarkEnd w:id="47"/>
    </w:p>
    <w:p>
      <w:pPr>
        <w:pStyle w:val="Heading3"/>
        <w:jc w:val="both"/>
        <w:rPr/>
      </w:pPr>
      <w:r>
        <w:rPr/>
        <w:t>Digital reference object</w:t>
      </w:r>
    </w:p>
    <w:p>
      <w:pPr>
        <w:pStyle w:val="FirstParagraph"/>
        <w:jc w:val="both"/>
        <w:rPr/>
      </w:pPr>
      <w:r>
        <w:rPr/>
        <w:t>Following DROs for decay correction alternatives were created:</w:t>
      </w:r>
    </w:p>
    <w:p>
      <w:pPr>
        <w:pStyle w:val="Normal"/>
        <w:numPr>
          <w:ilvl w:val="0"/>
          <w:numId w:val="149"/>
        </w:numPr>
        <w:jc w:val="both"/>
        <w:rPr/>
      </w:pPr>
      <w:r>
        <w:rPr/>
        <w:t>DRO30 dose in MBq</w:t>
      </w:r>
    </w:p>
    <w:p>
      <w:pPr>
        <w:pStyle w:val="Normal"/>
        <w:numPr>
          <w:ilvl w:val="0"/>
          <w:numId w:val="1"/>
        </w:numPr>
        <w:jc w:val="both"/>
        <w:rPr/>
      </w:pPr>
      <w:r>
        <w:rPr/>
        <w:t>Possible issues (not considering previously mentioned):</w:t>
      </w:r>
    </w:p>
    <w:p>
      <w:pPr>
        <w:pStyle w:val="Compact"/>
        <w:numPr>
          <w:ilvl w:val="1"/>
          <w:numId w:val="150"/>
        </w:numPr>
        <w:jc w:val="both"/>
        <w:rPr/>
      </w:pPr>
      <w:r>
        <w:rPr/>
        <w:t>the dose is considered to be in Bq.</w:t>
      </w:r>
    </w:p>
    <w:p>
      <w:pPr>
        <w:pStyle w:val="Normal"/>
        <w:numPr>
          <w:ilvl w:val="0"/>
          <w:numId w:val="151"/>
        </w:numPr>
        <w:jc w:val="both"/>
        <w:rPr/>
      </w:pPr>
      <w:r>
        <w:rPr/>
        <w:t>DRO31 Decay Correction = “ADMIN”</w:t>
      </w:r>
    </w:p>
    <w:p>
      <w:pPr>
        <w:pStyle w:val="Normal"/>
        <w:numPr>
          <w:ilvl w:val="0"/>
          <w:numId w:val="1"/>
        </w:numPr>
        <w:jc w:val="both"/>
        <w:rPr/>
      </w:pPr>
      <w:r>
        <w:rPr/>
        <w:t>Possible issues (not considering previously mentioned):</w:t>
      </w:r>
    </w:p>
    <w:p>
      <w:pPr>
        <w:pStyle w:val="Compact"/>
        <w:numPr>
          <w:ilvl w:val="1"/>
          <w:numId w:val="152"/>
        </w:numPr>
        <w:jc w:val="both"/>
        <w:rPr/>
      </w:pPr>
      <w:r>
        <w:rPr/>
        <w:t>Decay Correction == ADMIN is not implemented.</w:t>
      </w:r>
    </w:p>
    <w:p>
      <w:pPr>
        <w:pStyle w:val="Normal"/>
        <w:numPr>
          <w:ilvl w:val="0"/>
          <w:numId w:val="153"/>
        </w:numPr>
        <w:jc w:val="both"/>
        <w:rPr/>
      </w:pPr>
      <w:r>
        <w:rPr/>
        <w:t>DRO32x Decay Correction = “START”, private tags absent and Series Time != Acquisition Time</w:t>
      </w:r>
    </w:p>
    <w:p>
      <w:pPr>
        <w:pStyle w:val="Compact"/>
        <w:numPr>
          <w:ilvl w:val="1"/>
          <w:numId w:val="154"/>
        </w:numPr>
        <w:jc w:val="both"/>
        <w:rPr/>
      </w:pPr>
      <w:r>
        <w:rPr/>
        <w:t>three variations for manufacturers: DRO320 (Siemens), DRO321 (GE), DRO322 (Philips)</w:t>
      </w:r>
    </w:p>
    <w:p>
      <w:pPr>
        <w:pStyle w:val="Normal"/>
        <w:numPr>
          <w:ilvl w:val="0"/>
          <w:numId w:val="1"/>
        </w:numPr>
        <w:jc w:val="both"/>
        <w:rPr/>
      </w:pPr>
      <w:r>
        <w:rPr/>
        <w:t>Possible issues (not considering previously mentioned):</w:t>
      </w:r>
    </w:p>
    <w:p>
      <w:pPr>
        <w:pStyle w:val="Compact"/>
        <w:numPr>
          <w:ilvl w:val="1"/>
          <w:numId w:val="155"/>
        </w:numPr>
        <w:jc w:val="both"/>
        <w:rPr/>
      </w:pPr>
      <w:r>
        <w:rPr/>
        <w:t>dose is corrected to the Series Time or to the Acquisition Time;</w:t>
      </w:r>
    </w:p>
    <w:p>
      <w:pPr>
        <w:pStyle w:val="Compact"/>
        <w:numPr>
          <w:ilvl w:val="1"/>
          <w:numId w:val="156"/>
        </w:numPr>
        <w:jc w:val="both"/>
        <w:rPr/>
      </w:pPr>
      <w:r>
        <w:rPr/>
        <w:t>the vendor-specific reference time formulas are not implemented.</w:t>
      </w:r>
    </w:p>
    <w:p>
      <w:pPr>
        <w:pStyle w:val="Normal"/>
        <w:numPr>
          <w:ilvl w:val="0"/>
          <w:numId w:val="157"/>
        </w:numPr>
        <w:jc w:val="both"/>
        <w:rPr/>
      </w:pPr>
      <w:r>
        <w:rPr/>
        <w:t>DRO33x Decay Correction = “START”, private tags present</w:t>
      </w:r>
    </w:p>
    <w:p>
      <w:pPr>
        <w:pStyle w:val="Compact"/>
        <w:numPr>
          <w:ilvl w:val="1"/>
          <w:numId w:val="158"/>
        </w:numPr>
        <w:jc w:val="both"/>
        <w:rPr/>
      </w:pPr>
      <w:r>
        <w:rPr/>
        <w:t>two variations for manufacturers: DRO330 (Siemens), DRO331 (GE)</w:t>
      </w:r>
    </w:p>
    <w:p>
      <w:pPr>
        <w:pStyle w:val="Normal"/>
        <w:numPr>
          <w:ilvl w:val="0"/>
          <w:numId w:val="1"/>
        </w:numPr>
        <w:jc w:val="both"/>
        <w:rPr/>
      </w:pPr>
      <w:r>
        <w:rPr/>
        <w:t>Possible issues (not considering previously mentioned):</w:t>
      </w:r>
    </w:p>
    <w:p>
      <w:pPr>
        <w:pStyle w:val="Compact"/>
        <w:numPr>
          <w:ilvl w:val="1"/>
          <w:numId w:val="159"/>
        </w:numPr>
        <w:jc w:val="both"/>
        <w:rPr/>
      </w:pPr>
      <w:r>
        <w:rPr/>
        <w:t>GE / Siemens private scan datetime are not implemented.</w:t>
      </w:r>
    </w:p>
    <w:p>
      <w:pPr>
        <w:pStyle w:val="Compact"/>
        <w:numPr>
          <w:ilvl w:val="1"/>
          <w:numId w:val="160"/>
        </w:numPr>
        <w:jc w:val="both"/>
        <w:rPr/>
      </w:pPr>
      <w:r>
        <w:rPr/>
        <w:t>reference time formulas are used instead of the private scan datetime</w:t>
      </w:r>
    </w:p>
    <w:p>
      <w:pPr>
        <w:pStyle w:val="Normal"/>
        <w:numPr>
          <w:ilvl w:val="0"/>
          <w:numId w:val="161"/>
        </w:numPr>
        <w:jc w:val="both"/>
        <w:rPr/>
      </w:pPr>
      <w:r>
        <w:rPr/>
        <w:t>DRO34x Decay Correction = “NONE” + multiple values Acquisition Time</w:t>
      </w:r>
    </w:p>
    <w:p>
      <w:pPr>
        <w:pStyle w:val="Compact"/>
        <w:numPr>
          <w:ilvl w:val="1"/>
          <w:numId w:val="162"/>
        </w:numPr>
        <w:jc w:val="both"/>
        <w:rPr/>
      </w:pPr>
      <w:r>
        <w:rPr/>
        <w:t>three variations for manufacturers: DRO340 (Siemens), DRO341 (GE), DRO342 (Philips)</w:t>
      </w:r>
    </w:p>
    <w:p>
      <w:pPr>
        <w:pStyle w:val="Normal"/>
        <w:numPr>
          <w:ilvl w:val="0"/>
          <w:numId w:val="1"/>
        </w:numPr>
        <w:jc w:val="both"/>
        <w:rPr/>
      </w:pPr>
      <w:r>
        <w:rPr/>
        <w:t>Possible issues (not considering previously mentioned):</w:t>
      </w:r>
    </w:p>
    <w:p>
      <w:pPr>
        <w:pStyle w:val="Compact"/>
        <w:numPr>
          <w:ilvl w:val="1"/>
          <w:numId w:val="163"/>
        </w:numPr>
        <w:jc w:val="both"/>
        <w:rPr/>
      </w:pPr>
      <w:r>
        <w:rPr/>
        <w:t>Decay Correction == NONE is not implemented;</w:t>
      </w:r>
    </w:p>
    <w:p>
      <w:pPr>
        <w:pStyle w:val="Compact"/>
        <w:numPr>
          <w:ilvl w:val="1"/>
          <w:numId w:val="164"/>
        </w:numPr>
        <w:jc w:val="both"/>
        <w:rPr/>
      </w:pPr>
      <w:r>
        <w:rPr/>
        <w:t>incorrect formula for voxel value decay correction or dose correction is used;</w:t>
      </w:r>
    </w:p>
    <w:p>
      <w:pPr>
        <w:pStyle w:val="Compact"/>
        <w:numPr>
          <w:ilvl w:val="1"/>
          <w:numId w:val="165"/>
        </w:numPr>
        <w:jc w:val="both"/>
        <w:rPr/>
      </w:pPr>
      <w:r>
        <w:rPr/>
        <w:t>the voxel values and the administered dose are not corrected to the same time point.</w:t>
      </w:r>
    </w:p>
    <w:p>
      <w:pPr>
        <w:pStyle w:val="Normal"/>
        <w:numPr>
          <w:ilvl w:val="0"/>
          <w:numId w:val="166"/>
        </w:numPr>
        <w:jc w:val="both"/>
        <w:rPr/>
      </w:pPr>
      <w:r>
        <w:rPr/>
        <w:t>DRO35x Decay Correction = “START”, private tags absent and Series Time != Acquisition Time</w:t>
      </w:r>
    </w:p>
    <w:p>
      <w:pPr>
        <w:pStyle w:val="Compact"/>
        <w:numPr>
          <w:ilvl w:val="1"/>
          <w:numId w:val="167"/>
        </w:numPr>
        <w:jc w:val="both"/>
        <w:rPr/>
      </w:pPr>
      <w:r>
        <w:rPr/>
        <w:t>three variations for manufacturers: DRO350 (Siemens), DRO351 (GE), DRO352 (Philips)</w:t>
      </w:r>
    </w:p>
    <w:p>
      <w:pPr>
        <w:pStyle w:val="Normal"/>
        <w:numPr>
          <w:ilvl w:val="0"/>
          <w:numId w:val="1"/>
        </w:numPr>
        <w:jc w:val="both"/>
        <w:rPr/>
      </w:pPr>
      <w:r>
        <w:rPr/>
        <w:t>Possible issues (not considering previously mentioned):</w:t>
      </w:r>
    </w:p>
    <w:p>
      <w:pPr>
        <w:pStyle w:val="Compact"/>
        <w:numPr>
          <w:ilvl w:val="1"/>
          <w:numId w:val="168"/>
        </w:numPr>
        <w:jc w:val="both"/>
        <w:rPr/>
      </w:pPr>
      <w:bookmarkStart w:id="48" w:name="digital-reference-object-3"/>
      <w:r>
        <w:rPr/>
        <w:t>Acquisition Time is not used when Acquisition Time = Series Time</w:t>
      </w:r>
      <w:bookmarkEnd w:id="48"/>
    </w:p>
    <w:p>
      <w:pPr>
        <w:pStyle w:val="Heading3"/>
        <w:jc w:val="both"/>
        <w:rPr/>
      </w:pPr>
      <w:bookmarkStart w:id="49" w:name="recommendations-3"/>
      <w:bookmarkEnd w:id="49"/>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 computation is not possible.</w:t>
      </w:r>
    </w:p>
    <w:p>
      <w:pPr>
        <w:pStyle w:val="BodyText"/>
        <w:jc w:val="both"/>
        <w:rPr/>
      </w:pPr>
      <w:r>
        <w:rPr/>
        <w:t>Justification: Radionuclide Total Dose is required for conversion of Bq/ml to SUV.</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should be checked that it is present and has one of these values: “ADMIN”, “START”, “NONE”; otherwise, SUV cannot be computed.</w:t>
      </w:r>
    </w:p>
    <w:p>
      <w:pPr>
        <w:pStyle w:val="BodyText"/>
        <w:jc w:val="both"/>
        <w:rPr/>
      </w:pPr>
      <w:r>
        <w:rPr/>
        <w:t>Justification: Decay Correction method applied to the images must be known for conversion to SUV.</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 not require dose correction and the conversion formula is independent of the Manufacturer (0008,0070) attribute value.</w:t>
      </w:r>
    </w:p>
    <w:p>
      <w:pPr>
        <w:pStyle w:val="BodyText"/>
        <w:jc w:val="both"/>
        <w:rPr/>
      </w:pPr>
      <w:r>
        <w:rPr/>
        <w:t>Justification: Scans with Decay Correction = “ADMIN” contain images corrected to the time 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pPr>
        <w:pStyle w:val="BodyText"/>
        <w:jc w:val="both"/>
        <w:rPr/>
      </w:pPr>
      <w:r>
        <w:rPr/>
        <w:t>Scans with Decay Correction = “START” or “NONE” store values at a different time point and the dose can be corrected to this time point. Another option is decay-correcting the images to the radionuclide administration or correcting both the dose and image to another time point. However, the selected method has no effect on SUV</w:t>
      </w:r>
      <w:r>
        <w:rPr>
          <w:vertAlign w:val="subscript"/>
        </w:rPr>
        <w:t>bw</w:t>
      </w:r>
      <w:r>
        <w:rPr/>
        <w:t xml:space="preserve"> and other methods are not implemented in these recommendations.</w:t>
      </w:r>
    </w:p>
    <w:p>
      <w:pPr>
        <w:pStyle w:val="BodyText"/>
        <w:jc w:val="both"/>
        <w:rPr/>
      </w:pPr>
      <w:r>
        <w:rPr>
          <w:b/>
          <w:bCs/>
          <w:i/>
          <w:iCs/>
        </w:rPr>
        <w:t>In images where dose correction is required and Decay Correction (0054,1102) is set to “START” and the Manufacturer (0008,0070) attribute contains “SIEMENS”, the dose should be corrected to the time stored in the private scan datetime (0071,1022) if it is present and has a non-negative value.</w:t>
      </w:r>
    </w:p>
    <w:p>
      <w:pPr>
        <w:pStyle w:val="BodyText"/>
        <w:jc w:val="both"/>
        <w:rPr/>
      </w:pPr>
      <w:r>
        <w:rPr/>
        <w:t>Justification: The private scan datetime is used by Siemens scanners for decay correction and. Based on our observations, it represents the most reliable source of the reference time. In contrast, Series Time and the earliest Acquisition Time (0008,0032)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 the dose should be corrected to the time stored in the private scan datetime (0009,100D) if it is present and has a non-negative value.</w:t>
      </w:r>
    </w:p>
    <w:p>
      <w:pPr>
        <w:pStyle w:val="BodyText"/>
        <w:jc w:val="both"/>
        <w:rPr/>
      </w:pPr>
      <w:r>
        <w:rPr/>
        <w:t>Justification: The private scan datetime is used by GE scanners for decay correction. Based on our observations, it represents the most reliable source of the reference time.</w:t>
      </w:r>
    </w:p>
    <w:p>
      <w:pPr>
        <w:pStyle w:val="BodyText"/>
        <w:jc w:val="both"/>
        <w:rPr/>
      </w:pPr>
      <w:r>
        <w:rPr>
          <w:b/>
          <w:bCs/>
          <w:i/>
          <w:iCs/>
        </w:rPr>
        <w:t>If dose correction is required and Decay Correction (0054,1102) is set to “START” and the previous two conditions are not met and the Acquisition Time (0008,0032) in seconds is equal to the Series Time (0008, 0031) in seconds and the Manufacturer (0008,0070) attribute contains “SIEMENS” or “GE” or “Philips” and the Acquisition Time (0008,0032) has a non-negative value, the dose should be corrected to the Acquisition Time (0008,0032).</w:t>
      </w:r>
    </w:p>
    <w:p>
      <w:pPr>
        <w:pStyle w:val="BodyText"/>
        <w:jc w:val="both"/>
        <w:rPr/>
      </w:pPr>
      <w:r>
        <w:rPr/>
        <w:t>Justification: This option is used mainly for single-bed scans, first bed positions of multi-bed scans, and also accounts for the common pitfall of a constant Acquisition Time and variable Frame Reference Times within some multi-bed scans (observed in some GE and Siemens scans).</w:t>
      </w:r>
    </w:p>
    <w:p>
      <w:pPr>
        <w:pStyle w:val="BodyText"/>
        <w:jc w:val="both"/>
        <w:rPr/>
      </w:pPr>
      <w:r>
        <w:rPr>
          <w:b/>
          <w:bCs/>
          <w:i/>
          <w:iCs/>
        </w:rPr>
        <w:t>If dose correction is required and Decay Correction (0054,1102) is set to “START” and the previous three conditions are not met and the Manufacturer (0008,0070) attribute contains “SIEMENS” or “Philips” and the Acquisition Time (0008,0032) has a non-negative value and the Frame Reference Time (0054,1300) has a non-negative value and the Actual Frame Duration (0018,1242) has a positive, non-zero value, the dose should be corrected to the time one Frame Reference Time (0054,1300) in seconds before the time the pixel values in the image occurred, i.e., Acquisition Time (0008,0032) + T</w:t>
      </w:r>
      <w:r>
        <w:rPr>
          <w:b/>
          <w:bCs/>
          <w:i/>
          <w:iCs/>
          <w:vertAlign w:val="subscript"/>
        </w:rPr>
        <w:t>ave</w:t>
      </w:r>
      <w:r>
        <w:rPr>
          <w:b/>
          <w:bCs/>
          <w:i/>
          <w:iCs/>
        </w:rPr>
        <w:t>.</w:t>
      </w:r>
    </w:p>
    <w:p>
      <w:pPr>
        <w:pStyle w:val="BodyText"/>
        <w:jc w:val="both"/>
        <w:rPr/>
      </w:pPr>
      <w:r>
        <w:rPr/>
        <w:t>Justification: This option is used mainly for multi-bed scans and is based on conformance statements (Siemens), experiments (Siemens, Philips), vendor responses (Siemens), as well as indirect evidence, such as the values of the Decay Factor (0054,1321; Siemens) and Siemens private scan datetime (0071,1022; Siemens).</w:t>
      </w:r>
    </w:p>
    <w:p>
      <w:pPr>
        <w:pStyle w:val="BodyText"/>
        <w:jc w:val="both"/>
        <w:rPr/>
      </w:pPr>
      <w:r>
        <w:rPr>
          <w:b/>
          <w:bCs/>
          <w:i/>
          <w:iCs/>
        </w:rPr>
        <w:t>If dose correction is required and Decay Correction (0054,1102) is set to “START” and the previous four conditions are not met and the Manufacturer (0008,0070) attribute contains “GE” and the Acquisition Time (0008,0032) has a non-negative value and the Frame Reference Time (0054,1300) has a non-negative value, the dose should be corrected to the time one Frame Reference Time (0054,1300) in seconds before the Acquisition Time (0008,0032).</w:t>
      </w:r>
    </w:p>
    <w:p>
      <w:pPr>
        <w:pStyle w:val="BodyText"/>
        <w:jc w:val="both"/>
        <w:rPr/>
      </w:pPr>
      <w:r>
        <w:rPr/>
        <w:t>Justification: This option is used mainly for multi-bed scans and is based on conformance statements, experiments, vendor responses, as well as indirect evidence, such as the values of the Decay Factor (0054,1321; GE) and GE private scan datetime (0009,100D; GE).</w:t>
      </w:r>
    </w:p>
    <w:p>
      <w:pPr>
        <w:pStyle w:val="BodyText"/>
        <w:jc w:val="both"/>
        <w:rPr/>
      </w:pPr>
      <w:r>
        <w:rPr>
          <w:b/>
          <w:bCs/>
          <w:i/>
          <w:iCs/>
        </w:rPr>
        <w:t>If dose correction is required and Decay Correction (0054,1102) is set to “NONE” and the Manufacturer (0008,0070) attribute contains “SIEMENS” or “GE” or “Philips”, the dose can be corrected to the time the voxel values correspond to.</w:t>
      </w:r>
      <w:r>
        <w:rPr/>
        <w:t xml:space="preserve"> </w:t>
      </w:r>
      <w:r>
        <w:rPr>
          <w:b/>
          <w:bCs/>
          <w:i/>
          <w:iCs/>
        </w:rPr>
        <w:t>In that case, an identical, aforementioned equation can be used for all these cases.</w:t>
      </w:r>
    </w:p>
    <w:p>
      <w:pPr>
        <w:pStyle w:val="BodyText"/>
        <w:jc w:val="both"/>
        <w:rPr/>
      </w:pPr>
      <w:r>
        <w:rPr/>
        <w:t>Justification: For Siemens, Philips, and GE, the voxel values of non-decay-corrected images should always correspond to values at the time Acquisition Time + T</w:t>
      </w:r>
      <w:r>
        <w:rPr>
          <w:vertAlign w:val="subscript"/>
        </w:rPr>
        <w:t>ave</w:t>
      </w:r>
      <w:r>
        <w:rPr/>
        <w:t xml:space="preserve"> so the dose can be corrected to this time point, which may differ between slices / frames.</w:t>
      </w:r>
    </w:p>
    <w:p>
      <w:pPr>
        <w:pStyle w:val="BodyText"/>
        <w:jc w:val="both"/>
        <w:rPr/>
      </w:pPr>
      <w:r>
        <w:rPr>
          <w:b/>
          <w:bCs/>
          <w:i/>
          <w:iCs/>
        </w:rPr>
        <w:t>Dose correction and all other computations shall be applied on a per-slice basis, using only attributes associated with the respective slice, and shall not depend on values from other slices.</w:t>
      </w:r>
    </w:p>
    <w:p>
      <w:pPr>
        <w:pStyle w:val="BodyText"/>
        <w:jc w:val="both"/>
        <w:rPr/>
      </w:pPr>
      <w:r>
        <w:rPr/>
        <w:t>Justification: Each slice contains sufficient information for SUV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manufacturer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manufacturers “SIEMENS”, “GE”, or “Philips”, or as a combination of these manufacturers, we cannot recommend any strategy. In such cases, SUV computation cannot be verified.</w:t>
      </w:r>
    </w:p>
    <w:p>
      <w:pPr>
        <w:pStyle w:val="BodyText"/>
        <w:jc w:val="both"/>
        <w:rPr/>
      </w:pPr>
      <w:r>
        <w:rPr/>
        <w:t>Justification: Different manufacturers may implement reference time (the time to which voxel values are decay-corrected) and measurement time (the time the original values occurred) differently. For CPS scanners, significant inconsistencies were observed. Currently, we lack sufficient data and technical information for other manufacturers to provide reliable guidance.</w:t>
      </w:r>
    </w:p>
    <w:p>
      <w:pPr>
        <w:pStyle w:val="BodyText"/>
        <w:jc w:val="both"/>
        <w:rPr/>
      </w:pPr>
      <w:r>
        <w:rPr/>
      </w:r>
      <w:bookmarkStart w:id="50" w:name="recommendations-3_Copy_1"/>
      <w:bookmarkStart w:id="51" w:name="radiopharmaceutical-dose-d_Copy_1"/>
      <w:bookmarkStart w:id="52" w:name="recommendations-3_Copy_1"/>
      <w:bookmarkStart w:id="53" w:name="radiopharmaceutical-dose-d_Copy_1"/>
      <w:bookmarkEnd w:id="52"/>
      <w:bookmarkEnd w:id="53"/>
    </w:p>
    <w:p>
      <w:pPr>
        <w:pStyle w:val="Heading2"/>
        <w:jc w:val="both"/>
        <w:rPr/>
      </w:pPr>
      <w:bookmarkStart w:id="54" w:name="radiopharmaceutical-start-time-tadm"/>
      <w:bookmarkEnd w:id="54"/>
      <w:r>
        <w:rPr/>
        <w:t>Radiopharmaceutical start time (t</w:t>
      </w:r>
      <w:r>
        <w:rPr>
          <w:vertAlign w:val="subscript"/>
        </w:rPr>
        <w:t>adm</w:t>
      </w:r>
      <w:r>
        <w:rPr/>
        <w:t>)</w:t>
      </w:r>
    </w:p>
    <w:p>
      <w:pPr>
        <w:pStyle w:val="Heading3"/>
        <w:jc w:val="both"/>
        <w:rPr/>
      </w:pPr>
      <w:r>
        <w:rPr/>
        <w:t>Background</w:t>
      </w:r>
    </w:p>
    <w:p>
      <w:pPr>
        <w:pStyle w:val="FirstParagraph"/>
        <w:jc w:val="both"/>
        <w:rPr/>
      </w:pPr>
      <w:r>
        <w:rPr/>
        <w:t xml:space="preserve">Originally, radiotracer administration time was stored in the DICOM tag Radiopharmaceutical Start Time (0018,1072). However, this attribute lacks the information about the date, therefore, </w:t>
      </w:r>
      <w:hyperlink r:id="rId63">
        <w:r>
          <w:rPr>
            <w:rStyle w:val="Hyperlink"/>
          </w:rPr>
          <w:t>was deprecated</w:t>
        </w:r>
      </w:hyperlink>
      <w:r>
        <w:rPr/>
        <w:t xml:space="preserve"> and Radiopharmaceutical Start DateTime (0018,1078) should be used for storing the information.</w:t>
      </w:r>
    </w:p>
    <w:p>
      <w:pPr>
        <w:pStyle w:val="BodyText"/>
        <w:jc w:val="both"/>
        <w:rPr/>
      </w:pPr>
      <w:bookmarkStart w:id="55" w:name="background-4"/>
      <w:r>
        <w:rPr/>
        <w:t>Clinical PET scans can be acquired on the following day after radiotracer administration, particularly when the injection occurs in the evening. Although Radiopharmaceutical Start DateTime includes the date, this information is often altered during post-processing, for example due to anonymization. Comparing Acquisition Time with Radiopharmaceutical Start Time therefore appears to be a more reliable approach for identifying scans acquired on the day following radiotracer administration. Another situation in which Acquisition Time may precede Radiopharmaceutical Start Time is dynamic imaging, where radiotracer administration occurs during the acquisition. However, such cases are typically characterized by short delays, and administration is unlikely to occur more than one hour after the start of acquisition.</w:t>
      </w:r>
      <w:bookmarkEnd w:id="55"/>
    </w:p>
    <w:p>
      <w:pPr>
        <w:pStyle w:val="Heading3"/>
        <w:jc w:val="both"/>
        <w:rPr/>
      </w:pPr>
      <w:r>
        <w:rPr/>
        <w:t>Metadata analysis</w:t>
      </w:r>
    </w:p>
    <w:p>
      <w:pPr>
        <w:pStyle w:val="FirstParagraph"/>
        <w:jc w:val="both"/>
        <w:rPr/>
      </w:pPr>
      <w:r>
        <w:rPr/>
        <w:t>Among the data examined, 1869 series (60.2%) included only the Radiopharmaceutical Start Time without an associated date, 1031 series (33.2%) included both values, and 205 series (6.6%) included neither. There was only 1 case in which only Radiopharmaceutical Start DateTime was present, which may be because the other attribute was deprecated only recently.</w:t>
      </w:r>
    </w:p>
    <w:p>
      <w:pPr>
        <w:pStyle w:val="BodyText"/>
        <w:jc w:val="both"/>
        <w:rPr/>
      </w:pPr>
      <w:r>
        <w:rP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considered inherently reliable.</w:t>
      </w:r>
    </w:p>
    <w:p>
      <w:pPr>
        <w:pStyle w:val="BodyText"/>
        <w:jc w:val="both"/>
        <w:rPr/>
      </w:pPr>
      <w:bookmarkStart w:id="56" w:name="metadata-analysis-5"/>
      <w:r>
        <w:rPr/>
        <w:t>There were two series with Radiopharmaceutical Start Date one day before Acquisition Date. However, the times differed by 63 and 66 minutes, so the acquisition most likely occurred on the same day as radiotracer administration. 37 series contained slices with Acquisition Time before Radiopharmaceutical Start Time. All were dynamic scans from the “ACRIN-FLT-BREAST” collection. The highest time offset between Acquisition Time and Radiopharmaceutical Start Time was 166 seconds.</w:t>
      </w:r>
      <w:bookmarkEnd w:id="56"/>
    </w:p>
    <w:p>
      <w:pPr>
        <w:pStyle w:val="Heading3"/>
        <w:jc w:val="both"/>
        <w:rPr/>
      </w:pPr>
      <w:r>
        <w:rPr/>
        <w:t>Digital reference object</w:t>
      </w:r>
    </w:p>
    <w:p>
      <w:pPr>
        <w:pStyle w:val="FirstParagraph"/>
        <w:jc w:val="both"/>
        <w:rPr/>
      </w:pPr>
      <w:r>
        <w:rPr/>
        <w:t>Following objects were created:</w:t>
      </w:r>
    </w:p>
    <w:p>
      <w:pPr>
        <w:pStyle w:val="Normal"/>
        <w:numPr>
          <w:ilvl w:val="0"/>
          <w:numId w:val="169"/>
        </w:numPr>
        <w:jc w:val="both"/>
        <w:rPr/>
      </w:pPr>
      <w:r>
        <w:rPr/>
        <w:t>DRO40 only Radiopharmaceutical Start DateTime, no Radiopharmaceutical Start time</w:t>
      </w:r>
    </w:p>
    <w:p>
      <w:pPr>
        <w:pStyle w:val="Normal"/>
        <w:numPr>
          <w:ilvl w:val="0"/>
          <w:numId w:val="1"/>
        </w:numPr>
        <w:jc w:val="both"/>
        <w:rPr/>
      </w:pPr>
      <w:r>
        <w:rPr/>
        <w:t>Possible issues:</w:t>
      </w:r>
    </w:p>
    <w:p>
      <w:pPr>
        <w:pStyle w:val="Compact"/>
        <w:numPr>
          <w:ilvl w:val="1"/>
          <w:numId w:val="170"/>
        </w:numPr>
        <w:jc w:val="both"/>
        <w:rPr/>
      </w:pPr>
      <w:r>
        <w:rPr/>
        <w:t>Radiopharmaceutical Start Time is required.</w:t>
      </w:r>
    </w:p>
    <w:p>
      <w:pPr>
        <w:pStyle w:val="Normal"/>
        <w:numPr>
          <w:ilvl w:val="0"/>
          <w:numId w:val="171"/>
        </w:numPr>
        <w:jc w:val="both"/>
        <w:rPr/>
      </w:pPr>
      <w:r>
        <w:rPr/>
        <w:t>DRO41 only Radiopharmaceutical Start Time, no Radiopharmaceutical Start DateTime</w:t>
      </w:r>
    </w:p>
    <w:p>
      <w:pPr>
        <w:pStyle w:val="Normal"/>
        <w:numPr>
          <w:ilvl w:val="0"/>
          <w:numId w:val="1"/>
        </w:numPr>
        <w:jc w:val="both"/>
        <w:rPr/>
      </w:pPr>
      <w:r>
        <w:rPr/>
        <w:t>Possible issues:</w:t>
      </w:r>
    </w:p>
    <w:p>
      <w:pPr>
        <w:pStyle w:val="Compact"/>
        <w:numPr>
          <w:ilvl w:val="1"/>
          <w:numId w:val="172"/>
        </w:numPr>
        <w:jc w:val="both"/>
        <w:rPr/>
      </w:pPr>
      <w:r>
        <w:rPr/>
        <w:t>Radiopharmaceutical Start DateTime is required.</w:t>
      </w:r>
    </w:p>
    <w:p>
      <w:pPr>
        <w:pStyle w:val="Normal"/>
        <w:numPr>
          <w:ilvl w:val="0"/>
          <w:numId w:val="173"/>
        </w:numPr>
        <w:jc w:val="both"/>
        <w:rPr/>
      </w:pPr>
      <w:r>
        <w:rPr/>
        <w:t>DRO42 over midnight (started before midnight, ended after midnight, only Radiopharmaceutical Start Time provided)</w:t>
      </w:r>
    </w:p>
    <w:p>
      <w:pPr>
        <w:pStyle w:val="Normal"/>
        <w:numPr>
          <w:ilvl w:val="0"/>
          <w:numId w:val="1"/>
        </w:numPr>
        <w:jc w:val="both"/>
        <w:rPr/>
      </w:pPr>
      <w:r>
        <w:rPr/>
        <w:t>Possible issues:</w:t>
      </w:r>
    </w:p>
    <w:p>
      <w:pPr>
        <w:pStyle w:val="Compact"/>
        <w:numPr>
          <w:ilvl w:val="1"/>
          <w:numId w:val="174"/>
        </w:numPr>
        <w:jc w:val="both"/>
        <w:rPr/>
      </w:pPr>
      <w:bookmarkStart w:id="57" w:name="digital-reference-object-4"/>
      <w:r>
        <w:rPr/>
        <w:t>administration time and scan time are not compared.</w:t>
      </w:r>
      <w:bookmarkEnd w:id="57"/>
    </w:p>
    <w:p>
      <w:pPr>
        <w:pStyle w:val="Heading3"/>
        <w:jc w:val="both"/>
        <w:rPr/>
      </w:pPr>
      <w:bookmarkStart w:id="58" w:name="recommendations-4"/>
      <w:bookmarkEnd w:id="58"/>
      <w:r>
        <w:rPr/>
        <w:t>Recommendations</w:t>
      </w:r>
    </w:p>
    <w:p>
      <w:pPr>
        <w:pStyle w:val="FirstParagraph"/>
        <w:jc w:val="both"/>
        <w:rPr/>
      </w:pPr>
      <w:r>
        <w:rPr>
          <w:b/>
          <w:bCs/>
          <w:i/>
          <w:iCs/>
        </w:rPr>
        <w:t>The time of radiotracer administration should be extracted from the attributes Radiopharmaceutical Start DateTime (0018,1078) or Radiopharmaceutical Start Time (0018,1072).</w:t>
      </w:r>
      <w:r>
        <w:rPr/>
        <w:t xml:space="preserve"> </w:t>
      </w:r>
      <w:r>
        <w:rPr>
          <w:b/>
          <w:bCs/>
          <w:i/>
          <w:iCs/>
        </w:rPr>
        <w:t>If one of the attributes is absent, empty, or negative, the other attribute should be used.</w:t>
      </w:r>
      <w:r>
        <w:rPr/>
        <w:t xml:space="preserve"> </w:t>
      </w:r>
      <w:r>
        <w:rPr>
          <w:b/>
          <w:bCs/>
          <w:i/>
          <w:iCs/>
        </w:rPr>
        <w:t>Radiopharmaceutical Start DateTime (0018,1078) should be used preferentially if both attributes are present and none of them is empty or negative.</w:t>
      </w:r>
      <w:r>
        <w:rPr/>
        <w:t xml:space="preserve"> </w:t>
      </w:r>
      <w:r>
        <w:rPr>
          <w:b/>
          <w:bCs/>
          <w:i/>
          <w:iCs/>
        </w:rPr>
        <w:t>If both attributes are absent, empty, or negative and the dose correction is needed, SUV computation is not possible.</w:t>
      </w:r>
    </w:p>
    <w:p>
      <w:pPr>
        <w:pStyle w:val="BodyText"/>
        <w:jc w:val="both"/>
        <w:rPr/>
      </w:pPr>
      <w:r>
        <w:rPr/>
        <w:t>Justification: The time of radiotracer administration is required for dose and voxel value correction, i.e., as explained above, for all scans where Decay Correction is “START” or “NONE”. Both attributes store the time information. Value truncation was observed occasionally by Radiopharmaceutical Start DateTime.</w:t>
      </w:r>
    </w:p>
    <w:p>
      <w:pPr>
        <w:pStyle w:val="BodyText"/>
        <w:jc w:val="both"/>
        <w:rPr/>
      </w:pPr>
      <w:r>
        <w:rPr>
          <w:b/>
          <w:bCs/>
          <w:i/>
          <w:iCs/>
        </w:rPr>
        <w:t>There may be cases where radiotracer was administered on the day preceding the day the scan was acquired.</w:t>
      </w:r>
      <w:r>
        <w:rPr/>
        <w:t xml:space="preserve"> </w:t>
      </w:r>
      <w:r>
        <w:rPr>
          <w:b/>
          <w:bCs/>
          <w:i/>
          <w:iCs/>
        </w:rPr>
        <w:t>Such cases should be recognized by a positive time difference between the time of radiotracer administration and Acquisition Time (0008,0032) higher than +3600 seconds.</w:t>
      </w:r>
    </w:p>
    <w:p>
      <w:pPr>
        <w:pStyle w:val="BodyText"/>
        <w:jc w:val="both"/>
        <w:rPr/>
      </w:pPr>
      <w:r>
        <w:rPr/>
        <w:t>Justification: In rare cases, radiotracer may be administered before image acquisition. Since the date may be modified and is not reliable, the information can be inferred from a positive difference between radiotracer administration and Acquisition Time. Since a minor positive difference may also occur in dynamic scans, a threshold of 3600 seconds is recommended to distinguish these two situations. Please note the strategy would fail in case of dynamic scans with acquisition start before midnight and radiotracer administration after midnight or if the radiotracer was administered more than 23 hours before image acquisition.</w:t>
      </w:r>
    </w:p>
    <w:p>
      <w:pPr>
        <w:pStyle w:val="BodyText"/>
        <w:jc w:val="both"/>
        <w:rPr/>
      </w:pPr>
      <w:r>
        <w:rPr/>
      </w:r>
      <w:bookmarkStart w:id="59" w:name="recommendations-4_Copy_1"/>
      <w:bookmarkStart w:id="60" w:name="radiopharmaceutical-start-time-tadm_Copy"/>
      <w:bookmarkStart w:id="61" w:name="recommendations-4_Copy_1"/>
      <w:bookmarkStart w:id="62" w:name="radiopharmaceutical-start-time-tadm_Copy"/>
      <w:bookmarkEnd w:id="61"/>
      <w:bookmarkEnd w:id="62"/>
    </w:p>
    <w:p>
      <w:pPr>
        <w:pStyle w:val="Heading2"/>
        <w:jc w:val="both"/>
        <w:rPr/>
      </w:pPr>
      <w:r>
        <w:rPr/>
        <w:t>Radiopharmaceutical half-life (T</w:t>
      </w:r>
      <w:r>
        <w:rPr>
          <w:vertAlign w:val="subscript"/>
        </w:rPr>
        <w:t>1/2</w:t>
      </w:r>
      <w:r>
        <w:rPr/>
        <w:t>)</w:t>
      </w:r>
    </w:p>
    <w:p>
      <w:pPr>
        <w:pStyle w:val="Heading3"/>
        <w:jc w:val="both"/>
        <w:rPr/>
      </w:pPr>
      <w:r>
        <w:rPr/>
        <w:t>Background</w:t>
      </w:r>
    </w:p>
    <w:p>
      <w:pPr>
        <w:pStyle w:val="FirstParagraph"/>
        <w:jc w:val="both"/>
        <w:rPr/>
      </w:pPr>
      <w:bookmarkStart w:id="63"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the Radiopharmaceutical (0018,0031) attribute or within the Radionuclide Code Sequence (0054,0300). However, due to their frequent incompleteness and limited interpretability, these fields were omitted from the recommendations, especially considering the reliability of the Radionuclide Half Life attribute.</w:t>
      </w:r>
      <w:bookmarkEnd w:id="63"/>
    </w:p>
    <w:p>
      <w:pPr>
        <w:pStyle w:val="Heading3"/>
        <w:jc w:val="both"/>
        <w:rPr/>
      </w:pPr>
      <w:r>
        <w:rPr/>
        <w:t>Metadata analysis</w:t>
      </w:r>
    </w:p>
    <w:p>
      <w:pPr>
        <w:pStyle w:val="FirstParagraph"/>
        <w:jc w:val="both"/>
        <w:rPr/>
      </w:pPr>
      <w:r>
        <w:rPr/>
        <w:t>All series had the Radionuclide half-life provided and it always had a positive value. Most series used F-18 as radionuclide (Table 3).</w:t>
      </w:r>
    </w:p>
    <w:p>
      <w:pPr>
        <w:pStyle w:val="TableCaption"/>
        <w:rPr/>
      </w:pPr>
      <w:r>
        <w:rPr/>
        <w:t>Table 3: Unique values of RadionuclideHalfLife (0018,1075); half-life values were truncated.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95"/>
        <w:gridCol w:w="1440"/>
        <w:gridCol w:w="1350"/>
        <w:gridCol w:w="2234"/>
      </w:tblGrid>
      <w:tr>
        <w:trPr>
          <w:tblHeader w:val="true"/>
        </w:trPr>
        <w:tc>
          <w:tcPr>
            <w:tcW w:w="2895"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RadionuclideHalfLife (s)</w:t>
            </w:r>
          </w:p>
        </w:tc>
        <w:tc>
          <w:tcPr>
            <w:tcW w:w="144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Freq</w:t>
            </w:r>
          </w:p>
        </w:tc>
        <w:tc>
          <w:tcPr>
            <w:tcW w:w="135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2234"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Corresponds to</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598</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13</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N-13</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1223</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C-11</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4057</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20</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Ga-68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6586</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1201</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39 %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6588</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1805</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58 %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23400000</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Ge-68</w:t>
            </w:r>
            <w:bookmarkStart w:id="64" w:name="metadata-analysis-6"/>
            <w:bookmarkEnd w:id="64"/>
          </w:p>
        </w:tc>
      </w:tr>
    </w:tbl>
    <w:p>
      <w:pPr>
        <w:pStyle w:val="Heading3"/>
        <w:jc w:val="both"/>
        <w:rPr/>
      </w:pPr>
      <w:r>
        <w:rPr/>
        <w:t>Digital reference object</w:t>
      </w:r>
    </w:p>
    <w:p>
      <w:pPr>
        <w:pStyle w:val="FirstParagraph"/>
        <w:jc w:val="both"/>
        <w:rPr/>
      </w:pPr>
      <w:r>
        <w:rPr/>
        <w:t>To check that radionuclide half-life is taken into account when SUV is computed, following DROs were constructed:</w:t>
      </w:r>
    </w:p>
    <w:p>
      <w:pPr>
        <w:pStyle w:val="Normal"/>
        <w:numPr>
          <w:ilvl w:val="0"/>
          <w:numId w:val="175"/>
        </w:numPr>
        <w:jc w:val="both"/>
        <w:rPr/>
      </w:pPr>
      <w:r>
        <w:rPr/>
        <w:t>DRO50 with Ga-68 as radionuclide, half-life provided</w:t>
      </w:r>
    </w:p>
    <w:p>
      <w:pPr>
        <w:pStyle w:val="Normal"/>
        <w:numPr>
          <w:ilvl w:val="0"/>
          <w:numId w:val="1"/>
        </w:numPr>
        <w:jc w:val="both"/>
        <w:rPr/>
      </w:pPr>
      <w:r>
        <w:rPr/>
        <w:t>Possible issues:</w:t>
      </w:r>
    </w:p>
    <w:p>
      <w:pPr>
        <w:pStyle w:val="Compact"/>
        <w:numPr>
          <w:ilvl w:val="1"/>
          <w:numId w:val="176"/>
        </w:numPr>
        <w:jc w:val="both"/>
        <w:rPr/>
      </w:pPr>
      <w:r>
        <w:rPr/>
        <w:t>half-life is not extracted correctly from RadionuclideHalfLife;</w:t>
      </w:r>
    </w:p>
    <w:p>
      <w:pPr>
        <w:pStyle w:val="Compact"/>
        <w:numPr>
          <w:ilvl w:val="1"/>
          <w:numId w:val="177"/>
        </w:numPr>
        <w:jc w:val="both"/>
        <w:rPr/>
      </w:pPr>
      <w:r>
        <w:rPr/>
        <w:t>radionuclide half-life is not considered within the dose decay correction.</w:t>
      </w:r>
    </w:p>
    <w:p>
      <w:pPr>
        <w:pStyle w:val="Heading3"/>
        <w:jc w:val="both"/>
        <w:rPr/>
      </w:pPr>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 computation is not possible.</w:t>
      </w:r>
    </w:p>
    <w:p>
      <w:pPr>
        <w:pStyle w:val="BodyText"/>
        <w:jc w:val="both"/>
        <w:rPr/>
      </w:pPr>
      <w:r>
        <w:rPr/>
        <w:t>Justification: The Radionuclide Half Life is used for dose correction.</w:t>
      </w:r>
    </w:p>
    <w:p>
      <w:pPr>
        <w:pStyle w:val="BodyText"/>
        <w:jc w:val="both"/>
        <w:rPr/>
      </w:pPr>
      <w:bookmarkStart w:id="65" w:name="recommendations-5"/>
      <w:bookmarkStart w:id="66" w:name="radiopharmaceutical-half-life-t12"/>
      <w:bookmarkStart w:id="67" w:name="results"/>
      <w:r>
        <w:rPr/>
        <w:t xml:space="preserve"> </w:t>
      </w:r>
      <w:bookmarkEnd w:id="65"/>
      <w:bookmarkEnd w:id="66"/>
      <w:bookmarkEnd w:id="67"/>
    </w:p>
    <w:p>
      <w:pPr>
        <w:pStyle w:val="Heading1"/>
        <w:jc w:val="both"/>
        <w:rPr/>
      </w:pPr>
      <w:r>
        <w:rPr/>
        <w:t>Discussion (tbd)</w:t>
      </w:r>
    </w:p>
    <w:p>
      <w:pPr>
        <w:pStyle w:val="FirstParagraph"/>
        <w:jc w:val="both"/>
        <w:rPr/>
      </w:pPr>
      <w:r>
        <w:rPr/>
        <w:t xml:space="preserve">In the past, efforts have been made to standardize SUV computation, most notably by the </w:t>
      </w:r>
      <w:hyperlink r:id="rId64">
        <w:r>
          <w:rPr>
            <w:rStyle w:val="Hyperlink"/>
          </w:rPr>
          <w:t>Quantitative Imaging Biomarkers Alliance (QIBA)</w:t>
        </w:r>
      </w:hyperlink>
      <w:r>
        <w:rPr/>
        <w:t xml:space="preserve">. Furthermore, </w:t>
      </w:r>
      <w:hyperlink r:id="rId65">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conversion across software platforms and institutions – an aspect that is particularly critical in multi-center studies.</w:t>
      </w:r>
    </w:p>
    <w:p>
      <w:pPr>
        <w:pStyle w:val="BodyText"/>
        <w:jc w:val="both"/>
        <w:rPr/>
      </w:pPr>
      <w:r>
        <w:rPr/>
        <w:t>A limitation of this work that it solely focuses on the body-weight normalized SUV (SUV</w:t>
      </w:r>
      <w:r>
        <w:rPr>
          <w:vertAlign w:val="subscript"/>
        </w:rPr>
        <w:t>bw</w:t>
      </w:r>
      <w:r>
        <w:rPr/>
        <w:t>). Other commonly used SUV normalizations, such as SUV</w:t>
      </w:r>
      <w:r>
        <w:rPr>
          <w:vertAlign w:val="subscript"/>
        </w:rPr>
        <w:t>lbm</w:t>
      </w:r>
      <w:r>
        <w:rPr/>
        <w:t>, SUV</w:t>
      </w:r>
      <w:r>
        <w:rPr>
          <w:vertAlign w:val="subscript"/>
        </w:rPr>
        <w:t>bsa</w:t>
      </w:r>
      <w:r>
        <w:rPr/>
        <w:t>, and SUV</w:t>
      </w:r>
      <w:r>
        <w:rPr>
          <w:vertAlign w:val="subscript"/>
        </w:rPr>
        <w:t>ibw</w:t>
      </w:r>
      <w:r>
        <w:rPr/>
        <w:t xml:space="preserve"> are not explicitly addressed; however, these can be computed analogously by replacing body weight with the corresponding normalization factors described above. Additionally, the analysis and resulting recommendations are partially restricted to three vendors, as data from other vendors were sparse or unavailable in both the metadata analysis and the literature.</w:t>
      </w:r>
    </w:p>
    <w:p>
      <w:pPr>
        <w:pStyle w:val="BodyText"/>
        <w:jc w:val="both"/>
        <w:rPr/>
      </w:pPr>
      <w:r>
        <w:rPr/>
        <w:t>…</w:t>
      </w:r>
    </w:p>
    <w:p>
      <w:pPr>
        <w:pStyle w:val="BodyText"/>
        <w:rPr/>
      </w:pPr>
      <w:bookmarkStart w:id="68" w:name="discussion-tbd"/>
      <w:r>
        <w:rPr/>
        <w:t xml:space="preserve"> </w:t>
      </w:r>
      <w:bookmarkEnd w:id="68"/>
    </w:p>
    <w:p>
      <w:pPr>
        <w:pStyle w:val="Heading1"/>
        <w:rPr/>
      </w:pPr>
      <w:r>
        <w:rPr/>
        <w:t>Supplementary material</w:t>
      </w:r>
    </w:p>
    <w:p>
      <w:pPr>
        <w:pStyle w:val="BodyText"/>
        <w:rPr/>
      </w:pPr>
      <w:r>
        <w:rPr/>
      </w:r>
    </w:p>
    <w:p>
      <w:pPr>
        <w:pStyle w:val="TableCaption"/>
        <w:rPr/>
      </w:pPr>
      <w:r>
        <w:rPr/>
        <w:t>Suppl. Table 1: DICOM attributes scanned in the metadata analysis.</w:t>
      </w:r>
    </w:p>
    <w:tbl>
      <w:tblPr>
        <w:tblStyle w:val="Table"/>
        <w:tblW w:w="946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9"/>
        <w:gridCol w:w="5626"/>
        <w:gridCol w:w="2070"/>
      </w:tblGrid>
      <w:tr>
        <w:trPr>
          <w:tblHeader w:val="true"/>
        </w:trPr>
        <w:tc>
          <w:tcPr>
            <w:tcW w:w="1769"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DICOMTag</w:t>
            </w:r>
          </w:p>
        </w:tc>
        <w:tc>
          <w:tcPr>
            <w:tcW w:w="5626"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Attribute</w:t>
            </w:r>
          </w:p>
        </w:tc>
        <w:tc>
          <w:tcPr>
            <w:tcW w:w="207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Vendor-specific</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SeriesDate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0008,002A</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0008,0060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Modality</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0008,0070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0008,103E</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SeriesDescription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0008,1090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ManufacturerModelName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0009,100D</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0009,103B</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GEAdministrationDateTime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0010,0010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PatientName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0010,0020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PatientID</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0010,0040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PatientSex</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0010,1020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PatientSize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0010,1030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PatientWeight</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0018,1074</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RadionuclideTotalDose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0018,1075</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RadiotracerHalfLifeTime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0018,1078</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0018,1242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ActualFrameDuration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0018,9701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RescaleIntercept</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0028,1053</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0054,0300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RadionuclideCodeSequence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SeriesType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0054,1006</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SUVType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0054,1102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FrameReferenceTime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DoseCalibrationFactor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0071,1022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PhilipsSUVScaleFactor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7053,1009</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PhilipsActivityConcentrationScaleFactor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bl>
    <w:p>
      <w:pPr>
        <w:pStyle w:val="BodyText"/>
        <w:rPr/>
      </w:pPr>
      <w:r>
        <w:rPr/>
      </w:r>
    </w:p>
    <w:p>
      <w:pPr>
        <w:pStyle w:val="TableCaption"/>
        <w:rPr/>
      </w:pPr>
      <w:r>
        <w:rPr/>
        <w:t>Suppl. Table 2: List of created DROs to verify SUV computation.</w:t>
      </w:r>
    </w:p>
    <w:tbl>
      <w:tblPr>
        <w:tblStyle w:val="Table"/>
        <w:tblW w:w="936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620"/>
        <w:gridCol w:w="1620"/>
        <w:gridCol w:w="6120"/>
      </w:tblGrid>
      <w:tr>
        <w:trPr>
          <w:tblHeader w:val="true"/>
        </w:trPr>
        <w:tc>
          <w:tcPr>
            <w:tcW w:w="16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Section</w:t>
            </w:r>
          </w:p>
        </w:tc>
        <w:tc>
          <w:tcPr>
            <w:tcW w:w="16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ID</w:t>
            </w:r>
          </w:p>
        </w:tc>
        <w:tc>
          <w:tcPr>
            <w:tcW w:w="61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Description</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DRO_0_0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 DRO with Units = BQML and DC = START</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DRO_1_0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values Rescale Slope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(corresponding to SUVbw)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DRO_2_3</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CM2ML corresponding to SUVbsa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DRO_2_4</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SUV scale factor</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DRO_2_5</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activity scale factor</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 in MBq</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ADMIN</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PHILIPS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PHILIPS and Units = CNTS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PHILIPS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datetime, no RP Date and RP time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time, no RP datetime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Sparing midnight</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halflife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DRO_5_0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 Ga68</w:t>
            </w:r>
            <w:bookmarkStart w:id="69" w:name="supplementary-material"/>
            <w:bookmarkEnd w:id="69"/>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26">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2"/>
  </w:num>
  <w:num w:numId="91">
    <w:abstractNumId w:val="2"/>
  </w:num>
  <w:num w:numId="92">
    <w:abstractNumId w:val="7"/>
    <w:lvlOverride w:ilvl="0">
      <w:startOverride w:val="1"/>
    </w:lvlOverride>
  </w:num>
  <w:num w:numId="93">
    <w:abstractNumId w:val="7"/>
  </w:num>
  <w:num w:numId="94">
    <w:abstractNumId w:val="7"/>
  </w:num>
  <w:num w:numId="95">
    <w:abstractNumId w:val="2"/>
  </w:num>
  <w:num w:numId="96">
    <w:abstractNumId w:val="2"/>
  </w:num>
  <w:num w:numId="97">
    <w:abstractNumId w:val="10"/>
    <w:lvlOverride w:ilvl="0">
      <w:startOverride w:val="1"/>
    </w:lvlOverride>
  </w:num>
  <w:num w:numId="98">
    <w:abstractNumId w:val="10"/>
  </w:num>
  <w:num w:numId="99">
    <w:abstractNumId w:val="10"/>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10"/>
    <w:lvlOverride w:ilvl="0">
      <w:startOverride w:val="1"/>
    </w:lvlOverride>
  </w:num>
  <w:num w:numId="115">
    <w:abstractNumId w:val="10"/>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www.turkupetcentre.net/petanalysis/ra_quantity.html" TargetMode="External"/><Relationship Id="rId54" Type="http://schemas.openxmlformats.org/officeDocument/2006/relationships/hyperlink" Target="https://marketing.webassets.siemens-healthineers.com/e224b4e95f62dbd6/b4ec4dc662f0/MI_DCS_Horizon_VJ30.pdf?ste_sid=4472df6cb8103bfe5fad8589b711dce6" TargetMode="External"/><Relationship Id="rId55" Type="http://schemas.openxmlformats.org/officeDocument/2006/relationships/hyperlink" Target="https://qibawiki.rsna.org/index.php/Standardized_Uptake_Value_(SUV)" TargetMode="External"/><Relationship Id="rId56" Type="http://schemas.openxmlformats.org/officeDocument/2006/relationships/hyperlink" Target="https://arxiv.org/pdf/2410.13348" TargetMode="External"/><Relationship Id="rId57"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8" Type="http://schemas.openxmlformats.org/officeDocument/2006/relationships/hyperlink" Target="https://qibawiki.rsna.org/index.php/Standardized_Uptake_Value_(SUV)" TargetMode="External"/><Relationship Id="rId59" Type="http://schemas.openxmlformats.org/officeDocument/2006/relationships/hyperlink" Target="https://marketing.webassets.siemens-healthineers.com/c0e861a25663344e/a3fb836ba935/MI_DCS_Vision_VG80.pdf?ste_sid=4472df6cb8103bfe5fad8589b711dce6" TargetMode="External"/><Relationship Id="rId60" Type="http://schemas.openxmlformats.org/officeDocument/2006/relationships/hyperlink" Target="https://arxiv.org/pdf/2410.13348" TargetMode="External"/><Relationship Id="rId61" Type="http://schemas.openxmlformats.org/officeDocument/2006/relationships/hyperlink" Target="https://www.dicomstandard.org/" TargetMode="External"/><Relationship Id="rId62" Type="http://schemas.openxmlformats.org/officeDocument/2006/relationships/image" Target="media/image2.png"/><Relationship Id="rId63" Type="http://schemas.openxmlformats.org/officeDocument/2006/relationships/hyperlink" Target="https://dicom.nema.org/medical/dicom/current/output/chtml/part03/sect_c.8.9.2.html" TargetMode="External"/><Relationship Id="rId64" Type="http://schemas.openxmlformats.org/officeDocument/2006/relationships/hyperlink" Target="https://qibawiki.rsna.org/index.php/Main_Page" TargetMode="External"/><Relationship Id="rId65" Type="http://schemas.openxmlformats.org/officeDocument/2006/relationships/hyperlink" Target="https://depts.washington.edu/petctdro/index.html" TargetMode="Externa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2026-04-10T14:06:25Z</dcterms:created>
  <dc:creator/>
  <dc:description/>
  <dc:language>en-US</dc:language>
  <cp:lastModifiedBy/>
  <dcterms:modified xsi:type="dcterms:W3CDTF">2026-04-13T08:50:17Z</dcterms:modified>
  <cp:revision>4</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2.0</vt:lpwstr>
  </property>
</Properties>
</file>