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  <w:jc w:val="center"/>
      </w:pPr>
      <w:r>
        <w:rPr>
          <w:rFonts w:ascii="맑은 고딕" w:cs="맑은 고딕" w:eastAsia="맑은 고딕" w:hAnsi="맑은 고딕"/>
          <w:b/>
          <w:bCs/>
          <w:color w:val="1F4E91"/>
          <w:sz w:val="44"/>
          <w:szCs w:val="44"/>
        </w:rPr>
        <w:t xml:space="preserve">바로일지 시장분석</w:t>
      </w:r>
    </w:p>
    <w:p>
      <w:pPr>
        <w:spacing w:after="40"/>
        <w:jc w:val="center"/>
      </w:pPr>
      <w:r>
        <w:rPr>
          <w:rFonts w:ascii="맑은 고딕" w:cs="맑은 고딕" w:eastAsia="맑은 고딕" w:hAnsi="맑은 고딕"/>
          <w:color w:val="475467"/>
          <w:sz w:val="22"/>
          <w:szCs w:val="22"/>
        </w:rPr>
        <w:t xml:space="preserve">발달재활서비스(발달바우처) 치료사용 일지 자동화 SaaS</w:t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98A2B3"/>
          <w:sz w:val="18"/>
          <w:szCs w:val="18"/>
        </w:rPr>
        <w:t xml:space="preserve">작성일 2026-06-03</w:t>
      </w:r>
    </w:p>
    <w:p>
      <w:pPr>
        <w:spacing w:after="100" w:line="300"/>
      </w:pPr>
      <w:r>
        <w:rPr>
          <w:rFonts w:ascii="맑은 고딕" w:cs="맑은 고딕" w:eastAsia="맑은 고딕" w:hAnsi="맑은 고딕"/>
          <w:i/>
          <w:iCs/>
          <w:color w:val="667085"/>
          <w:sz w:val="21"/>
          <w:szCs w:val="21"/>
        </w:rPr>
        <w:t xml:space="preserve">※ 수치는 공개 통계 기반의 추정·범위이며, 사업 의사결정 전 1차 출처(보건복지부 사업안내·사회서비스 전자바우처 통계)로 검증이 필요합니다.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1. 제품 정의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바로일지 = “치료사의 1인 사물함” — 발달재활서비스 제공인력(치료사)이 매월 반복 작성하는 일정표·기록지·제공내역 점검을 자동화하는 1인용 웹 도구.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핵심 기능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일정표 자동 생성: 아동·반복 요일·시간대 → 한 달치 회기 자동 생성 → 한글파일(.hwpx) 출력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기록지 작성: 전자바우처 ‘서비스제공내역.xls’ 업로드 → 회기 자동 추출, 전월 기록 복사, 한글파일 출력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승인내역 점검: 결제시간 중복·소급결제·제공일자≠승인일자 자동 검출(지자체 점검 대비)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엑셀 일괄 가져오기 / 출석부 / 일괄 다운로드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1인 사물함 데이터 격리 + 한 계정 = 한 기기 로그인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다루는 데이터에는 아동 성명·생년월일·관리번호, 제공내역(승인번호·결제일·금액), 본인부담금 등 장애아동 관련 민감정보가 포함됩니다.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2. 시장 배경 — 발달재활서비스(발달바우처)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제도: 보건복지부·지자체가 운영하는 사회서비스 전자바우처 사업. 한국사회보장정보원이 결제·정산 인프라 운영.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대상: 만 18세 미만 등록 장애아동(뇌병변·지적·자폐성·청각·언어·시각 등), 소득기준(기준중위소득 180% 이하) + 초과가구 일부.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서비스 영역: 언어·청능·미술심리·음악·행동·놀이·심리·감각운동 재활 등.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단가(2025): 월 8회(주 2회)·회당 30,000원(월 24만원 상당) 기준으로 시·군·구가 지역 단가 설정. 본인부담금 차등(가~마형, 마형 약 8만원).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제공인력 자격: 언어재활사(국가자격 1·2급) 등 영역별 자격 보유자.</w:t>
      </w:r>
    </w:p>
    <w:p>
      <w:pPr>
        <w:spacing w:after="8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5"/>
          <w:szCs w:val="25"/>
        </w:rPr>
        <w:t xml:space="preserve">시장 규모 (추정)</w:t>
      </w:r>
    </w:p>
    <w:tbl>
      <w:tblPr>
        <w:tblW w:type="pct" w:w="100%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shd w:fill="1F4E9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구분</w:t>
            </w:r>
          </w:p>
        </w:tc>
        <w:tc>
          <w:tcPr>
            <w:tcW w:type="pct" w:w="30%"/>
            <w:shd w:fill="1F4E9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추정치</w:t>
            </w:r>
          </w:p>
        </w:tc>
        <w:tc>
          <w:tcPr>
            <w:tcW w:type="pct" w:w="42%"/>
            <w:shd w:fill="1F4E9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pct" w:w="2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이용 아동(지원 인원)</w:t>
            </w:r>
          </w:p>
        </w:tc>
        <w:tc>
          <w:tcPr>
            <w:tcW w:type="pct" w:w="3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약 7.9만 명</w:t>
            </w:r>
          </w:p>
        </w:tc>
        <w:tc>
          <w:tcPr>
            <w:tcW w:type="pct" w:w="4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2023.1 6.9만→7.9만 확대</w:t>
            </w:r>
          </w:p>
        </w:tc>
      </w:tr>
      <w:tr>
        <w:tc>
          <w:tcPr>
            <w:tcW w:type="pct" w:w="2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제공기관</w:t>
            </w:r>
          </w:p>
        </w:tc>
        <w:tc>
          <w:tcPr>
            <w:tcW w:type="pct" w:w="3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약 2,200~2,600개소</w:t>
            </w:r>
          </w:p>
        </w:tc>
        <w:tc>
          <w:tcPr>
            <w:tcW w:type="pct" w:w="4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2021.8 2,160개소, 2024.4 현황 데이터</w:t>
            </w:r>
          </w:p>
        </w:tc>
      </w:tr>
      <w:tr>
        <w:tc>
          <w:tcPr>
            <w:tcW w:type="pct" w:w="2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제공인력(치료사)</w:t>
            </w:r>
          </w:p>
        </w:tc>
        <w:tc>
          <w:tcPr>
            <w:tcW w:type="pct" w:w="3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약 1.5만~3만 명(추정)</w:t>
            </w:r>
          </w:p>
        </w:tc>
        <w:tc>
          <w:tcPr>
            <w:tcW w:type="pct" w:w="4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기관당 평균 인력 × 기관 수(검증 필요)</w:t>
            </w:r>
          </w:p>
        </w:tc>
      </w:tr>
      <w:tr>
        <w:tc>
          <w:tcPr>
            <w:tcW w:type="pct" w:w="2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연간 서비스 거래액(총)</w:t>
            </w:r>
          </w:p>
        </w:tc>
        <w:tc>
          <w:tcPr>
            <w:tcW w:type="pct" w:w="3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약 2조원대(추정)</w:t>
            </w:r>
          </w:p>
        </w:tc>
        <w:tc>
          <w:tcPr>
            <w:tcW w:type="pct" w:w="4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7.9만 × 월 24만원 × 12 ≈ 2.27조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발달재활 외에 언어발달지원·영유아 발달지원·아동청소년 심리지원 등 인접 아동 바우처까지 포함하면 잠재 사용자(치료사) 풀은 더 넓어집니다.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3. 고객 세그먼트 &amp; 페인포인트</w:t>
      </w:r>
    </w:p>
    <w:tbl>
      <w:tblPr>
        <w:tblW w:type="pct" w:w="100%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6%"/>
            <w:shd w:fill="1F4E9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세그먼트</w:t>
            </w:r>
          </w:p>
        </w:tc>
        <w:tc>
          <w:tcPr>
            <w:tcW w:type="pct" w:w="30%"/>
            <w:shd w:fill="1F4E9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특성</w:t>
            </w:r>
          </w:p>
        </w:tc>
        <w:tc>
          <w:tcPr>
            <w:tcW w:type="pct" w:w="44%"/>
            <w:shd w:fill="1F4E9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주요 페인포인트</w:t>
            </w:r>
          </w:p>
        </w:tc>
      </w:tr>
      <w:tr>
        <w:tc>
          <w:tcPr>
            <w:tcW w:type="pct" w:w="2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프리랜서·1인 치료사 (핵심 타깃)</w:t>
            </w:r>
          </w:p>
        </w:tc>
        <w:tc>
          <w:tcPr>
            <w:tcW w:type="pct" w:w="3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여러 센터 출강·개인 운영, 행정 직접 처리</w:t>
            </w:r>
          </w:p>
        </w:tc>
        <w:tc>
          <w:tcPr>
            <w:tcW w:type="pct" w:w="4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매월 일정표·기록지 수기 반복, 한글 양식, 제공내역 대조</w:t>
            </w:r>
          </w:p>
        </w:tc>
      </w:tr>
      <w:tr>
        <w:tc>
          <w:tcPr>
            <w:tcW w:type="pct" w:w="2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소규모 센터(2~5인)</w:t>
            </w:r>
          </w:p>
        </w:tc>
        <w:tc>
          <w:tcPr>
            <w:tcW w:type="pct" w:w="3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원장이 치료+행정 겸함</w:t>
            </w:r>
          </w:p>
        </w:tc>
        <w:tc>
          <w:tcPr>
            <w:tcW w:type="pct" w:w="4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인력별 일정·기록 취합, 점검 대응</w:t>
            </w:r>
          </w:p>
        </w:tc>
      </w:tr>
      <w:tr>
        <w:tc>
          <w:tcPr>
            <w:tcW w:type="pct" w:w="2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대형 센터</w:t>
            </w:r>
          </w:p>
        </w:tc>
        <w:tc>
          <w:tcPr>
            <w:tcW w:type="pct" w:w="3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행정 인력 별도</w:t>
            </w:r>
          </w:p>
        </w:tc>
        <w:tc>
          <w:tcPr>
            <w:tcW w:type="pct" w:w="4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자체 시스템/EMR 사용 — 적합도 낮음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공통 페인포인트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반복성: 매월 동일 아동의 일정표·기록지를 손으로 다시 작성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양식 부담: 지자체·기관 제출용 한글 양식 수작업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점검 리스크: 제공시간 중복·소급결제·제공일≠승인일 → 환수·행정처분 위험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개인정보 부담: 아동 민감정보를 엑셀·메신저로 산재 관리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→ 바로일지는 1·2·3을 자동화, 4를 격리 보관으로 직접 해결합니다.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4. 경쟁 환경</w:t>
      </w:r>
    </w:p>
    <w:tbl>
      <w:tblPr>
        <w:tblW w:type="pct" w:w="100%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4%"/>
            <w:shd w:fill="1F4E9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대안</w:t>
            </w:r>
          </w:p>
        </w:tc>
        <w:tc>
          <w:tcPr>
            <w:tcW w:type="pct" w:w="26%"/>
            <w:shd w:fill="1F4E9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강점</w:t>
            </w:r>
          </w:p>
        </w:tc>
        <w:tc>
          <w:tcPr>
            <w:tcW w:type="pct" w:w="40%"/>
            <w:shd w:fill="1F4E9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약점(바로일지 기회)</w:t>
            </w:r>
          </w:p>
        </w:tc>
      </w:tr>
      <w:tr>
        <w:tc>
          <w:tcPr>
            <w:tcW w:type="pct" w:w="3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엑셀 수기 + 한글 양식 (현 주류)</w:t>
            </w:r>
          </w:p>
        </w:tc>
        <w:tc>
          <w:tcPr>
            <w:tcW w:type="pct" w:w="2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무료·자유도</w:t>
            </w:r>
          </w:p>
        </w:tc>
        <w:tc>
          <w:tcPr>
            <w:tcW w:type="pct" w:w="4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반복 노동·실수·점검 누락</w:t>
            </w:r>
          </w:p>
        </w:tc>
      </w:tr>
      <w:tr>
        <w:tc>
          <w:tcPr>
            <w:tcW w:type="pct" w:w="3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사회서비스 전자바우처 단말/포털</w:t>
            </w:r>
          </w:p>
        </w:tc>
        <w:tc>
          <w:tcPr>
            <w:tcW w:type="pct" w:w="2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결제·정산 공식</w:t>
            </w:r>
          </w:p>
        </w:tc>
        <w:tc>
          <w:tcPr>
            <w:tcW w:type="pct" w:w="4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일지·기록지 작성은 미지원(결제용)</w:t>
            </w:r>
          </w:p>
        </w:tc>
      </w:tr>
      <w:tr>
        <w:tc>
          <w:tcPr>
            <w:tcW w:type="pct" w:w="3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범용 일정/문서 툴(구글·노션 등)</w:t>
            </w:r>
          </w:p>
        </w:tc>
        <w:tc>
          <w:tcPr>
            <w:tcW w:type="pct" w:w="2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범용</w:t>
            </w:r>
          </w:p>
        </w:tc>
        <w:tc>
          <w:tcPr>
            <w:tcW w:type="pct" w:w="4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발달바우처 양식·점검 로직 없음</w:t>
            </w:r>
          </w:p>
        </w:tc>
      </w:tr>
      <w:tr>
        <w:tc>
          <w:tcPr>
            <w:tcW w:type="pct" w:w="3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치료센터 관리 프로그램/EMR</w:t>
            </w:r>
          </w:p>
        </w:tc>
        <w:tc>
          <w:tcPr>
            <w:tcW w:type="pct" w:w="2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다기능</w:t>
            </w:r>
          </w:p>
        </w:tc>
        <w:tc>
          <w:tcPr>
            <w:tcW w:type="pct" w:w="4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센터 단위·고가·1인에 과함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포지셔닝: ‘1인 치료사’ 특화 + 발달바우처 도메인 내장(제공내역 인식·승인내역 점검·한글 출력) + 프라이버시 우선(격리, 1계정 1기기).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5. SWOT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Strengths: 도메인 특화, 반복 자동화로 즉각적 시간 절감, 낮은 학습비용, 한글 출력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Weaknesses: 니치 시장(치료사 수 한정), 단일 도메인 의존, 결제·정산 미연동(보조 도구)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Opportunities: 인접 바우처 확장, 점검·환수 리스크 증가로 점검 수요, 센터 다인 버전, 통계·세무 연계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Threats: 제도·단가·양식 변경, 개인정보 규제 강화, 공공 시스템의 기능 흡수 가능성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6. 진입·수익화 전략(권고)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베타 무료 → 핵심 유저 확보: 1인 치료사 커뮤니티·학회 중심 입소문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가격(예시): 월 5,000~12,000원 구독 또는 학기 요금. 월 수 시간 절감의 명확한 ROI 소구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확장 로드맵: ① 점검/환수 방어 강화 → ② 인접 바우처 양식 → ③ 소규모 센터 다인 버전 → ④ 정산·세무 리포트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신뢰 자산: 개인정보 처리방침·이용약관 정비, 데이터 격리 메시지를 마케팅 전면에</w:t>
      </w:r>
    </w:p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SaaS 매출 잠재(개략): 치료사 2만 명 × 가입률 10% × 월 8,000원 × 12 ≈ 연 1.9억원(보수적 SOM). 인접 영역·센터 버전 포함 시 수배 확대 가능 — 니치이지만 도메인 락인이 강해 LTV가 높은 구조.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7. 핵심 리스크 &amp; 대응</w:t>
      </w:r>
    </w:p>
    <w:tbl>
      <w:tblPr>
        <w:tblW w:type="pct" w:w="100%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6%"/>
            <w:shd w:fill="1F4E9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리스크</w:t>
            </w:r>
          </w:p>
        </w:tc>
        <w:tc>
          <w:tcPr>
            <w:tcW w:type="pct" w:w="64%"/>
            <w:shd w:fill="1F4E9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대응</w:t>
            </w:r>
          </w:p>
        </w:tc>
      </w:tr>
      <w:tr>
        <w:tc>
          <w:tcPr>
            <w:tcW w:type="pct" w:w="3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제도/단가/양식 변경</w:t>
            </w:r>
          </w:p>
        </w:tc>
        <w:tc>
          <w:tcPr>
            <w:tcW w:type="pct" w:w="6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양식·단가를 설정값으로 분리(‘내 설정’), 공휴일·단가 업데이트 운영</w:t>
            </w:r>
          </w:p>
        </w:tc>
      </w:tr>
      <w:tr>
        <w:tc>
          <w:tcPr>
            <w:tcW w:type="pct" w:w="3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개인정보(민감정보)</w:t>
            </w:r>
          </w:p>
        </w:tc>
        <w:tc>
          <w:tcPr>
            <w:tcW w:type="pct" w:w="6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격리·암호화, 최소 수집, 처리방침·약관 명문화, 보관·파기 정책</w:t>
            </w:r>
          </w:p>
        </w:tc>
      </w:tr>
      <w:tr>
        <w:tc>
          <w:tcPr>
            <w:tcW w:type="pct" w:w="3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공공 시스템의 기능 흡수</w:t>
            </w:r>
          </w:p>
        </w:tc>
        <w:tc>
          <w:tcPr>
            <w:tcW w:type="pct" w:w="6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작성·점검 UX와 한글 출력 등 ‘마지막 1마일’에 집중</w:t>
            </w:r>
          </w:p>
        </w:tc>
      </w:tr>
      <w:tr>
        <w:tc>
          <w:tcPr>
            <w:tcW w:type="pct" w:w="3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단일 의존</w:t>
            </w:r>
          </w:p>
        </w:tc>
        <w:tc>
          <w:tcPr>
            <w:tcW w:type="pct" w:w="6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인접 아동 바우처로 TAM 확대</w:t>
            </w:r>
          </w:p>
        </w:tc>
      </w:tr>
    </w:tbl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8. 결론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발달바우처 시장은 약 8만 아동·2천여 기관·연 2조원대의 안정적 공공 재원 기반 시장이며, 그 안에서 1인 치료사의 반복 행정은 명확하고 미해결인 페인포인트다. 바로일지는 이 빈틈을 도메인 특화 + 프라이버시 + 한글 자동화로 정확히 겨냥한다. 시장 자체는 니치지만 전환 비용·도메인 락인이 커 방어 가능하며, 인접 바우처·센터 버전으로 확장 여지가 있다. 단기 과제는 (1) 핵심 유저 확보(무료 베타→입소문), (2) 신뢰(개인정보·약관) 정비, (3) 점검·환수 방어 가치의 명확한 증명이다.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출처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사업별소개 &gt; 발달재활서비스 | 사회서비스 전자바우처 (socialservice.or.kr)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보건복지부_발달재활 제공기관 현황(2024.4.30) | 공공데이터포털 (data.go.kr)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2025년 발달장애인지원 사업안내 | 보건복지부 (mohw.go.kr)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장애아동 재활·돌봄 지원 확대 보도자료 | 보건복지부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공공데이터를 활용한 발달재활서비스 사업 및 제공인력 현황 분석(2019–2022) | DBpia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언어재활사 자격 안내 | 한국보건의료인국가시험원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2026-06-03T10:16:05.181Z</dcterms:created>
  <dcterms:modified xsi:type="dcterms:W3CDTF">2026-06-03T10:16:05.193Z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