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맑은 고딕" w:cs="맑은 고딕" w:eastAsia="맑은 고딕" w:hAnsi="맑은 고딕"/>
          <w:b/>
          <w:bCs/>
          <w:color w:val="1F4E91"/>
          <w:sz w:val="44"/>
          <w:szCs w:val="44"/>
        </w:rPr>
        <w:t xml:space="preserve">바로일지 시장분석</w:t>
      </w:r>
    </w:p>
    <w:p>
      <w:pPr>
        <w:spacing w:after="40"/>
        <w:jc w:val="center"/>
      </w:pPr>
      <w:r>
        <w:rPr>
          <w:rFonts w:ascii="맑은 고딕" w:cs="맑은 고딕" w:eastAsia="맑은 고딕" w:hAnsi="맑은 고딕"/>
          <w:color w:val="475467"/>
          <w:sz w:val="22"/>
          <w:szCs w:val="22"/>
        </w:rPr>
        <w:t xml:space="preserve">v2 · 정확도 강화판 — 발달바우처 치료사용 일지 자동화 SaaS</w:t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98A2B3"/>
          <w:sz w:val="18"/>
          <w:szCs w:val="18"/>
        </w:rPr>
        <w:t xml:space="preserve">작성일 2026-06-03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신뢰도 등급 — A: 1차 출처 확인 / B: 공식 보도·제도값 / C: 계산·추정 / D: 미확인(검증 필요).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0. 정확도 향상 방법론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v1의 한계(범위 추정 + 2차 출처)를 보완하기 위해 다음을 적용했다.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1차 출처 우선: 복지부 사업안내 PDF &gt; SSIS 연도별 제공기관·제공인력 현황 &gt; 전자바우처 통계 &gt; e-나라지표/KOSIS &gt; 공공데이터포털 원자료 &gt; 논문 &gt; 지자체 안내.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모든 수치에 〔연도·출처·신뢰도(A/B/C/D)〕 태그.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거래액(GMV)과 정부 예산(집행)을 분리. '지원인원×단가×12'는 이론 상한일 뿐 실집행과 다름을 명시.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제공인력 수는 Bottom-up(기관×인력) + Top-down(자격자 누계) 교차검증.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TAM→SAM→SOM을 명시적 가정으로 분해하고 보수/기본/낙관 3시나리오 제시.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8장 검증 체크리스트로 확정 전 1차 수치 확인.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1. 제품 정의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바로일지 = ‘치료사의 1인 사물함’ — 발달재활 제공인력이 매월 반복하는 일정표·기록지·제공내역 점검을 자동화하고 한글파일(.hwpx)로 출력하는 1인용 웹 도구.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일정표 자동생성 · 전자바우처 ‘서비스제공내역.xls’ → 기록지 자동채움 · 승인내역 점검(결제시간 중복·소급결제·제공일≠승인일) · 엑셀 일괄 가져오기 · 데이터 격리(1계정 1기기). 취급 데이터에 장애아동 민감정보 포함.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2. 시장 배경 &amp; 규모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제도: 보건복지부·지자체 운영, 한국사회보장정보원이 전자바우처 결제·정산 인프라 담당. 〔B〕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2-1. 제도값 (2025 사업안내 기준)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pct" w:w="6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값</w:t>
            </w:r>
          </w:p>
        </w:tc>
        <w:tc>
          <w:tcPr>
            <w:tcW w:type="pct" w:w="1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만 18세 미만 등록 장애아동, 소득 기준중위소득 180% 이하(초과가구 일부)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 단가(2026)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회당 약 35,000원(2025년 30,000원→평균 5천원 인상), 월 8회 기준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지원금(2026)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 기준 차등 월 17만~25만원 지원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본인부담금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소득별 차등 0~8만원(가형 면제 ~ 마형 8만원)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 영역</w:t>
            </w:r>
          </w:p>
        </w:tc>
        <w:tc>
          <w:tcPr>
            <w:tcW w:type="pct" w:w="6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언어·청능·미술심리·음악·행동·놀이·심리·감각운동 재활 등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2-2. 규모 지표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pct" w:w="28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수치</w:t>
            </w:r>
          </w:p>
        </w:tc>
        <w:tc>
          <w:tcPr>
            <w:tcW w:type="pct" w:w="3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연도·출처</w:t>
            </w:r>
          </w:p>
        </w:tc>
        <w:tc>
          <w:tcPr>
            <w:tcW w:type="pct" w:w="1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신뢰도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발달재활 제공기관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1,786개소(2024 품질평가 대상)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 2024 품질평가 보도자료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지원 인원(이용 아동)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7.9만 명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2023.1 6.9만→7.9만 확대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제공인력(치료사)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1.1만~2.5만 명(추정)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기관 수 × 기관당 인력(2-3)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 거래액(이론 상한)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2.65조원 이하(2026 단가)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7.9만×28만×12≈2.65조(상한)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</w:t>
            </w:r>
          </w:p>
        </w:tc>
      </w:tr>
      <w:tr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발달재활 정부 예산(집행)</w:t>
            </w:r>
          </w:p>
        </w:tc>
        <w:tc>
          <w:tcPr>
            <w:tcW w:type="pct" w:w="2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미확인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복지부 예산서·사업안내 확인 필요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</w:t>
            </w:r>
          </w:p>
        </w:tc>
      </w:tr>
    </w:tbl>
    <w:p>
      <w:pPr>
        <w:spacing w:after="8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5"/>
          <w:szCs w:val="25"/>
        </w:rPr>
        <w:t xml:space="preserve">2-3. 제공인력 추정(교차검증)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Top-down: 1,786개 기관 × 기관당 6~14명 ≈ 1.1만~2.5만 명 〔C〕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검증 보강: SSIS 연도별 제공인력 실수치, 언어재활사 등 자격자 누계(국시원)로 교차확인 〔D→A 전환 대상〕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핵심 타깃(SAM)은 이 중 행정을 직접 하는 1인·프리랜서·소규모 운영자</w:t>
      </w: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※ v1의 ‘제공기관 2,200~2,600’은 과거(2021) 기반. 2024 기준 1,786(A)로 교체.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3. 고객 세그먼트 &amp; 페인포인트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세그먼트</w:t>
            </w:r>
          </w:p>
        </w:tc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특성</w:t>
            </w:r>
          </w:p>
        </w:tc>
        <w:tc>
          <w:tcPr>
            <w:tcW w:type="pct" w:w="38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페인포인트</w:t>
            </w:r>
          </w:p>
        </w:tc>
        <w:tc>
          <w:tcPr>
            <w:tcW w:type="pct" w:w="1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적합도</w:t>
            </w:r>
          </w:p>
        </w:tc>
      </w:tr>
      <w:tr>
        <w:tc>
          <w:tcPr>
            <w:tcW w:type="pct" w:w="2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1인·프리랜서 치료사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센터 출강·개인 운영, 행정 직접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일정표·기록지 수기 반복, 한글 양식, 제공내역 대조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★★★ 핵심</w:t>
            </w:r>
          </w:p>
        </w:tc>
      </w:tr>
      <w:tr>
        <w:tc>
          <w:tcPr>
            <w:tcW w:type="pct" w:w="2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소규모 센터(2~5인)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원장이 치료+행정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인력별 취합, 점검 대응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★★</w:t>
            </w:r>
          </w:p>
        </w:tc>
      </w:tr>
      <w:tr>
        <w:tc>
          <w:tcPr>
            <w:tcW w:type="pct" w:w="2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대형 센터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행정 인력·자체 EMR</w:t>
            </w:r>
          </w:p>
        </w:tc>
        <w:tc>
          <w:tcPr>
            <w:tcW w:type="pct" w:w="3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★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공통 페인: ① 반복 작성 ② 한글 양식 ③ 점검·환수 리스크 ④ 아동 민감정보 산재. → 바로일지가 ①②③ 자동화, ④ 격리.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4. 경쟁 환경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대안</w:t>
            </w:r>
          </w:p>
        </w:tc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강점</w:t>
            </w:r>
          </w:p>
        </w:tc>
        <w:tc>
          <w:tcPr>
            <w:tcW w:type="pct" w:w="40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약점(기회)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엑셀 수기 + 한글 양식(현 주류)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무료·자유도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반복·실수·점검 누락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전자바우처 단말/포털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결제·정산 공식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일지·기록지 작성은 미지원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툴(구글·노션)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발달바우처 양식·점검 로직 없음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관리 프로그램/EMR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다기능</w:t>
            </w:r>
          </w:p>
        </w:tc>
        <w:tc>
          <w:tcPr>
            <w:tcW w:type="pct" w:w="4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센터 단위·고가·1인에 과함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포지셔닝: 1인 치료사 특화 × 발달바우처 도메인 내장 × 프라이버시.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5. SWOT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S: 도메인 특화, 즉각적 시간 절감, 낮은 학습비용, 한글 출력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W: 니치 시장, 단일 도메인 의존, 결제·정산 미연동(보조 도구)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O: 인접 바우처(언어발달·심리지원) 확장, 점검·환수 수요, 센터 다인 버전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T: 제도·단가·양식 변경, 개인정보 규제, 공공 시스템의 기능 흡수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6. 수익화 &amp; SOM 시나리오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가격(확정): 월 15,000원 구독(연 180,000원). 모수: 핵심 타깃 치료사 풀.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pct" w:w="22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유효 모수</w:t>
            </w:r>
          </w:p>
        </w:tc>
        <w:tc>
          <w:tcPr>
            <w:tcW w:type="pct" w:w="1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전환율</w:t>
            </w:r>
          </w:p>
        </w:tc>
        <w:tc>
          <w:tcPr>
            <w:tcW w:type="pct" w:w="20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유료 사용자</w:t>
            </w:r>
          </w:p>
        </w:tc>
        <w:tc>
          <w:tcPr>
            <w:tcW w:type="pct" w:w="2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연 매출(ARR)</w:t>
            </w:r>
          </w:p>
        </w:tc>
      </w:tr>
      <w:tr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보수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12,000명</w:t>
            </w:r>
          </w:p>
        </w:tc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5%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600명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1.08억</w:t>
            </w:r>
          </w:p>
        </w:tc>
      </w:tr>
      <w:tr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18,000명</w:t>
            </w:r>
          </w:p>
        </w:tc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10%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1,800명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3.24억</w:t>
            </w:r>
          </w:p>
        </w:tc>
      </w:tr>
      <w:tr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낙관</w:t>
            </w:r>
          </w:p>
        </w:tc>
        <w:tc>
          <w:tcPr>
            <w:tcW w:type="pct" w:w="2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25,000명</w:t>
            </w:r>
          </w:p>
        </w:tc>
        <w:tc>
          <w:tcPr>
            <w:tcW w:type="pct" w:w="1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18%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4,500명</w:t>
            </w:r>
          </w:p>
        </w:tc>
        <w:tc>
          <w:tcPr>
            <w:tcW w:type="pct" w:w="2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8.10억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667085"/>
          <w:sz w:val="21"/>
          <w:szCs w:val="21"/>
        </w:rPr>
        <w:t xml:space="preserve">가격 근거: 2026년 단가 인상으로 치료사 1인 월 매출이 커진 가운데, 월 15,000원은 회기 1회 단가(약 35,000원)의 절반 이하 — 행정 절감·점검 방어 대비 지불 부담이 낮음.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니치이지만 도메인 락인·전환비용이 커 LTV가 높고 이탈이 낮은 구조. 인접 바우처·센터 버전으로 모수 확대 시 상향.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전략: ① 무료 베타→커뮤니티/학회 입소문 ② 점검·환수 방어 가치 증명 ③ 인접 바우처 양식 ④ 센터 다인 버전 ⑤ 정산·세무 리포트.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7. 리스크 &amp; 대응</w:t>
      </w:r>
    </w:p>
    <w:tbl>
      <w:tblPr>
        <w:tblW w:type="pct" w:w="100%"/>
        <w:tblBorders>
          <w:top w:val="single" w:color="D0D5DD" w:sz="4"/>
          <w:left w:val="single" w:color="D0D5DD" w:sz="4"/>
          <w:bottom w:val="single" w:color="D0D5DD" w:sz="4"/>
          <w:right w:val="single" w:color="D0D5DD" w:sz="4"/>
          <w:insideH w:val="single" w:color="D0D5DD" w:sz="4"/>
          <w:insideV w:val="single" w:color="D0D5DD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4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리스크</w:t>
            </w:r>
          </w:p>
        </w:tc>
        <w:tc>
          <w:tcPr>
            <w:tcW w:type="pct" w:w="66%"/>
            <w:shd w:fill="1F4E91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제도/단가/양식 변경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단가·양식을 ‘내 설정’ 값으로 분리(구현됨), 단가·공휴일 업데이트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개인정보(민감정보)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격리·암호화, 최소수집, 약관·처리방침(작성됨), 보관·파기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공공 흡수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‘작성·점검 마지막 1마일’·한글 출력에 집중</w:t>
            </w:r>
          </w:p>
        </w:tc>
      </w:tr>
      <w:tr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의존</w:t>
            </w:r>
          </w:p>
        </w:tc>
        <w:tc>
          <w:tcPr>
            <w:tcW w:type="pct" w:w="6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인접 아동 바우처로 TAM 확대</w:t>
            </w:r>
          </w:p>
        </w:tc>
      </w:tr>
    </w:tbl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8. 확정 전 검증 체크리스트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다음 1차 수치를 확인해 C/D 등급을 A로 승격할 것: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제공인력 실수: SSIS 연도별 제공기관·제공인력 현황(발달재활 항목)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이용 아동·실집행액: e-나라지표/KOSIS, 복지부 사업안내 통계표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 정부 예산: 복지부 예산서/국회예산정책처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본인부담금 형별 정확 금액(가~마): 2025 발달장애인지원 사업안내 본문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단가 지역 편차: 전자바우처 제공기관 검색의 기관별 단가 분포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인접 바우처 모수: 언어발달지원·심리지원 각 사업안내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9. 결론</w:t>
      </w:r>
    </w:p>
    <w:p>
      <w:pPr>
        <w:spacing w:after="10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발달바우처는 약 8만 아동·1,786개 기관(2024)의 안정적 공공 재원 시장이며, 1인 치료사의 반복 행정은 명확하고 미해결인 페인포인트다. 바로일지는 이를 도메인 특화+프라이버시+한글 자동화로 정조준한다. 시장은 니치지만 락인이 커 방어 가능하고 인접 영역으로 확장 여지가 있다. 정확도 측면에서 핵심 수치(제공인력·실집행 예산)는 8장 체크리스트로 A등급 확정이 필요하다.</w:t>
      </w:r>
    </w:p>
    <w:p>
      <w:pPr>
        <w:pStyle w:val="Heading1"/>
        <w:spacing w:after="140" w:before="320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출처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2026년 발달재활서비스 단가 인상 안내 / 보건복지부 2026 예산 확정 보도자료 / 정책브리핑 — 단가 평균 5천원 인상·월 17~25만원(B)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발달재활·언어발달지원 2024년 품질평가 결과 공개 | 보건복지부 보도자료 — 제공기관 1,786개소(A)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사업별소개 &gt; 발달재활서비스 | 사회서비스 전자바우처 — 단가·본인부담(B)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2025년 발달장애인지원 사업안내 | 보건복지부 — 제도값(B)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연도별 서비스 제공기관 및 제공인력 현황 | 한국사회보장정보원(SSIS) — 제공인력 검증용(접근 제한)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보건복지부_발달재활 제공기관 현황(2024.4.30) | 공공데이터포털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공공데이터 활용 발달재활 사업·제공인력 분석(2019–2022) | DBpia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장애아동 재활·돌봄 지원 확대 보도자료 | 보건복지부 — 지원인원 7.9만(B)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맑은 고딕" w:cs="맑은 고딕" w:eastAsia="맑은 고딕" w:hAnsi="맑은 고딕"/>
          <w:sz w:val="21"/>
          <w:szCs w:val="21"/>
        </w:rPr>
        <w:t xml:space="preserve">e-나라지표 지표서비스 — 이용자·예산 추이(접근 제한)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2026-06-03T22:05:59.400Z</dcterms:created>
  <dcterms:modified xsi:type="dcterms:W3CDTF">2026-06-03T22:05:59.414Z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