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sz w:val="32"/>
        </w:rPr>
        <w:t>LEO Uydu-Zemin İstasyonu İletişiminde Yavaş-Öznitelik Tabanlı</w:t>
      </w:r>
      <w:r>
        <w:rPr>
          <w:rFonts w:ascii="Times New Roman" w:hAnsi="Times New Roman"/>
          <w:b/>
          <w:sz w:val="32"/>
        </w:rPr>
        <w:br/>
      </w:r>
      <w:r>
        <w:rPr>
          <w:rFonts w:ascii="Times New Roman" w:hAnsi="Times New Roman"/>
          <w:b/>
          <w:sz w:val="32"/>
        </w:rPr>
        <w:t>Fiziksel Katman Anahtar Üretimi: Yayılım Gecikmesi Farkındalıklı</w:t>
      </w:r>
      <w:r>
        <w:rPr>
          <w:rFonts w:ascii="Times New Roman" w:hAnsi="Times New Roman"/>
          <w:b/>
          <w:sz w:val="32"/>
        </w:rPr>
        <w:br/>
      </w:r>
      <w:r>
        <w:rPr>
          <w:rFonts w:ascii="Times New Roman" w:hAnsi="Times New Roman"/>
          <w:b/>
          <w:sz w:val="32"/>
        </w:rPr>
        <w:t>Hibrit Güvenlik Modeli ve Eavesdropper Senaryoları</w:t>
      </w:r>
    </w:p>
    <w:p>
      <w:pPr>
        <w:pStyle w:val="Author"/>
        <w:jc w:val="center"/>
      </w:pPr>
      <w:r>
        <w:rPr>
          <w:rFonts w:ascii="Times New Roman" w:hAnsi="Times New Roman"/>
          <w:b/>
          <w:sz w:val="24"/>
        </w:rPr>
        <w:t>Önder Öztürk</w:t>
      </w:r>
      <w:r>
        <w:rPr>
          <w:rFonts w:ascii="Times New Roman" w:hAnsi="Times New Roman"/>
          <w:sz w:val="24"/>
          <w:vertAlign w:val="superscript"/>
        </w:rPr>
        <w:t>1</w:t>
      </w:r>
      <w:r>
        <w:rPr>
          <w:rFonts w:ascii="Times New Roman" w:hAnsi="Times New Roman"/>
          <w:sz w:val="24"/>
        </w:rPr>
        <w:t xml:space="preserve">, </w:t>
      </w:r>
      <w:r>
        <w:rPr>
          <w:rFonts w:ascii="Times New Roman" w:hAnsi="Times New Roman"/>
          <w:b/>
          <w:sz w:val="24"/>
        </w:rPr>
        <w:t>Hüseyin Parmaksız</w:t>
      </w:r>
      <w:r>
        <w:rPr>
          <w:rFonts w:ascii="Times New Roman" w:hAnsi="Times New Roman"/>
          <w:sz w:val="24"/>
          <w:vertAlign w:val="superscript"/>
        </w:rPr>
        <w:t>2</w:t>
      </w:r>
    </w:p>
    <w:p>
      <w:pPr>
        <w:pStyle w:val="Author"/>
        <w:jc w:val="center"/>
      </w:pPr>
      <w:r>
        <w:rPr>
          <w:rFonts w:ascii="Times New Roman" w:hAnsi="Times New Roman"/>
          <w:sz w:val="20"/>
          <w:szCs w:val="20"/>
        </w:rPr>
        <w:t>¹Bilgi İşlem Daire Başkanlığı, Rektörlük, Kütahya Sağlık Bilimleri Üniversitesi, Türkiye</w:t>
      </w:r>
    </w:p>
    <w:p>
      <w:pPr>
        <w:pStyle w:val="Author"/>
        <w:jc w:val="center"/>
      </w:pPr>
      <w:r>
        <w:rPr>
          <w:rFonts w:ascii="Times New Roman" w:hAnsi="Times New Roman"/>
          <w:sz w:val="18"/>
          <w:szCs w:val="18"/>
        </w:rPr>
        <w:t>ORCID: 0000-0001-6460-9497</w:t>
      </w:r>
    </w:p>
    <w:p>
      <w:pPr>
        <w:pStyle w:val="Author"/>
        <w:jc w:val="center"/>
      </w:pPr>
      <w:r>
        <w:rPr>
          <w:rFonts w:ascii="Times New Roman" w:hAnsi="Times New Roman"/>
          <w:sz w:val="20"/>
          <w:szCs w:val="20"/>
        </w:rPr>
        <w:t>²Yönetim Bilişim Sistemleri Bölümü, Bilecik Şeyh Edebali Üniversitesi, Türkiye</w:t>
      </w:r>
    </w:p>
    <w:p>
      <w:pPr>
        <w:pStyle w:val="Author"/>
        <w:jc w:val="center"/>
      </w:pPr>
      <w:r>
        <w:rPr>
          <w:rFonts w:ascii="Times New Roman" w:hAnsi="Times New Roman"/>
          <w:sz w:val="18"/>
          <w:szCs w:val="18"/>
        </w:rPr>
        <w:t>ORCID: 0000-0001-8455-5625</w:t>
      </w:r>
    </w:p>
    <w:p>
      <w:pPr>
        <w:pStyle w:val="AbstractTitle"/>
        <w:jc w:val="both"/>
      </w:pPr>
      <w:r>
        <w:rPr>
          <w:rFonts w:ascii="Times New Roman" w:hAnsi="Times New Roman"/>
          <w:sz w:val="24"/>
        </w:rPr>
        <w:t>Abstract</w:t>
      </w:r>
    </w:p>
    <w:p>
      <w:pPr>
        <w:pStyle w:val="Abstract"/>
        <w:jc w:val="both"/>
      </w:pPr>
      <w:r>
        <w:rPr>
          <w:rFonts w:ascii="Times New Roman" w:hAnsi="Times New Roman"/>
          <w:sz w:val="24"/>
        </w:rPr>
        <w:t>Alçak Dünya Yörüngesi (LEO) uydu ağlarında kanal tutarlılık süresi (T_c 12.7 μs), çift yönlü yayılım gecikmesinden (_RT 3.4 ms) çok kısa kaldığı için klasik karşılıklılık (reciprocity) varsayımıyla fiziksel katman anahtar üretimi (PKG) doğrudan işlememektedir. Bu sorunu aşmak üzere çalışmada, FGN-100 uydu parametreleri esas alınarak genlik zarfı ve Doppler oranı gibi yavaş değişen kanal özniteliklerinin otoregresif (AR, Autoregressive) tahminle harmanlandığı bir PKG mimarisi geliştirilmiştir. Elde edilen PHY-Key önce altı geçişli Cascade uzlaştırma ve SHA-256 gizlilik güçlendirmesinden geçirilmekte, ardından HMAC ile güncellenen bir ana anahtarla XOR’lanarak oturum anahtarına dönüştürülmektedir. ITU-R P.681 Loo modeline dayalı sentetik benzetimlerde 20 dB üzeri SNR’de anahtar uyuşmazlık oranı (KDR) %1’in altına inmiş, anahtar üretim hızı (KGR) yaklaşık 0.018 bpcu (bit/kanal kullanımı) olarak ölçülmüştür. Oturum anahtarları NIST SP 800-22 frekans, runs ve blok-frekans testlerinde %98’i aşan geçme oranına ulaşmıştır; bu testler kriptografik güvenliği tek başına ispatlamamakla beraber rasgelelik kalitesini teyit etmektedir. Ek olarak farklı Eve senaryolarında yürütülen ROC analizi sentetik veride yüksek ayrışma vermiş, düşük elevasyon ile 0.5 λ yakınlığın en riskli bileşim olduğu görülmüştür.</w:t>
      </w:r>
    </w:p>
    <w:p>
      <w:pPr>
        <w:pStyle w:val="FirstParagraph"/>
        <w:jc w:val="both"/>
      </w:pPr>
      <w:r>
        <w:rPr>
          <w:rFonts w:ascii="Times New Roman" w:hAnsi="Times New Roman"/>
          <w:sz w:val="24"/>
        </w:rPr>
        <w:t>LEO uyduları, fiziksel katman güvenliği, yavaş öznitelik tabanlı anahtar üretimi, kanal tahmini, Cascade uzlaştırma, eavesdropper tespiti, hibrit kriptografi</w:t>
      </w:r>
    </w:p>
    <w:p>
      <w:pPr>
        <w:pStyle w:val="BodyText"/>
        <w:jc w:val="both"/>
      </w:pPr>
      <w:r>
        <w:rPr>
          <w:rFonts w:ascii="Times New Roman" w:hAnsi="Times New Roman"/>
          <w:b/>
          <w:bCs/>
          <w:sz w:val="24"/>
        </w:rPr>
        <w:t>Abstract</w:t>
      </w:r>
      <w:r>
        <w:rPr>
          <w:rFonts w:ascii="Times New Roman" w:hAnsi="Times New Roman"/>
          <w:sz w:val="24"/>
        </w:rPr>
        <w:t xml:space="preserve"> </w:t>
      </w:r>
      <w:r>
        <w:rPr>
          <w:rFonts w:ascii="Times New Roman" w:hAnsi="Times New Roman"/>
          <w:sz w:val="24"/>
        </w:rPr>
        <w:t>— In LEO satellite networks the channel coherence time (T_c 12.7 μs) is far shorter than the round-trip propagation delay (_RT 3.4 ms), invalidating classical reciprocity-based physical-layer key generation. To address this mismatch, we present a hybrid security architecture aware of propagation delay. The architecture relies on autoregressive (AR) prediction to extract slowly-varying channel features and employs a six-pass Cascade protocol with explicit leakage accounting to reconcile bit disagreements. The resulting PHY-Key is then merged with an HMAC-ratcheted master key. In simulations that cover a complete satellite pass under the ITU-R P.681 Loo model, the Key Disagreement Rate (KDR) drops below 1% once SNR reaches 20 dB, and the Key Generation Rate (KGR) settles around 0.018 bpcu. NIST SP 800-22 pass rates exceed 98%, confirming statistical randomness quality rather than full cryptographic security. ROC analysis across multiple eavesdropper scenarios reveals that low elevation angles combined with close Eve proximity (0.5) pose the greatest risk.</w:t>
      </w:r>
    </w:p>
    <w:bookmarkStart w:id="9" w:name="giriş"/>
    <w:p>
      <w:pPr>
        <w:pStyle w:val="Heading1"/>
        <w:jc w:val="left"/>
      </w:pPr>
      <w:r>
        <w:rPr>
          <w:rFonts w:ascii="Times New Roman" w:hAnsi="Times New Roman"/>
          <w:b/>
          <w:sz w:val="28"/>
        </w:rPr>
        <w:t>Giriş</w:t>
      </w:r>
    </w:p>
    <w:p>
      <w:pPr>
        <w:pStyle w:val="FirstParagraph"/>
        <w:jc w:val="both"/>
      </w:pPr>
      <w:r>
        <w:rPr>
          <w:rFonts w:ascii="Times New Roman" w:hAnsi="Times New Roman"/>
          <w:sz w:val="24"/>
        </w:rPr>
        <w:t>Uydu yörüngeleri arasında GEO (36000 km) yüksek gecikme ve sabit kapsama sunarken, MEO (2000–20000 km) orta seviye gecikme ile ağırlıklı olarak navigasyon amaçlı kullanılmakta , HEO ise eliptik yörüngesi nedeniyle kesintili bağlantı sağlamaktadır LEO (yaklaşık 2000 km'nin altında) takımyıldızları , 10 ms ' in altında gecikme , yüksek veri hızı ve geniş kapsama avantajlarıyla sivil ve askeri ağlarda giderek daha fazla tercih edilmektedir (TUA , 2021 ; 3GPP , 2023) Ne var ki 7 6 km/s orbital hız , buna bağlı Doppler kayması ve mikrosaniye mertebesindeki kanal değişimleri , geleneksel üst katman anahtar yönetim şemalarını yetersiz bırakmaktadır (Wyner , 1975 ; Bloch ve Barros , 2011 ; Poor ve Schaefer , 2017) Öte yandan kuantum hesaplama alanındaki ilerlemeler , RSA ve eliptik eğri gibi asimetrik şemaların uzun vadede güvenilir kalıp kalamayacağı sorusunu gündeme getirmektedir NIST , bu tehdide karşı CRYSTALS - Kyber (ML - KEM) gibi kafes tabanlı kuantum sonrası anahtar kapsülleme standartlarını yayımlamıştır (NIST , 2024) Fiziksel katman güvenliği , bilgi - teorik temeli sayesinde kuantum sonrası döneme doğal bir tamamlayıcı olarak değerlendirilmekte olup bu çalışmada önerilen PHY - Key mimarisi ileride kuantum sonrası kapsülleme ile birleştirilmeye uygundur Fiziksel katman güvenliği (PLS) , kanalın rasgelelik ve karşılıklılık özelliklerinden yararlanarak doğrudan ortamdan anahtar türetmeyi mümkün kılar (Mathur vd , 2008 ; Ye vd , 2010 ; Maurer , 1993) Ancak mevcut LEO fiziksel katman anahtar üretimi (PKG , Physical - layer Key Generation) çalışmalarında kritik bir fiziksel kısıt ihmal edilmektedir : 510 km irtifada çift yönlü yayılım gecikmesi _RT 3.4 ms iken kanal tutarlılık süresi T_c 12.7 μs’dir; dolayısıyla _RT T_c eşitsizliği klasik anında-karşılıklılık varsayımını geçersiz kılar (Torshizi ve Henkel, 2024; Topal vd., 2021; Abdelsalam vd., 2025).</w:t>
      </w:r>
    </w:p>
    <w:p>
      <w:pPr>
        <w:pStyle w:val="BodyText"/>
        <w:jc w:val="both"/>
      </w:pPr>
      <w:r>
        <w:rPr>
          <w:rFonts w:ascii="Times New Roman" w:hAnsi="Times New Roman"/>
          <w:sz w:val="24"/>
        </w:rPr>
        <w:t>Bu çalışma birkaç açıdan katkı sunmaktadır. İlk olarak, anlık CSI yerine genlik zarfı ve Doppler oranı gibi yavaş değişen öznitelikleri AR tabanlı tahminle harmanlayan, yayılım gecikmesinin farkında bir öznitelik çıkarım hattı tasarlanmıştır. Kanal modeli tarafında ITU-R P.681 esinli elevasyon bağımlı K-faktörü, log-normal gölgeleme, serbest uzay yol kaybı ve atmosferik zayıflama (ITU-R P.618 (ITU-R, 2017)/P.676) tek bir çatı altında birleştirilmiştir. Bit uzlaştırma aşamasında altı geçişli Cascade protokolü uygulanmış, sızan parite bit sayısı takip edilerek Leftover Hash Lemma ile gizlilik güçlendirme boyutu ayarlanmıştır. Ana anahtar her turda HMAC ile güncellenerek ileri anahtar ayrışması hedeflenmiş, ROC tabanlı Eve tespitinde ise risk skoru eşiği Youden-J optimizasyonuyla belirlenip yanlış alarm ve kaçırma olasılıkları sentetik veri üzerinde raporlanmıştır. Son olarak üretilen anahtarlar NIST SP 800-22 frekans, runs ve blok-frekans testlerinden geçirilmiştir.</w:t>
      </w:r>
    </w:p>
    <w:bookmarkEnd w:id="9"/>
    <w:bookmarkStart w:id="14" w:name="ilgili-çalışmalar"/>
    <w:p>
      <w:pPr>
        <w:pStyle w:val="Heading1"/>
        <w:jc w:val="left"/>
      </w:pPr>
      <w:r>
        <w:rPr>
          <w:rFonts w:ascii="Times New Roman" w:hAnsi="Times New Roman"/>
          <w:b/>
          <w:sz w:val="28"/>
        </w:rPr>
        <w:t>İlgili Çalışmalar</w:t>
      </w:r>
    </w:p>
    <w:p>
      <w:pPr>
        <w:pStyle w:val="FirstParagraph"/>
        <w:jc w:val="both"/>
      </w:pPr>
      <w:r>
        <w:rPr>
          <w:rFonts w:ascii="Times New Roman" w:hAnsi="Times New Roman"/>
          <w:sz w:val="24"/>
        </w:rPr>
        <w:t>Wyner’in tel-dinleme kanalı modelinden (Wyner, 1975) bu yana PLS, kablosuz güvenlikte temel bir paradigma olmuştur. Poor ve Schaefer (Poor ve Schaefer, 2017) bilgi-teorik güvenlik temellerini, Mukherjee vd. (Mukherjee vd., 2014) çok kullanıcılı ağlarda PLS ilkelerini, Jorswieck vd. (Jorswieck vd., 2015) ise kimlik doğrulama ile gizliliğin fiziksel katmanda nasıl bütünleştirilebileceğini detaylı şekilde incelemiştir. Maurer (Maurer, 1993) ortak rasgelelikten gizli anahtar üretiminin bilgi-teorik sınırlarını tanımlamış; Mathur vd. (Mathur vd., 2008) ve Ye vd. (Ye vd., 2010) kanal ölçümlerinden anahtar çıkarımının pratiğini göstermiştir. Ren vd. (Ren vd., 2011) CSI tabanlı gizli anahtar paylaşımını, Zeng vd. (Zeng vd., 2010) çoklu anten çeşitliliğinden yararlanmayı incelemiştir. Bloch ve Barros (Bloch ve Barros, 2011) ise PLS’nin teori ve mühendislik boyutlarını bir arada işleyen bir referans kitabı yayımlamıştır.</w:t>
      </w:r>
    </w:p>
    <w:p>
      <w:pPr>
        <w:pStyle w:val="BodyText"/>
        <w:jc w:val="both"/>
      </w:pPr>
      <w:r>
        <w:rPr>
          <w:rFonts w:ascii="Times New Roman" w:hAnsi="Times New Roman"/>
          <w:sz w:val="24"/>
        </w:rPr>
        <w:t>Uydu haberleşmesinde PLS konusunu Abdelsalam vd. (Abdelsalam vd., 2025) güncel bir tarama makalesiyle derlemiş; Chan vd. (Chan vd., 2024) LEO’ya özgü enerji verimli şemalar geliştirmiştir. Lin vd. (Lin vd., 2021) uydu-kara entegre ağlarda gizlilik-enerji dengeli huzme biçimlendirme yaklaşımları geliştirmiştir. Liu vd. (Liu vd., 2017) yeni nesil ağlarda PLS’yi incelemiş; 3GPP TR 33.700-28 (3GPP, 2023) uydu erişiminin güvenlik yönlerini standartlaştırma sürecine dahil etmiştir. Xiao vd. (Xiao vd., 2024) NextG ağlarında PKG tekniklerini ele almış; Torshizi ve Henkel (Torshizi ve Henkel, 2024) frekans bölüşümlü çoğullama (FDD, Frequency Division Duplex) sistemlerde karşılıklılık kaybını telafi eden yöntemler geliştirmiştir. Topal vd. (Topal vd., 2021) Doppler ölçümlerinin entropi kaynağı olarak kullanılabileceğini göstermiştir.</w:t>
      </w:r>
    </w:p>
    <w:p>
      <w:pPr>
        <w:pStyle w:val="BodyText"/>
        <w:jc w:val="both"/>
      </w:pPr>
      <w:r>
        <w:rPr>
          <w:rFonts w:ascii="Times New Roman" w:hAnsi="Times New Roman"/>
          <w:sz w:val="24"/>
        </w:rPr>
        <w:t>Kanal tahmini tabanlı PKG konusunda Zhang vd. (Zhang, Li vd., 2022) FDD sistemlerde derin öğrenme ile kanal öznitelik eşlemesi yaparak anahtar üretimini mümkün kılmış; Zhang vd. (Zhang, Li, Peng vd., 2024) bu yaklaşımı çoklu ortam senaryolarına genişletmiştir. Bu çalışmalar, geleneksel AR/ARMA (Autoregressive Moving Average) tahmin modellerinin ötesinde, eskimiş kanal bilgisi sorununa yenilikçi çözümler sunmuştur. Uzlaştırma yöntemlerinde Brassard ve Salvail (Brassard ve Salvail, 1994) Cascade protokolünü tanımlamış; LDPC (Low-Density Parity-Check) (Bloch vd., 2006) ve Polar kod (Chou vd., 2015) tabanlı alternatifler de önerilmiştir. Hata düzeltme esnasında sızan bilginin atılması için Bennett vd. (Bennett vd., 1995) Leftover Hash Lemmasını geliştirmiştir. Yang vd. (Yang vd., 2022) IoT ortamında Eve tespit mekanizmaları geliştirmiştir. NIST (Rukhin vd., 2010) istatistiksel rasgelelik testleri, üretilen anahtarların kriptografik kalitesini doğrulamak için standart araç olarak kullanılmaktadır.</w:t>
      </w:r>
    </w:p>
    <w:p>
      <w:pPr>
        <w:pStyle w:val="BodyText"/>
        <w:jc w:val="both"/>
      </w:pPr>
      <w:r>
        <w:rPr>
          <w:rFonts w:ascii="Times New Roman" w:hAnsi="Times New Roman"/>
          <w:sz w:val="24"/>
        </w:rPr>
        <w:t xml:space="preserve">Taradığımız literatürde yayılım gecikmesi-tutarlılık süresi çelişkisini, Cascade sızıntı muhasebesini, HMAC tabanlı anahtar evrimini ve ROC tabanlı Eve tespitini bir arada ele alan bir çalışmaya rastlanmamıştır. Tablo </w:t>
      </w:r>
      <w:hyperlink w:anchor="tab:literature">
        <w:r>
          <w:rPr>
            <w:rStyle w:val="Hyperlink"/>
          </w:rPr>
          <w:t xml:space="preserve">4</w:t>
        </w:r>
      </w:hyperlink>
      <w:r>
        <w:rPr>
          <w:rFonts w:ascii="Times New Roman" w:hAnsi="Times New Roman"/>
          <w:sz w:val="24"/>
        </w:rPr>
        <w:t xml:space="preserve"> </w:t>
      </w:r>
      <w:r>
        <w:rPr>
          <w:rFonts w:ascii="Times New Roman" w:hAnsi="Times New Roman"/>
          <w:sz w:val="24"/>
        </w:rPr>
        <w:t>bu durumu özetlemektedir.</w:t>
      </w:r>
    </w:p>
    <w:bookmarkStart w:id="13" w:name="tab:literature"/>
    <w:p>
      <w:pPr>
        <w:pStyle w:val="TableCaption"/>
        <w:jc w:val="both"/>
      </w:pPr>
      <w:r>
        <w:rPr>
          <w:rFonts w:ascii="Times New Roman" w:hAnsi="Times New Roman"/>
          <w:sz w:val="24"/>
        </w:rPr>
        <w:t>Literatür Karşılaştırması</w:t>
      </w:r>
    </w:p>
    <w:tbl>
      <w:tblPr>
        <w:tblStyle w:val="Table"/>
        <w:tblW w:type="auto" w:w="0"/>
        <w:jc w:val="center"/>
        <w:tblLook w:firstRow="1" w:lastRow="0" w:firstColumn="0" w:lastColumn="0" w:noHBand="0" w:noVBand="0" w:val="0020"/>
        <w:tblCaption w:val="Literatür Karşılaştırması"/>
      </w:tblPr>
      <w:tblGrid>
        <w:gridCol w:w="1320"/>
        <w:gridCol w:w="1320"/>
        <w:gridCol w:w="1320"/>
        <w:gridCol w:w="1320"/>
        <w:gridCol w:w="1320"/>
        <w:gridCol w:w="1320"/>
      </w:tblGrid>
      <w:tr>
        <w:trPr>
          <w:tblHeader w:val="on"/>
        </w:trPr>
        <w:tc>
          <w:tcPr/>
          <w:p>
            <w:pPr>
              <w:pStyle w:val="Compact"/>
              <w:jc w:val="center"/>
            </w:pPr>
            <w:r>
              <w:rPr>
                <w:rFonts w:ascii="Times New Roman" w:hAnsi="Times New Roman"/>
                <w:sz w:val="20"/>
              </w:rPr>
              <w:t xml:space="preserve">Çalışma</w:t>
            </w:r>
          </w:p>
        </w:tc>
        <w:tc>
          <w:tcPr/>
          <w:p>
            <w:pPr>
              <w:pStyle w:val="Compact"/>
              <w:jc w:val="center"/>
            </w:pPr>
            <w:r>
              <w:rPr>
                <w:rFonts w:ascii="Times New Roman" w:hAnsi="Times New Roman"/>
                <w:sz w:val="20"/>
              </w:rPr>
              <w:t xml:space="preserve">LEO</w:t>
            </w:r>
          </w:p>
        </w:tc>
        <w:tc>
          <w:tcPr/>
          <w:bookmarkStart w:id="10" w:name="tab:literature"/>
          <w:p>
            <w:pPr>
              <w:pStyle w:val="Compact"/>
              <w:jc w:val="center"/>
            </w:pPr>
            <w:r>
              <w:rPr>
                <w:rFonts w:ascii="Times New Roman" w:hAnsi="Times New Roman"/>
                <w:sz w:val="20"/>
              </w:rPr>
              <w:t xml:space="preserve">Literatür Karşılaştırması</w:t>
            </w:r>
          </w:p>
          <w:tbl>
            <w:tblPr>
              <w:tblStyle w:val="Table"/>
              <w:tblW w:type="auto" w:w="0"/>
              <w:tblLook w:firstRow="0" w:lastRow="0" w:firstColumn="0" w:lastColumn="0" w:noHBand="0" w:noVBand="0" w:val="0000"/>
              <w:tblCaption w:val="Literatür Karşılaştırması"/>
            </w:tblPr>
            <w:tblGrid>
              <w:gridCol w:w="7920"/>
            </w:tblGrid>
            <w:tr>
              <w:tc>
                <w:tcPr/>
                <w:p>
                  <w:pPr>
                    <w:pStyle w:val="Compact"/>
                    <w:jc w:val="center"/>
                    <w:jc w:val="center"/>
                  </w:pPr>
                  <w:r>
                    <w:t xml:space="preserve">Gecikme</w:t>
                  </w:r>
                </w:p>
              </w:tc>
            </w:tr>
            <w:tr>
              <w:tc>
                <w:tcPr/>
                <w:p>
                  <w:pPr>
                    <w:pStyle w:val="Compact"/>
                    <w:jc w:val="center"/>
                    <w:jc w:val="center"/>
                  </w:pPr>
                  <w:r>
                    <w:t xml:space="preserve">Farkındalığı</w:t>
                  </w:r>
                </w:p>
              </w:tc>
            </w:tr>
          </w:tbl>
          <w:bookmarkEnd w:id="10"/>
          <w:p>
            <w:pPr>
              <w:jc w:val="center"/>
            </w:pPr>
          </w:p>
        </w:tc>
        <w:tc>
          <w:tcPr/>
          <w:bookmarkStart w:id="11" w:name="tab:literature"/>
          <w:p>
            <w:pPr>
              <w:pStyle w:val="TableCaption"/>
              <w:jc w:val="center"/>
            </w:pPr>
            <w:r>
              <w:rPr>
                <w:rFonts w:ascii="Times New Roman" w:hAnsi="Times New Roman"/>
                <w:sz w:val="20"/>
              </w:rPr>
              <w:t xml:space="preserve">Literatür Karşılaştırması</w:t>
            </w:r>
          </w:p>
          <w:tbl>
            <w:tblPr>
              <w:tblStyle w:val="Table"/>
              <w:tblW w:type="auto" w:w="0"/>
              <w:tblLook w:firstRow="0" w:lastRow="0" w:firstColumn="0" w:lastColumn="0" w:noHBand="0" w:noVBand="0" w:val="0000"/>
              <w:tblCaption w:val="Literatür Karşılaştırması"/>
            </w:tblPr>
            <w:tblGrid>
              <w:gridCol w:w="7920"/>
            </w:tblGrid>
            <w:tr>
              <w:tc>
                <w:tcPr/>
                <w:p>
                  <w:pPr>
                    <w:pStyle w:val="Compact"/>
                    <w:jc w:val="center"/>
                    <w:jc w:val="center"/>
                  </w:pPr>
                  <w:r>
                    <w:t xml:space="preserve">Eve</w:t>
                  </w:r>
                </w:p>
              </w:tc>
            </w:tr>
            <w:tr>
              <w:tc>
                <w:tcPr/>
                <w:p>
                  <w:pPr>
                    <w:pStyle w:val="Compact"/>
                    <w:jc w:val="center"/>
                    <w:jc w:val="center"/>
                  </w:pPr>
                  <w:r>
                    <w:t xml:space="preserve">Tespiti</w:t>
                  </w:r>
                </w:p>
              </w:tc>
            </w:tr>
          </w:tbl>
          <w:bookmarkEnd w:id="11"/>
          <w:p>
            <w:pPr>
              <w:jc w:val="center"/>
            </w:pPr>
          </w:p>
        </w:tc>
        <w:tc>
          <w:tcPr/>
          <w:bookmarkStart w:id="12" w:name="tab:literature"/>
          <w:p>
            <w:pPr>
              <w:pStyle w:val="TableCaption"/>
              <w:jc w:val="center"/>
            </w:pPr>
            <w:r>
              <w:rPr>
                <w:rFonts w:ascii="Times New Roman" w:hAnsi="Times New Roman"/>
                <w:sz w:val="20"/>
              </w:rPr>
              <w:t xml:space="preserve">Literatür Karşılaştırması</w:t>
            </w:r>
          </w:p>
          <w:tbl>
            <w:tblPr>
              <w:tblStyle w:val="Table"/>
              <w:tblW w:type="auto" w:w="0"/>
              <w:tblLook w:firstRow="0" w:lastRow="0" w:firstColumn="0" w:lastColumn="0" w:noHBand="0" w:noVBand="0" w:val="0000"/>
              <w:tblCaption w:val="Literatür Karşılaştırması"/>
            </w:tblPr>
            <w:tblGrid>
              <w:gridCol w:w="7920"/>
            </w:tblGrid>
            <w:tr>
              <w:tc>
                <w:tcPr/>
                <w:p>
                  <w:pPr>
                    <w:pStyle w:val="Compact"/>
                    <w:jc w:val="center"/>
                    <w:jc w:val="center"/>
                  </w:pPr>
                  <w:r>
                    <w:t xml:space="preserve">Hibrit</w:t>
                  </w:r>
                </w:p>
              </w:tc>
            </w:tr>
            <w:tr>
              <w:tc>
                <w:tcPr/>
                <w:p>
                  <w:pPr>
                    <w:pStyle w:val="Compact"/>
                    <w:jc w:val="center"/>
                    <w:jc w:val="center"/>
                  </w:pPr>
                  <w:r>
                    <w:t xml:space="preserve">Anahtar</w:t>
                  </w:r>
                </w:p>
              </w:tc>
            </w:tr>
          </w:tbl>
          <w:bookmarkEnd w:id="12"/>
          <w:p>
            <w:pPr>
              <w:jc w:val="center"/>
            </w:pPr>
          </w:p>
        </w:tc>
        <w:tc>
          <w:tcPr/>
          <w:p>
            <w:pPr>
              <w:jc w:val="center"/>
            </w:pPr>
            <w:r>
              <w:rPr>
                <w:rFonts w:ascii="Times New Roman" w:hAnsi="Times New Roman"/>
                <w:sz w:val="20"/>
              </w:rPr>
              <w:t xml:space="preserve">NIST</w:t>
            </w:r>
          </w:p>
        </w:tc>
      </w:tr>
      <w:tr>
        <w:tc>
          <w:tcPr/>
          <w:p>
            <w:pPr>
              <w:jc w:val="center"/>
            </w:pPr>
            <w:r>
              <w:rPr>
                <w:rFonts w:ascii="Times New Roman" w:hAnsi="Times New Roman"/>
                <w:sz w:val="20"/>
              </w:rPr>
              <w:t xml:space="preserve">(Abdelsalam vd., 2025)</w:t>
            </w:r>
          </w:p>
        </w:tc>
        <w:tc>
          <w:tcPr/>
          <w:p>
            <w:pPr>
              <w:pStyle w:val="Compact"/>
              <w:jc w:val="center"/>
            </w:pP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r>
      <w:tr>
        <w:tc>
          <w:tcPr/>
          <w:p>
            <w:pPr>
              <w:jc w:val="center"/>
            </w:pPr>
            <w:r>
              <w:rPr>
                <w:rFonts w:ascii="Times New Roman" w:hAnsi="Times New Roman"/>
                <w:sz w:val="20"/>
              </w:rPr>
              <w:t xml:space="preserve">(Xiao vd., 2024)</w:t>
            </w:r>
          </w:p>
        </w:tc>
        <w:tc>
          <w:tcPr/>
          <w:p>
            <w:pPr>
              <w:jc w:val="center"/>
            </w:pPr>
            <w:r>
              <w:rPr>
                <w:rFonts w:ascii="Times New Roman" w:hAnsi="Times New Roman"/>
                <w:sz w:val="20"/>
              </w:rPr>
              <w:t xml:space="preserve"> </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r>
      <w:tr>
        <w:tc>
          <w:tcPr/>
          <w:p>
            <w:pPr>
              <w:jc w:val="center"/>
            </w:pPr>
            <w:r>
              <w:rPr>
                <w:rFonts w:ascii="Times New Roman" w:hAnsi="Times New Roman"/>
                <w:sz w:val="20"/>
              </w:rPr>
              <w:t xml:space="preserve">(Torshizi ve Henkel, 2024)</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r>
      <w:tr>
        <w:tc>
          <w:tcPr/>
          <w:p>
            <w:pPr>
              <w:jc w:val="center"/>
            </w:pPr>
            <w:r>
              <w:rPr>
                <w:rFonts w:ascii="Times New Roman" w:hAnsi="Times New Roman"/>
                <w:sz w:val="20"/>
              </w:rPr>
              <w:t xml:space="preserve">(Topal vd., 2021)</w:t>
            </w:r>
          </w:p>
        </w:tc>
        <w:tc>
          <w:tcPr/>
          <w:p>
            <w:pPr>
              <w:pStyle w:val="Compact"/>
              <w:jc w:val="center"/>
            </w:pP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r>
      <w:tr>
        <w:tc>
          <w:tcPr/>
          <w:p>
            <w:pPr>
              <w:jc w:val="center"/>
            </w:pPr>
            <w:r>
              <w:rPr>
                <w:rFonts w:ascii="Times New Roman" w:hAnsi="Times New Roman"/>
                <w:sz w:val="20"/>
              </w:rPr>
              <w:t xml:space="preserve">(Zhang, Li vd., 2022)</w:t>
            </w:r>
          </w:p>
        </w:tc>
        <w:tc>
          <w:tcPr/>
          <w:p>
            <w:pPr>
              <w:jc w:val="center"/>
            </w:pPr>
            <w:r>
              <w:rPr>
                <w:rFonts w:ascii="Times New Roman" w:hAnsi="Times New Roman"/>
                <w:sz w:val="20"/>
              </w:rPr>
              <w:t xml:space="preserve">—</w:t>
            </w:r>
          </w:p>
        </w:tc>
        <w:tc>
          <w:tcPr/>
          <w:p>
            <w:pPr>
              <w:pStyle w:val="Compact"/>
              <w:jc w:val="center"/>
            </w:pP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c>
          <w:tcPr/>
          <w:p>
            <w:pPr>
              <w:jc w:val="center"/>
            </w:pPr>
            <w:r>
              <w:rPr>
                <w:rFonts w:ascii="Times New Roman" w:hAnsi="Times New Roman"/>
                <w:sz w:val="20"/>
              </w:rPr>
              <w:t xml:space="preserve">—</w:t>
            </w:r>
          </w:p>
        </w:tc>
      </w:tr>
      <w:tr>
        <w:tc>
          <w:tcPr/>
          <w:p>
            <w:pPr>
              <w:jc w:val="center"/>
            </w:pPr>
            <w:r>
              <w:rPr>
                <w:rFonts w:ascii="Times New Roman" w:hAnsi="Times New Roman"/>
                <w:b/>
                <w:bCs/>
                <w:sz w:val="20"/>
              </w:rPr>
              <w:t xml:space="preserve">Bu çalışma</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bookmarkEnd w:id="13"/>
    <w:bookmarkEnd w:id="14"/>
    <w:bookmarkStart w:id="19" w:name="sistem-ve-tehdit-modeli"/>
    <w:p>
      <w:pPr>
        <w:pStyle w:val="Heading1"/>
        <w:jc w:val="left"/>
      </w:pPr>
      <w:r>
        <w:rPr>
          <w:rFonts w:ascii="Times New Roman" w:hAnsi="Times New Roman"/>
          <w:b/>
          <w:sz w:val="28"/>
        </w:rPr>
        <w:t>Sistem ve Tehdit Modeli</w:t>
      </w:r>
    </w:p>
    <w:p>
      <w:pPr>
        <w:pStyle w:val="FirstParagraph"/>
        <w:jc w:val="both"/>
      </w:pPr>
      <w:r>
        <w:rPr>
          <w:rFonts w:ascii="Times New Roman" w:hAnsi="Times New Roman"/>
          <w:sz w:val="24"/>
        </w:rPr>
        <w:t xml:space="preserve">Ele alınan sistem; LEO uydusu Alice (FGN-100), zemin istasyonu Bob ve pasif dinleyici Eve düğümünden oluşmaktadır (Şekil </w:t>
      </w:r>
      <w:hyperlink w:anchor="fig:system">
        <w:r>
          <w:rPr>
            <w:rStyle w:val="Hyperlink"/>
          </w:rPr>
          <w:t xml:space="preserve">1</w:t>
        </w:r>
      </w:hyperlink>
      <w:r>
        <w:rPr>
          <w:rFonts w:ascii="Times New Roman" w:hAnsi="Times New Roman"/>
          <w:sz w:val="24"/>
        </w:rPr>
        <w:t>). Uydu platformu olarak Türkiye’nin ulusal LEO gözlem uydusu FGN-100 seçilmiştir. FGN-100, 510 km irtifası ve 7.6 km/s orbital hızıyla tipik bir LEO senaryosunu yansıtmaktadır; S-band (2.2 GHz) haberleşme altyapısı yayılım gecikmesi sorununu doğrudan gözler önüne sermekte, ayrıca ulusal güvenlik haberleşmesi açısından da doğrudan ilgi çekmektedir. Starlink, OneWeb gibi ticari mega-konstelasyonlar farklı frekans bantları (Ku/Ka) ve irtifa profilleri kullanmakta olup, önerilen mimari uygun parametre değişiklikleriyle bu platformlara da taşınabilir.</w:t>
      </w:r>
    </w:p>
    <w:bookmarkStart w:id="18" w:name="fig:system"/>
    <w:p>
      <w:pPr>
        <w:pStyle w:val="CaptionedFigure"/>
        <w:jc w:val="both"/>
      </w:pPr>
      <w:r>
        <w:rPr>
          <w:rFonts w:ascii="Times New Roman" w:hAnsi="Times New Roman"/>
          <w:sz w:val="24"/>
        </w:rPr>
      </w:r>
    </w:p>
    <w:p>
      <w:pPr>
        <w:pStyle w:val="ImageCaption"/>
        <w:jc w:val="both"/>
      </w:pPr>
      <w:r>
        <w:rPr>
          <w:rFonts w:ascii="Times New Roman" w:hAnsi="Times New Roman"/>
          <w:sz w:val="24"/>
        </w:rPr>
        <w:t>FGN-100 tabanlı Alice-Bob-Eve sistem modeli. Alice 7.6 km/s kovalayan LEO uydusunu; Bob, 3.4 ms RTT gecikmesine rağmen |h|, h, |dh/dt| yavaş özniteliklerini çıkaran yer istasyonunu; Eve ise /2’den ötede (uzaysal dekorelasyon sınırının dışında) uydunun yan huzmelerinden sızan verileri toplayan pasif dinleyiciyi (minibüs) temsil etmektedir.</w:t>
      </w:r>
    </w:p>
    <w:bookmarkEnd w:id="18"/>
    <w:p>
      <w:pPr>
        <w:pStyle w:val="BodyText"/>
        <w:jc w:val="both"/>
      </w:pPr>
      <w:r>
        <w:rPr>
          <w:rFonts w:ascii="Times New Roman" w:hAnsi="Times New Roman"/>
          <w:sz w:val="24"/>
        </w:rPr>
        <w:t>LEO-Zemin Kanal Modeli.</w:t>
      </w:r>
      <w:r>
        <w:rPr>
          <w:rFonts w:ascii="Times New Roman" w:hAnsi="Times New Roman"/>
          <w:sz w:val="24"/>
        </w:rPr>
        <w:t xml:space="preserve"> </w:t>
      </w:r>
      <w:r>
        <w:rPr>
          <w:rFonts w:ascii="Times New Roman" w:hAnsi="Times New Roman"/>
          <w:sz w:val="24"/>
        </w:rPr>
        <w:t>LEO-zemin kanalı için literatürde birden fazla istatistiksel model mevcuttur. Bu çalışmada Loo modeli (Loo, 1985; Fontan vd., 2001) tercih edilmiştir; çünkü ITU-R P.681 kapsamında DLR ve ESA ölçüm kampanyalarıyla doğrulanmış olup elevasyon bağımlı parametreleri (, , P_mp) doğrudan vermektedir. Bu model, LOS bileşeninin log-normal gölgeleme altında dalgalandığı, NLOS bileşeninin Rayleigh dağılım izlediği bir bileşik yapıya sahiptir:</w:t>
      </w:r>
    </w:p>
    <w:p>
      <w:pPr>
        <w:pStyle w:val="BodyText"/>
        <w:jc w:val="both"/>
      </w:pPr>
      <m:oMathPara>
        <m:oMathParaPr>
          <m:jc m:val="center"/>
        </m:oMathParaPr>
        <m:oMath>
          <m:r>
            <m:t>h</m:t>
          </m:r>
          <m:r>
            <m:rPr>
              <m:sty m:val="p"/>
            </m:rPr>
            <m:t>(</m:t>
          </m:r>
          <m:r>
            <m:t>t</m:t>
          </m:r>
          <m:r>
            <m:rPr>
              <m:sty m:val="p"/>
            </m:rPr>
            <m:t>)</m:t>
          </m:r>
          <m:r>
            <m:rPr>
              <m:sty m:val="p"/>
            </m:rPr>
            <m:t>=</m:t>
          </m:r>
          <m:limLow>
            <m:e>
              <m:limLow>
                <m:e>
                  <m:r>
                    <m:t>a</m:t>
                  </m:r>
                  <m:r>
                    <m:rPr>
                      <m:sty m:val="p"/>
                    </m:rPr>
                    <m:t>(</m:t>
                  </m:r>
                  <m:r>
                    <m:t>t</m:t>
                  </m:r>
                  <m:r>
                    <m:rPr>
                      <m:sty m:val="p"/>
                    </m:rPr>
                    <m:t>)</m:t>
                  </m:r>
                  <m:r>
                    <m:t> </m:t>
                  </m:r>
                  <m:sSup>
                    <m:e>
                      <m:r>
                        <m:t>e</m:t>
                      </m:r>
                    </m:e>
                    <m:sup>
                      <m:r>
                        <m:t>j</m:t>
                      </m:r>
                      <m:r>
                        <m:t>2</m:t>
                      </m:r>
                      <m:r>
                        <m:t>π</m:t>
                      </m:r>
                      <m:sSub>
                        <m:e>
                          <m:r>
                            <m:t>f</m:t>
                          </m:r>
                        </m:e>
                        <m:sub>
                          <m:r>
                            <m:t>D</m:t>
                          </m:r>
                        </m:sub>
                      </m:sSub>
                      <m:r>
                        <m:rPr>
                          <m:sty m:val="p"/>
                        </m:rPr>
                        <m:t>(</m:t>
                      </m:r>
                      <m:r>
                        <m:t>t</m:t>
                      </m:r>
                      <m:r>
                        <m:rPr>
                          <m:sty m:val="p"/>
                        </m:rPr>
                        <m:t>)</m:t>
                      </m:r>
                      <m:r>
                        <m:t>t</m:t>
                      </m:r>
                    </m:sup>
                  </m:sSup>
                </m:e>
                <m:lim>
                  <m:r>
                    <m:rPr>
                      <m:sty m:val="p"/>
                    </m:rPr>
                    <m:t>⏟</m:t>
                  </m:r>
                </m:lim>
              </m:limLow>
            </m:e>
            <m:lim>
              <m:r>
                <m:rPr>
                  <m:nor/>
                  <m:sty m:val="p"/>
                </m:rPr>
                <m:t>Gölgelenmiş LOS</m:t>
              </m:r>
            </m:lim>
          </m:limLow>
          <m:r>
            <m:rPr>
              <m:sty m:val="p"/>
            </m:rPr>
            <m:t>+</m:t>
          </m:r>
          <m:limLow>
            <m:e>
              <m:limLow>
                <m:e>
                  <m:r>
                    <m:t>r</m:t>
                  </m:r>
                  <m:r>
                    <m:rPr>
                      <m:sty m:val="p"/>
                    </m:rPr>
                    <m:t>(</m:t>
                  </m:r>
                  <m:r>
                    <m:t>t</m:t>
                  </m:r>
                  <m:r>
                    <m:rPr>
                      <m:sty m:val="p"/>
                    </m:rPr>
                    <m:t>)</m:t>
                  </m:r>
                </m:e>
                <m:lim>
                  <m:r>
                    <m:rPr>
                      <m:sty m:val="p"/>
                    </m:rPr>
                    <m:t>⏟</m:t>
                  </m:r>
                </m:lim>
              </m:limLow>
            </m:e>
            <m:lim>
              <m:r>
                <m:rPr>
                  <m:nor/>
                  <m:sty m:val="p"/>
                </m:rPr>
                <m:t>Rayleigh NLOS</m:t>
              </m:r>
            </m:lim>
          </m:limLow>
        </m:oMath>
      </m:oMathPara>
    </w:p>
    <w:p>
      <w:pPr>
        <w:pStyle w:val="FirstParagraph"/>
        <w:jc w:val="both"/>
      </w:pPr>
      <w:r>
        <w:rPr>
          <w:rFonts w:ascii="Times New Roman" w:hAnsi="Times New Roman"/>
          <w:sz w:val="24"/>
        </w:rPr>
        <w:t>Denklem (1)’de LOS genliği a(t), koreleli log-normal süreçtir (_3 s); r(t) ise Rayleigh dağılımlı çok yollu bileşendir.</w:t>
      </w:r>
    </w:p>
    <w:p>
      <w:pPr>
        <w:pStyle w:val="BodyText"/>
        <w:jc w:val="both"/>
      </w:pPr>
      <w:r>
        <w:rPr>
          <w:rFonts w:ascii="Times New Roman" w:hAnsi="Times New Roman"/>
          <w:sz w:val="24"/>
        </w:rPr>
        <w:t>Elevasyon bağımlı K-faktörü K()_ = 1.0 + 0.18 olarak modellenmiştir (Fontan vd., 2001); burada derece cinsinden elevasyon açısıdır. FSPL ve atmosferik zayıflama (ITU-R P.676/P.618) elevasyon açısına bağlı hesaplanmıştır. Doppler kayması f_D = v f_c / c ifadesiyle verilir; 45 ° elevasyonda f_D39.4 kHz ve T_c 1/f_D 12.7 μs bulunur.</w:t>
      </w:r>
    </w:p>
    <w:p>
      <w:pPr>
        <w:pStyle w:val="BodyText"/>
        <w:jc w:val="both"/>
      </w:pPr>
      <w:r>
        <w:rPr>
          <w:rFonts w:ascii="Times New Roman" w:hAnsi="Times New Roman"/>
          <w:sz w:val="24"/>
        </w:rPr>
        <w:t>Yayılım Gecikmesi ve Tehdit Modeli.</w:t>
      </w:r>
      <w:r>
        <w:rPr>
          <w:rFonts w:ascii="Times New Roman" w:hAnsi="Times New Roman"/>
          <w:sz w:val="24"/>
        </w:rPr>
        <w:t xml:space="preserve"> </w:t>
      </w:r>
      <w:r>
        <w:rPr>
          <w:rFonts w:ascii="Times New Roman" w:hAnsi="Times New Roman"/>
          <w:sz w:val="24"/>
        </w:rPr>
        <w:t>510 km irtifada çift yönlü yayılım gecikmesi _RT3.4 ms, T_c’nin yaklaşık 270 katıdır. Pilot sinyallerin gidiş-dönüşü sırasında kanal yüzlerce kez değiştiğinden, anlık CSI karşılıklılığı geçersizdir. LEO sistemler sıklıkla FDD kullandığından uplink ve downlink frekansları arasındaki fark, anlık kanal tepkilerini farklılaştırır (Torshizi ve Henkel, 2024). Bu çalışmada kullanılan yavaş öznitelikler (genlik zarfı, gölgeleme) büyük ölçekli sönümlemeye bağlı olduğundan frekans bağımsız davranır; ancak bu varsayımın geçerliliği gerçek FDD ölçümleriyle henüz doğrulanmamıştır.</w:t>
      </w:r>
    </w:p>
    <w:p>
      <w:pPr>
        <w:pStyle w:val="BodyText"/>
        <w:jc w:val="both"/>
      </w:pPr>
      <w:r>
        <w:rPr>
          <w:rFonts w:ascii="Times New Roman" w:hAnsi="Times New Roman"/>
          <w:sz w:val="24"/>
        </w:rPr>
        <w:t>Eve, Bob’dan en az /26.8 cm uzakta konumlanmış pasif bir dinleyicidir. Uzaysal dekorelasyon gereği Eve’in kanalı Bob’unkinden istatistiksel olarak bağımsızdır. Eve’in alıcı SNR avantajı (SNR_E) ve elevasyon-geometri etkisi senaryo parametresi olarak modellenmiştir.</w:t>
      </w:r>
    </w:p>
    <w:bookmarkEnd w:id="19"/>
    <w:bookmarkStart w:id="32" w:name="önerilen-hibrit-protokol"/>
    <w:p>
      <w:pPr>
        <w:pStyle w:val="Heading1"/>
        <w:jc w:val="left"/>
      </w:pPr>
      <w:r>
        <w:rPr>
          <w:rFonts w:ascii="Times New Roman" w:hAnsi="Times New Roman"/>
          <w:b/>
          <w:sz w:val="28"/>
        </w:rPr>
        <w:t>Önerilen Hibrit Protokol</w:t>
      </w:r>
    </w:p>
    <w:p>
      <w:pPr>
        <w:pStyle w:val="FirstParagraph"/>
        <w:jc w:val="both"/>
      </w:pPr>
      <w:r>
        <w:rPr>
          <w:rFonts w:ascii="Times New Roman" w:hAnsi="Times New Roman"/>
          <w:sz w:val="24"/>
        </w:rPr>
        <w:t xml:space="preserve">Yöntem, Şekil </w:t>
      </w:r>
      <w:hyperlink w:anchor="fig:protocol">
        <w:r>
          <w:rPr>
            <w:rStyle w:val="Hyperlink"/>
          </w:rPr>
          <w:t xml:space="preserve">2</w:t>
        </w:r>
      </w:hyperlink>
      <w:r>
        <w:rPr>
          <w:rFonts w:ascii="Times New Roman" w:hAnsi="Times New Roman"/>
          <w:sz w:val="24"/>
        </w:rPr>
        <w:t>’da gösterilen üç ardışık fazdan oluşur.</w:t>
      </w:r>
    </w:p>
    <w:bookmarkStart w:id="23" w:name="fig:protocol"/>
    <w:p>
      <w:pPr>
        <w:pStyle w:val="CaptionedFigure"/>
        <w:jc w:val="both"/>
      </w:pPr>
      <w:r>
        <w:rPr>
          <w:rFonts w:ascii="Times New Roman" w:hAnsi="Times New Roman"/>
          <w:sz w:val="24"/>
        </w:rPr>
      </w:r>
    </w:p>
    <w:p>
      <w:pPr>
        <w:pStyle w:val="ImageCaption"/>
        <w:jc w:val="both"/>
      </w:pPr>
      <w:r>
        <w:rPr>
          <w:rFonts w:ascii="Times New Roman" w:hAnsi="Times New Roman"/>
          <w:sz w:val="24"/>
        </w:rPr>
        <w:t>Üç fazlı hibrit güvenlik protokolü (Three-phase hybrid security protocol). Faz 1: Öznitelik çıkarımı ve PHY-Key üretimi (Feature extraction &amp; PHY-Key generation, mavi); Faz 2: ROC tabanlı Eve tespiti (ROC-based eavesdropper detection, turuncu); Faz 3: Hibrit anahtar sentezi (Hybrid key synthesis with ratcheting, yeşil).</w:t>
      </w:r>
    </w:p>
    <w:bookmarkEnd w:id="23"/>
    <w:p>
      <w:pPr>
        <w:pStyle w:val="BodyText"/>
        <w:jc w:val="both"/>
      </w:pPr>
      <w:r>
        <w:rPr>
          <w:rFonts w:ascii="Times New Roman" w:hAnsi="Times New Roman"/>
          <w:sz w:val="24"/>
        </w:rPr>
        <w:t>Faz 1 – Yavaş Öznitelik Tabanlı PHY-Key Üretimi.</w:t>
      </w:r>
      <w:r>
        <w:rPr>
          <w:rFonts w:ascii="Times New Roman" w:hAnsi="Times New Roman"/>
          <w:sz w:val="24"/>
        </w:rPr>
        <w:t xml:space="preserve"> </w:t>
      </w:r>
      <w:r>
        <w:rPr>
          <w:rFonts w:ascii="Times New Roman" w:hAnsi="Times New Roman"/>
          <w:sz w:val="24"/>
        </w:rPr>
        <w:t>Anlık CSI, T_c12.7 μs ile çok hızlı değişmektedir; ancak ağır yumuşatılmış kanal öznitelikleri ham CSI’ye göre belirgin biçimde yavaş ve öngörülebilir kalır. Her CSI bloğundan üç yavaş öznitelik türetilir:</w:t>
      </w:r>
    </w:p>
    <w:p>
      <w:pPr>
        <w:pStyle w:val="BodyText"/>
        <w:jc w:val="both"/>
      </w:pPr>
      <m:oMathPara>
        <m:oMathParaPr>
          <m:jc m:val="center"/>
        </m:oMathParaPr>
        <m:oMath>
          <m:r>
            <m:rPr>
              <m:sty m:val="bi"/>
            </m:rPr>
            <m:t>f</m:t>
          </m:r>
          <m:r>
            <m:rPr>
              <m:sty m:val="p"/>
            </m:rPr>
            <m:t>=</m:t>
          </m:r>
          <m:d>
            <m:dPr>
              <m:begChr m:val="["/>
              <m:sepChr m:val=""/>
              <m:endChr m:val="]"/>
              <m:grow/>
            </m:dPr>
            <m:e>
              <m:sSub>
                <m:e>
                  <m:acc>
                    <m:accPr>
                      <m:chr m:val="‾"/>
                    </m:accPr>
                    <m:e>
                      <m:r>
                        <m:rPr>
                          <m:sty m:val="p"/>
                        </m:rPr>
                        <m:t>|</m:t>
                      </m:r>
                      <m:r>
                        <m:t>h</m:t>
                      </m:r>
                      <m:r>
                        <m:rPr>
                          <m:sty m:val="p"/>
                        </m:rPr>
                        <m:t>|</m:t>
                      </m:r>
                    </m:e>
                  </m:acc>
                </m:e>
                <m:sub>
                  <m:r>
                    <m:t>W</m:t>
                  </m:r>
                </m:sub>
              </m:sSub>
              <m:r>
                <m:rPr>
                  <m:sty m:val="p"/>
                </m:rPr>
                <m:t>,</m:t>
              </m:r>
              <m:r>
                <m:t> </m:t>
              </m:r>
              <m:sSub>
                <m:e>
                  <m:bar>
                    <m:barPr>
                      <m:pos m:val="top"/>
                    </m:barPr>
                    <m:e>
                      <m:r>
                        <m:rPr>
                          <m:sty m:val="p"/>
                        </m:rPr>
                        <m:t>∠</m:t>
                      </m:r>
                      <m:r>
                        <m:t>h</m:t>
                      </m:r>
                    </m:e>
                  </m:bar>
                </m:e>
                <m:sub>
                  <m:r>
                    <m:t>W</m:t>
                  </m:r>
                </m:sub>
              </m:sSub>
              <m:r>
                <m:rPr>
                  <m:sty m:val="p"/>
                </m:rPr>
                <m:t>,</m:t>
              </m:r>
              <m:r>
                <m:t> </m:t>
              </m:r>
              <m:sSub>
                <m:e>
                  <m:bar>
                    <m:barPr>
                      <m:pos m:val="top"/>
                    </m:barPr>
                    <m:e>
                      <m:d>
                        <m:dPr>
                          <m:begChr m:val="|"/>
                          <m:sepChr m:val=""/>
                          <m:endChr m:val="|"/>
                          <m:grow/>
                        </m:dPr>
                        <m:e>
                          <m:f>
                            <m:fPr>
                              <m:type m:val="bar"/>
                            </m:fPr>
                            <m:num>
                              <m:r>
                                <m:t>d</m:t>
                              </m:r>
                              <m:r>
                                <m:rPr>
                                  <m:sty m:val="p"/>
                                </m:rPr>
                                <m:t>∠</m:t>
                              </m:r>
                              <m:r>
                                <m:t>h</m:t>
                              </m:r>
                            </m:num>
                            <m:den>
                              <m:r>
                                <m:t>d</m:t>
                              </m:r>
                              <m:r>
                                <m:t>t</m:t>
                              </m:r>
                            </m:den>
                          </m:f>
                        </m:e>
                      </m:d>
                    </m:e>
                  </m:bar>
                </m:e>
                <m:sub>
                  <m:r>
                    <m:t>W</m:t>
                  </m:r>
                </m:sub>
              </m:sSub>
            </m:e>
          </m:d>
        </m:oMath>
      </m:oMathPara>
    </w:p>
    <w:p>
      <w:pPr>
        <w:pStyle w:val="FirstParagraph"/>
        <w:jc w:val="both"/>
      </w:pPr>
      <w:r>
        <w:rPr>
          <w:rFonts w:ascii="Times New Roman" w:hAnsi="Times New Roman"/>
          <w:sz w:val="24"/>
        </w:rPr>
        <w:t xml:space="preserve">Denklem (2)’deki _W ağır kayan ortalamayı (W 2 s pencere) gösterir. Bob tarafında alınan CSI’dan çıkarılan yumuşatılmış zarfın _RT kadar ilerideki değeri, blok bazında çözülen otoregresif (AR) model ile tahmin edilir. Model derecesi p=12 olarak belirlenmiştir; bu değer p , 8, 12, 16, 20 aralığında yapılan taramada Bayesian bilgi kriteri (BIC) minimumu ve KDR performansı birlikte değerlendirilerek seçilmiştir. p&lt;8’de tahmin hatası belirgin biçimde artarken, p&gt;12’de BIC yükselmekte ve KDR’de anlamlı iyileşme görülmemektedir. Şekil </w:t>
      </w:r>
      <w:hyperlink w:anchor="fig:acf_ar">
        <w:r>
          <w:rPr>
            <w:rStyle w:val="Hyperlink"/>
          </w:rPr>
          <w:t xml:space="preserve">3</w:t>
        </w:r>
      </w:hyperlink>
      <w:r>
        <w:rPr>
          <w:rFonts w:ascii="Times New Roman" w:hAnsi="Times New Roman"/>
          <w:sz w:val="24"/>
        </w:rPr>
        <w:t>, hızlı CSI ile yumuşatılmış zarfın otokorelasyon farkını ve AR tahmin hatasının tahmin horizontuna göre değişimini göstermektedir; yavaş zarfın _RT ötesinde bile yüksek korelasyon koruduğu görülmektedir.</w:t>
      </w:r>
    </w:p>
    <w:bookmarkStart w:id="27" w:name="fig:acf_ar"/>
    <w:p>
      <w:pPr>
        <w:pStyle w:val="CaptionedFigure"/>
        <w:jc w:val="both"/>
      </w:pPr>
      <w:r>
        <w:rPr>
          <w:rFonts w:ascii="Times New Roman" w:hAnsi="Times New Roman"/>
          <w:sz w:val="24"/>
        </w:rPr>
      </w:r>
    </w:p>
    <w:p>
      <w:pPr>
        <w:pStyle w:val="ImageCaption"/>
        <w:jc w:val="both"/>
      </w:pPr>
      <w:r>
        <w:rPr>
          <w:rFonts w:ascii="Times New Roman" w:hAnsi="Times New Roman"/>
          <w:sz w:val="24"/>
        </w:rPr>
        <w:t>Sol: Hızlı CSI ve yumuşatılmış zarf otokorelasyon karşılaştırması. Sağ: AR tahmin hatasının (NMSE) tahmin horizontuna göre değişimi.</w:t>
      </w:r>
    </w:p>
    <w:bookmarkEnd w:id="27"/>
    <w:p>
      <w:pPr>
        <w:pStyle w:val="BodyText"/>
        <w:jc w:val="both"/>
      </w:pPr>
      <w:r>
        <w:rPr>
          <w:rFonts w:ascii="Times New Roman" w:hAnsi="Times New Roman"/>
          <w:sz w:val="24"/>
        </w:rPr>
        <w:t>Yavaş öznitelikler medyan tabanlı eşiklerle nicemlenir. Düşük SNR’de (&lt;25 dB) gürültü marjını korumak için L=2 seviyeli (ikili) nicemleme uygulanır; 25 dB ve üzerinde AR tahmin kalitesinin yeterince iyileşmesiyle L=3 seviyeli (üçlü) nicemlemeye geçilir. Bu geçiş noktası, L ,3,4 ve SNR ,,30d̃B ızgarasında KDR-KGR ödünleşimi taranarak belirlenmiştir; L=4 tüm SNR değerlerinde KDR’yi artırdığından elenmiştir.</w:t>
      </w:r>
    </w:p>
    <w:p>
      <w:pPr>
        <w:pStyle w:val="BodyText"/>
        <w:jc w:val="both"/>
      </w:pPr>
      <w:r>
        <w:rPr>
          <w:rFonts w:ascii="Times New Roman" w:hAnsi="Times New Roman"/>
          <w:sz w:val="24"/>
        </w:rPr>
        <w:t>Alice ve Bob’un bit dizileri arasındaki uyuşmazlıklar, Cascade protokolü (Brassard ve Salvail, 1994) ile giderilir. Geçiş sayısı k , 6, 8, 10 taranmış; k=6’da düzeltme oranı %99.9’a ulaşırken k=8 ve k=10’da ek iyileşme marjinal kalmış, buna karşılık sızan parite bit sayısı doğrusal artmıştır. Bu nedenle k=6 düzeltme-sızıntı dengesi açısından tercih edilmiştir. Sızan parite bit sayısı L_ kaydedilir. Elde edilen uzlaştırılmış bitlerde Cascade parite paylaşımlarından sızan bilgi miktarını silmek için Leftover Hash Lemma (LHL) (Bennett vd., 1995) işletilir:</w:t>
      </w:r>
    </w:p>
    <w:p>
      <w:pPr>
        <w:pStyle w:val="BodyText"/>
        <w:jc w:val="both"/>
      </w:pPr>
      <m:oMathPara>
        <m:oMathParaPr>
          <m:jc m:val="center"/>
        </m:oMathParaPr>
        <m:oMath>
          <m:sSub>
            <m:e>
              <m:r>
                <m:t>ℓ</m:t>
              </m:r>
            </m:e>
            <m:sub>
              <m:r>
                <m:rPr>
                  <m:nor/>
                  <m:sty m:val="p"/>
                </m:rPr>
                <m:t>PA</m:t>
              </m:r>
            </m:sub>
          </m:sSub>
          <m:r>
            <m:rPr>
              <m:sty m:val="p"/>
            </m:rPr>
            <m:t>=</m:t>
          </m:r>
          <m:r>
            <m:rPr>
              <m:sty m:val="p"/>
            </m:rPr>
            <m:t>max</m:t>
          </m:r>
          <m:d>
            <m:dPr>
              <m:begChr m:val="("/>
              <m:sepChr m:val=""/>
              <m:endChr m:val=")"/>
              <m:grow/>
            </m:dPr>
            <m:e>
              <m:r>
                <m:t>64</m:t>
              </m:r>
              <m:r>
                <m:rPr>
                  <m:sty m:val="p"/>
                </m:rPr>
                <m:t>,</m:t>
              </m:r>
              <m:r>
                <m:t> </m:t>
              </m:r>
              <m:sSub>
                <m:e>
                  <m:r>
                    <m:t>n</m:t>
                  </m:r>
                </m:e>
                <m:sub>
                  <m:r>
                    <m:rPr>
                      <m:nor/>
                      <m:sty m:val="p"/>
                    </m:rPr>
                    <m:t>raw</m:t>
                  </m:r>
                </m:sub>
              </m:sSub>
              <m:r>
                <m:rPr>
                  <m:sty m:val="p"/>
                </m:rPr>
                <m:t>−</m:t>
              </m:r>
              <m:sSub>
                <m:e>
                  <m:r>
                    <m:t>L</m:t>
                  </m:r>
                </m:e>
                <m:sub>
                  <m:r>
                    <m:rPr>
                      <m:nor/>
                      <m:sty m:val="p"/>
                    </m:rPr>
                    <m:t>leak</m:t>
                  </m:r>
                </m:sub>
              </m:sSub>
              <m:r>
                <m:rPr>
                  <m:sty m:val="p"/>
                </m:rPr>
                <m:t>−</m:t>
              </m:r>
              <m:r>
                <m:t>2</m:t>
              </m:r>
              <m:sSub>
                <m:e>
                  <m:r>
                    <m:rPr>
                      <m:sty m:val="p"/>
                    </m:rPr>
                    <m:t>log</m:t>
                  </m:r>
                </m:e>
                <m:sub>
                  <m:r>
                    <m:t>2</m:t>
                  </m:r>
                </m:sub>
              </m:sSub>
              <m:r>
                <m:rPr>
                  <m:sty m:val="p"/>
                </m:rPr>
                <m:t>(</m:t>
              </m:r>
              <m:r>
                <m:t>1</m:t>
              </m:r>
              <m:r>
                <m:rPr>
                  <m:sty m:val="p"/>
                </m:rPr>
                <m:t>/</m:t>
              </m:r>
              <m:r>
                <m:t>ε</m:t>
              </m:r>
              <m:r>
                <m:rPr>
                  <m:sty m:val="p"/>
                </m:rPr>
                <m:t>)</m:t>
              </m:r>
            </m:e>
          </m:d>
        </m:oMath>
      </m:oMathPara>
    </w:p>
    <w:p>
      <w:pPr>
        <w:pStyle w:val="FirstParagraph"/>
        <w:jc w:val="both"/>
      </w:pPr>
      <w:r>
        <w:rPr>
          <w:rFonts w:ascii="Times New Roman" w:hAnsi="Times New Roman"/>
          <w:sz w:val="24"/>
        </w:rPr>
        <w:t>Denklem (3)’de = 2^-32 olup SHA-256 hash çıktısı _ bit’e kesilir. Nicemleme çıktısının entropi kalitesini doğrulamak için her blokta min-entropi H_ = -_2(_i p_i) hesaplanmıştır; 20 dB SNR’de L=2 nicemleme için H_ 0.92 bit/sembol, L=3 için H_ 1.35 bit/sembol bulunmuştur.</w:t>
      </w:r>
    </w:p>
    <w:p>
      <w:pPr>
        <w:pStyle w:val="BodyText"/>
        <w:jc w:val="both"/>
      </w:pPr>
      <w:r>
        <w:rPr>
          <w:rFonts w:ascii="Times New Roman" w:hAnsi="Times New Roman"/>
          <w:sz w:val="24"/>
        </w:rPr>
        <w:t>Faz 2 – ROC Tabanlı Eve Tespiti.</w:t>
      </w:r>
      <w:r>
        <w:rPr>
          <w:rFonts w:ascii="Times New Roman" w:hAnsi="Times New Roman"/>
          <w:sz w:val="24"/>
        </w:rPr>
        <w:t xml:space="preserve"> </w:t>
      </w:r>
      <w:r>
        <w:rPr>
          <w:rFonts w:ascii="Times New Roman" w:hAnsi="Times New Roman"/>
          <w:sz w:val="24"/>
        </w:rPr>
        <w:t>Eve risk skoru, genlik korelasyonu (_AE), faz tutarlılığı (_AE) ve Eve alıcı avantajına bağlı lojistik bileşenin ağırlıklı birleşiminden oluşur:</w:t>
      </w:r>
    </w:p>
    <w:p>
      <w:pPr>
        <w:pStyle w:val="BodyText"/>
        <w:jc w:val="both"/>
      </w:pPr>
      <m:oMathPara>
        <m:oMathParaPr>
          <m:jc m:val="center"/>
        </m:oMathParaPr>
        <m:oMath>
          <m:sSub>
            <m:e>
              <m:r>
                <m:t>R</m:t>
              </m:r>
            </m:e>
            <m:sub>
              <m:r>
                <m:t>E</m:t>
              </m:r>
            </m:sub>
          </m:sSub>
          <m:r>
            <m:rPr>
              <m:sty m:val="p"/>
            </m:rPr>
            <m:t>=</m:t>
          </m:r>
          <m:sSub>
            <m:e>
              <m:r>
                <m:t>w</m:t>
              </m:r>
            </m:e>
            <m:sub>
              <m:r>
                <m:t>1</m:t>
              </m:r>
            </m:sub>
          </m:sSub>
          <m:r>
            <m:t> </m:t>
          </m:r>
          <m:sSub>
            <m:e>
              <m:r>
                <m:t>ρ</m:t>
              </m:r>
            </m:e>
            <m:sub>
              <m:r>
                <m:t>A</m:t>
              </m:r>
              <m:r>
                <m:t>E</m:t>
              </m:r>
            </m:sub>
          </m:sSub>
          <m:r>
            <m:rPr>
              <m:sty m:val="p"/>
            </m:rPr>
            <m:t>+</m:t>
          </m:r>
          <m:sSub>
            <m:e>
              <m:r>
                <m:t>w</m:t>
              </m:r>
            </m:e>
            <m:sub>
              <m:r>
                <m:t>2</m:t>
              </m:r>
            </m:sub>
          </m:sSub>
          <m:r>
            <m:t> </m:t>
          </m:r>
          <m:sSub>
            <m:e>
              <m:r>
                <m:rPr>
                  <m:sty m:val="p"/>
                </m:rPr>
                <m:t>P</m:t>
              </m:r>
              <m:r>
                <m:rPr>
                  <m:sty m:val="p"/>
                </m:rPr>
                <m:t>C</m:t>
              </m:r>
            </m:e>
            <m:sub>
              <m:r>
                <m:t>A</m:t>
              </m:r>
              <m:r>
                <m:t>E</m:t>
              </m:r>
            </m:sub>
          </m:sSub>
          <m:r>
            <m:rPr>
              <m:sty m:val="p"/>
            </m:rPr>
            <m:t>+</m:t>
          </m:r>
          <m:sSub>
            <m:e>
              <m:r>
                <m:t>w</m:t>
              </m:r>
            </m:e>
            <m:sub>
              <m:r>
                <m:t>3</m:t>
              </m:r>
            </m:sub>
          </m:sSub>
          <m:r>
            <m:t> </m:t>
          </m:r>
          <m:r>
            <m:t>σ</m:t>
          </m:r>
          <m:r>
            <m:rPr>
              <m:sty m:val="p"/>
            </m:rPr>
            <m:t>(</m:t>
          </m:r>
          <m:r>
            <m:rPr>
              <m:sty m:val="p"/>
            </m:rPr>
            <m:t>Δ</m:t>
          </m:r>
          <m:r>
            <m:t>S</m:t>
          </m:r>
          <m:r>
            <m:t>N</m:t>
          </m:r>
          <m:sSub>
            <m:e>
              <m:r>
                <m:t>R</m:t>
              </m:r>
            </m:e>
            <m:sub>
              <m:r>
                <m:t>E</m:t>
              </m:r>
            </m:sub>
          </m:sSub>
          <m:r>
            <m:rPr>
              <m:sty m:val="p"/>
            </m:rPr>
            <m:t>)</m:t>
          </m:r>
        </m:oMath>
      </m:oMathPara>
    </w:p>
    <w:p>
      <w:pPr>
        <w:pStyle w:val="FirstParagraph"/>
        <w:jc w:val="both"/>
      </w:pPr>
      <w:r>
        <w:rPr>
          <w:rFonts w:ascii="Times New Roman" w:hAnsi="Times New Roman"/>
          <w:sz w:val="24"/>
        </w:rPr>
        <w:t>Denklem (4)’daki ağırlıklar (w_1, w_2, w_3) ve eşik değeri R_E^*, H_0: Eve yok / H_1: Eve var hipotezleri üzerinde Youden-J = - indeksini maksimize eden grid araması ile belirlenir. Ölçüm belirsizliği eklenmiş sentetik ROC değerlendirmesinde optimal ağırlıklar (0.35, 0.40, 0.25) ve optimal eşik R_E^* 0.383 bulunmuştur. 20 dB ve 1 λ için P_FA=0.044 ve P_MD=0.020 elde edilmiştir.</w:t>
      </w:r>
    </w:p>
    <w:p>
      <w:pPr>
        <w:pStyle w:val="BodyText"/>
        <w:jc w:val="both"/>
      </w:pPr>
      <w:r>
        <w:rPr>
          <w:rFonts w:ascii="Times New Roman" w:hAnsi="Times New Roman"/>
          <w:sz w:val="24"/>
        </w:rPr>
        <w:t>Faz 3 – İleri-Güvenli Anahtar Evrimi ile Hibrit Sentez.</w:t>
      </w:r>
      <w:r>
        <w:rPr>
          <w:rFonts w:ascii="Times New Roman" w:hAnsi="Times New Roman"/>
          <w:sz w:val="24"/>
        </w:rPr>
        <w:t xml:space="preserve"> </w:t>
      </w:r>
      <w:r>
        <w:rPr>
          <w:rFonts w:ascii="Times New Roman" w:hAnsi="Times New Roman"/>
          <w:sz w:val="24"/>
        </w:rPr>
        <w:t xml:space="preserve">PHY-Key, ön-paylaşımlı ana anahtarın ilk 128 bit’i ile XOR birleştirilir (Şekil </w:t>
      </w:r>
      <w:hyperlink w:anchor="fig:hybrid">
        <w:r>
          <w:rPr>
            <w:rStyle w:val="Hyperlink"/>
          </w:rPr>
          <w:t xml:space="preserve">4</w:t>
        </w:r>
      </w:hyperlink>
      <w:r>
        <w:rPr>
          <w:rFonts w:ascii="Times New Roman" w:hAnsi="Times New Roman"/>
          <w:sz w:val="24"/>
        </w:rPr>
        <w:t>):</w:t>
      </w:r>
    </w:p>
    <w:p>
      <w:pPr>
        <w:pStyle w:val="BodyText"/>
        <w:jc w:val="both"/>
      </w:pPr>
      <m:oMathPara>
        <m:oMathParaPr>
          <m:jc m:val="center"/>
        </m:oMathParaPr>
        <m:oMath>
          <m:sSub>
            <m:e>
              <m:r>
                <m:t>K</m:t>
              </m:r>
            </m:e>
            <m:sub>
              <m:r>
                <m:rPr>
                  <m:nor/>
                  <m:sty m:val="p"/>
                </m:rPr>
                <m:t>session</m:t>
              </m:r>
            </m:sub>
          </m:sSub>
          <m:r>
            <m:rPr>
              <m:sty m:val="p"/>
            </m:rPr>
            <m:t>=</m:t>
          </m:r>
          <m:sSub>
            <m:e>
              <m:r>
                <m:t>K</m:t>
              </m:r>
            </m:e>
            <m:sub>
              <m:r>
                <m:rPr>
                  <m:nor/>
                  <m:sty m:val="p"/>
                </m:rPr>
                <m:t>PHY</m:t>
              </m:r>
            </m:sub>
          </m:sSub>
          <m:r>
            <m:rPr>
              <m:sty m:val="p"/>
            </m:rPr>
            <m:t>⊕</m:t>
          </m:r>
          <m:sSub>
            <m:e>
              <m:r>
                <m:t>K</m:t>
              </m:r>
            </m:e>
            <m:sub>
              <m:r>
                <m:rPr>
                  <m:nor/>
                  <m:sty m:val="p"/>
                </m:rPr>
                <m:t>master</m:t>
              </m:r>
            </m:sub>
          </m:sSub>
          <m:r>
            <m:rPr>
              <m:sty m:val="p"/>
            </m:rPr>
            <m:t>[</m:t>
          </m:r>
          <m:r>
            <m:t>0</m:t>
          </m:r>
          <m:r>
            <m:rPr>
              <m:sty m:val="p"/>
            </m:rPr>
            <m:t>:</m:t>
          </m:r>
          <m:r>
            <m:t>127</m:t>
          </m:r>
          <m:r>
            <m:rPr>
              <m:sty m:val="p"/>
            </m:rPr>
            <m:t>]</m:t>
          </m:r>
        </m:oMath>
      </m:oMathPara>
    </w:p>
    <w:p>
      <w:pPr>
        <w:pStyle w:val="FirstParagraph"/>
        <w:jc w:val="both"/>
      </w:pPr>
      <w:r>
        <w:rPr>
          <w:rFonts w:ascii="Times New Roman" w:hAnsi="Times New Roman"/>
          <w:sz w:val="24"/>
        </w:rPr>
        <w:t>Her turda ana anahtar Denklem (6)’teki gibi HMAC ile güncellenir:</w:t>
      </w:r>
    </w:p>
    <w:p>
      <w:pPr>
        <w:pStyle w:val="BodyText"/>
        <w:jc w:val="both"/>
      </w:pPr>
      <m:oMathPara>
        <m:oMathParaPr>
          <m:jc m:val="center"/>
        </m:oMathParaPr>
        <m:oMath>
          <m:sSubSup>
            <m:e>
              <m:r>
                <m:t>K</m:t>
              </m:r>
            </m:e>
            <m:sub>
              <m:r>
                <m:rPr>
                  <m:nor/>
                  <m:sty m:val="p"/>
                </m:rPr>
                <m:t>master</m:t>
              </m:r>
            </m:sub>
            <m:sup>
              <m:r>
                <m:rPr>
                  <m:sty m:val="p"/>
                </m:rPr>
                <m:t>(</m:t>
              </m:r>
              <m:r>
                <m:t>i</m:t>
              </m:r>
              <m:r>
                <m:rPr>
                  <m:sty m:val="p"/>
                </m:rPr>
                <m:t>+</m:t>
              </m:r>
              <m:r>
                <m:t>1</m:t>
              </m:r>
              <m:r>
                <m:rPr>
                  <m:sty m:val="p"/>
                </m:rPr>
                <m:t>)</m:t>
              </m:r>
            </m:sup>
          </m:sSubSup>
          <m:r>
            <m:rPr>
              <m:sty m:val="p"/>
            </m:rPr>
            <m:t>=</m:t>
          </m:r>
          <m:r>
            <m:rPr>
              <m:sty m:val="p"/>
            </m:rPr>
            <m:t>H</m:t>
          </m:r>
          <m:r>
            <m:rPr>
              <m:sty m:val="p"/>
            </m:rPr>
            <m:t>M</m:t>
          </m:r>
          <m:r>
            <m:rPr>
              <m:sty m:val="p"/>
            </m:rPr>
            <m:t>A</m:t>
          </m:r>
          <m:r>
            <m:rPr>
              <m:sty m:val="p"/>
            </m:rPr>
            <m:t>C</m:t>
          </m:r>
          <m:r>
            <m:rPr>
              <m:nor/>
              <m:sty m:val="p"/>
            </m:rPr>
            <m:t>-</m:t>
          </m:r>
          <m:r>
            <m:rPr>
              <m:sty m:val="p"/>
            </m:rPr>
            <m:t>S</m:t>
          </m:r>
          <m:r>
            <m:rPr>
              <m:sty m:val="p"/>
            </m:rPr>
            <m:t>H</m:t>
          </m:r>
          <m:r>
            <m:rPr>
              <m:sty m:val="p"/>
            </m:rPr>
            <m:t>A</m:t>
          </m:r>
          <m:r>
            <m:rPr>
              <m:sty m:val="p"/>
            </m:rPr>
            <m:t>256</m:t>
          </m:r>
          <m:r>
            <m:t>​</m:t>
          </m:r>
          <m:d>
            <m:dPr>
              <m:begChr m:val="("/>
              <m:sepChr m:val=""/>
              <m:endChr m:val=")"/>
              <m:grow/>
            </m:dPr>
            <m:e>
              <m:sSubSup>
                <m:e>
                  <m:r>
                    <m:t>K</m:t>
                  </m:r>
                </m:e>
                <m:sub>
                  <m:r>
                    <m:rPr>
                      <m:nor/>
                      <m:sty m:val="p"/>
                    </m:rPr>
                    <m:t>master</m:t>
                  </m:r>
                </m:sub>
                <m:sup>
                  <m:r>
                    <m:rPr>
                      <m:sty m:val="p"/>
                    </m:rPr>
                    <m:t>(</m:t>
                  </m:r>
                  <m:r>
                    <m:t>i</m:t>
                  </m:r>
                  <m:r>
                    <m:rPr>
                      <m:sty m:val="p"/>
                    </m:rPr>
                    <m:t>)</m:t>
                  </m:r>
                </m:sup>
              </m:sSubSup>
              <m:r>
                <m:rPr>
                  <m:sty m:val="p"/>
                </m:rPr>
                <m:t>,</m:t>
              </m:r>
              <m:r>
                <m:t> </m:t>
              </m:r>
              <m:sSubSup>
                <m:e>
                  <m:r>
                    <m:t>K</m:t>
                  </m:r>
                </m:e>
                <m:sub>
                  <m:r>
                    <m:rPr>
                      <m:nor/>
                      <m:sty m:val="p"/>
                    </m:rPr>
                    <m:t>PHY</m:t>
                  </m:r>
                </m:sub>
                <m:sup>
                  <m:r>
                    <m:rPr>
                      <m:sty m:val="p"/>
                    </m:rPr>
                    <m:t>(</m:t>
                  </m:r>
                  <m:r>
                    <m:t>i</m:t>
                  </m:r>
                  <m:r>
                    <m:rPr>
                      <m:sty m:val="p"/>
                    </m:rPr>
                    <m:t>)</m:t>
                  </m:r>
                </m:sup>
              </m:sSubSup>
            </m:e>
          </m:d>
        </m:oMath>
      </m:oMathPara>
    </w:p>
    <w:p>
      <w:pPr>
        <w:pStyle w:val="FirstParagraph"/>
        <w:jc w:val="both"/>
      </w:pPr>
      <w:r>
        <w:rPr>
          <w:rFonts w:ascii="Times New Roman" w:hAnsi="Times New Roman"/>
          <w:sz w:val="24"/>
        </w:rPr>
        <w:t>Denklem (5) ile oluşturulan oturum anahtarının güvenliği bu ratchet mekanizmasına dayanmaktadır. Signal protokolündeki simetrik ratchet yapısından esinlenmiştir: her turda ana anahtar tek yönlü HMAC fonksiyonuyla güncellenerek bir önceki değerine geri döndürülmesi hesaplama açısından olanaksız kılınır. Böylece ileri gizlilik (forward secrecy) hedeflenir. Ancak burada asimetrik anahtar değişimi bulunmadığından tam Perfect Forward Secrecy için resmi bir güvenlik indirgemesi (security reduction) yapılmamıştır; bu, başlangıç anahtarının güvenli dağıtımı ve kimlik doğrulama ile birlikte protokol düzeyinde ayrıca ispatlanmalıdır.</w:t>
      </w:r>
    </w:p>
    <w:bookmarkStart w:id="31" w:name="fig:hybrid"/>
    <w:p>
      <w:pPr>
        <w:pStyle w:val="CaptionedFigure"/>
        <w:jc w:val="both"/>
      </w:pPr>
      <w:r>
        <w:rPr>
          <w:rFonts w:ascii="Times New Roman" w:hAnsi="Times New Roman"/>
          <w:sz w:val="24"/>
        </w:rPr>
      </w:r>
    </w:p>
    <w:p>
      <w:pPr>
        <w:pStyle w:val="ImageCaption"/>
        <w:jc w:val="both"/>
      </w:pPr>
      <w:r>
        <w:rPr>
          <w:rFonts w:ascii="Times New Roman" w:hAnsi="Times New Roman"/>
          <w:sz w:val="24"/>
        </w:rPr>
        <w:t>PHY-Key ile ileri-güvenli anahtar evrimi (key ratcheting) içeren ana anahtarın hibrit birleşimi.</w:t>
      </w:r>
    </w:p>
    <w:bookmarkEnd w:id="31"/>
    <w:bookmarkEnd w:id="32"/>
    <w:bookmarkStart w:id="81" w:name="benzetim-sonuçları"/>
    <w:p>
      <w:pPr>
        <w:pStyle w:val="Heading1"/>
        <w:jc w:val="left"/>
      </w:pPr>
      <w:r>
        <w:rPr>
          <w:rFonts w:ascii="Times New Roman" w:hAnsi="Times New Roman"/>
          <w:b/>
          <w:sz w:val="28"/>
        </w:rPr>
        <w:t>Benzetim Sonuçları</w:t>
      </w:r>
    </w:p>
    <w:p>
      <w:pPr>
        <w:pStyle w:val="FirstParagraph"/>
        <w:jc w:val="both"/>
      </w:pPr>
      <w:r>
        <w:rPr>
          <w:rFonts w:ascii="Times New Roman" w:hAnsi="Times New Roman"/>
          <w:sz w:val="24"/>
        </w:rPr>
        <w:t>Hesaplama yükü açısından AR(12) tahmin blok başına (p^2 N) işlem gerektirmekte, 6 geçişli Cascade (n n) mertebesinde kalmakta ve HMAC-SHA256 güncellemesi sabit zamanlıdır. 10 000 örneklik bir CSI bloğu için toplam işlem süresi standart bir dizüstü bilgisayarda (Intel i7, 2.8 GHz) &lt;50 ms olarak ölçülmüştür. Uzay sınıfı radyasyona dayanıklı işlemcilerin saat hızı ve mimari farkları göz önüne alındığında, bu değerin gömülü platformlarda birkaç kat artması beklenebilir; yine de uydu geçişi süresine (5 dakika) kıyasla gerçek zamanlı işleme için yeterli marj bulunduğu değerlendirilmektedir.</w:t>
      </w:r>
    </w:p>
    <w:p>
      <w:pPr>
        <w:pStyle w:val="BodyText"/>
        <w:jc w:val="both"/>
      </w:pPr>
      <w:r>
        <w:rPr>
          <w:rFonts w:ascii="Times New Roman" w:hAnsi="Times New Roman"/>
          <w:sz w:val="24"/>
        </w:rPr>
        <w:t xml:space="preserve">Tüm deneyler Python 3 ile N=10 000 örneklik CSI blokları üzerinde 200 Monte-Carlo tekrarıyla yürütülmüştür. Monte-Carlo benzetimi, rasgele kanal gerçeklemelerinin istatistiksel dağılımını elde etmek için yaygın olarak tercih edilen bir yöntemdir. Tablo </w:t>
      </w:r>
      <w:hyperlink w:anchor="tab:mc_lit">
        <w:r>
          <w:rPr>
            <w:rStyle w:val="Hyperlink"/>
          </w:rPr>
          <w:t xml:space="preserve">5</w:t>
        </w:r>
      </w:hyperlink>
      <w:r>
        <w:rPr>
          <w:rFonts w:ascii="Times New Roman" w:hAnsi="Times New Roman"/>
          <w:sz w:val="24"/>
        </w:rPr>
        <w:t>, son beş yılda uydu/kablosuz PKG alanında Monte-Carlo tabanlı değerlendirme kullanan başlıca çalışmaları özetlemektedir. Sonuçlar tamamen sentetik kanal modeline dayanmaktadır; güven aralıkları %95 düzeyinde raporlanmıştır. Tekrarlanabilirliği sağlamak amacıyla tüm benzetim kodları ve parametre dosyaları açık kaynak olarak paylaşılmıştır. [</w:t>
      </w:r>
      <w:hyperlink r:id="rId33">
        <w:r>
          <w:rPr>
            <w:rStyle w:val="Hyperlink"/>
          </w:rPr>
          <w:t xml:space="preserve">https://github.com/onderozturk/leo-pkg-hybrid]</w:t>
        </w:r>
      </w:hyperlink>
    </w:p>
    <w:bookmarkStart w:id="34" w:name="tab:mc_lit"/>
    <w:p>
      <w:pPr>
        <w:pStyle w:val="TableCaption"/>
        <w:jc w:val="both"/>
      </w:pPr>
      <w:r>
        <w:rPr>
          <w:rFonts w:ascii="Times New Roman" w:hAnsi="Times New Roman"/>
          <w:sz w:val="24"/>
        </w:rPr>
        <w:t>PKG Alanında Monte-Carlo Benzetimi Kullanan Güncel Çalışmalar</w:t>
      </w:r>
    </w:p>
    <w:tbl>
      <w:tblPr>
        <w:tblStyle w:val="Table"/>
        <w:tblW w:type="auto" w:w="0"/>
        <w:jc w:val="center"/>
        <w:tblLook w:firstRow="1" w:lastRow="0" w:firstColumn="0" w:lastColumn="0" w:noHBand="0" w:noVBand="0" w:val="0020"/>
        <w:tblCaption w:val="PKG Alanında Monte-Carlo Benzetimi Kullanan Güncel Çalışmalar"/>
      </w:tblPr>
      <w:tblGrid>
        <w:gridCol w:w="1980"/>
        <w:gridCol w:w="1980"/>
        <w:gridCol w:w="1980"/>
        <w:gridCol w:w="1980"/>
      </w:tblGrid>
      <w:tr>
        <w:trPr>
          <w:tblHeader w:val="on"/>
        </w:trPr>
        <w:tc>
          <w:tcPr/>
          <w:p>
            <w:pPr>
              <w:pStyle w:val="Compact"/>
              <w:jc w:val="center"/>
            </w:pPr>
            <w:r>
              <w:rPr>
                <w:rFonts w:ascii="Times New Roman" w:hAnsi="Times New Roman"/>
                <w:sz w:val="20"/>
              </w:rPr>
              <w:t xml:space="preserve">Çalışma</w:t>
            </w:r>
          </w:p>
        </w:tc>
        <w:tc>
          <w:tcPr/>
          <w:p>
            <w:pPr>
              <w:pStyle w:val="Compact"/>
              <w:jc w:val="center"/>
            </w:pPr>
            <w:r>
              <w:rPr>
                <w:rFonts w:ascii="Times New Roman" w:hAnsi="Times New Roman"/>
                <w:sz w:val="20"/>
              </w:rPr>
              <w:t xml:space="preserve">Yıl</w:t>
            </w:r>
          </w:p>
        </w:tc>
        <w:tc>
          <w:tcPr/>
          <w:p>
            <w:pPr>
              <w:pStyle w:val="Compact"/>
              <w:jc w:val="center"/>
            </w:pPr>
            <w:r>
              <w:rPr>
                <w:rFonts w:ascii="Times New Roman" w:hAnsi="Times New Roman"/>
                <w:sz w:val="20"/>
              </w:rPr>
              <w:t xml:space="preserve">MC Tekrar</w:t>
            </w:r>
          </w:p>
        </w:tc>
        <w:tc>
          <w:tcPr/>
          <w:p>
            <w:pPr>
              <w:pStyle w:val="Compact"/>
              <w:jc w:val="center"/>
            </w:pPr>
            <w:r>
              <w:rPr>
                <w:rFonts w:ascii="Times New Roman" w:hAnsi="Times New Roman"/>
                <w:sz w:val="20"/>
              </w:rPr>
              <w:t xml:space="preserve">Senaryo</w:t>
            </w:r>
          </w:p>
        </w:tc>
      </w:tr>
      <w:tr>
        <w:tc>
          <w:tcPr/>
          <w:p>
            <w:pPr>
              <w:pStyle w:val="Compact"/>
              <w:jc w:val="center"/>
            </w:pPr>
            <w:r>
              <w:rPr>
                <w:rFonts w:ascii="Times New Roman" w:hAnsi="Times New Roman"/>
                <w:sz w:val="20"/>
              </w:rPr>
              <w:t xml:space="preserve">Zhang vd. (Zhang, Li vd., 2022)</w:t>
            </w:r>
          </w:p>
        </w:tc>
        <w:tc>
          <w:tcPr/>
          <w:p>
            <w:pPr>
              <w:pStyle w:val="Compact"/>
              <w:jc w:val="center"/>
            </w:pPr>
            <w:r>
              <w:rPr>
                <w:rFonts w:ascii="Times New Roman" w:hAnsi="Times New Roman"/>
                <w:sz w:val="20"/>
              </w:rPr>
              <w:t xml:space="preserve">2022</w:t>
            </w:r>
          </w:p>
        </w:tc>
        <w:tc>
          <w:tcPr/>
          <w:p>
            <w:pPr>
              <w:pStyle w:val="Compact"/>
              <w:jc w:val="center"/>
            </w:pPr>
            <w:r>
              <w:rPr>
                <w:rFonts w:ascii="Times New Roman" w:hAnsi="Times New Roman"/>
                <w:sz w:val="20"/>
              </w:rPr>
              <w:t xml:space="preserve">1 000</w:t>
            </w:r>
          </w:p>
        </w:tc>
        <w:tc>
          <w:tcPr/>
          <w:p>
            <w:pPr>
              <w:pStyle w:val="Compact"/>
              <w:jc w:val="center"/>
            </w:pPr>
            <w:r>
              <w:rPr>
                <w:rFonts w:ascii="Times New Roman" w:hAnsi="Times New Roman"/>
                <w:sz w:val="20"/>
              </w:rPr>
              <w:t xml:space="preserve">FDD PKG</w:t>
            </w:r>
          </w:p>
        </w:tc>
      </w:tr>
      <w:tr>
        <w:tc>
          <w:tcPr/>
          <w:p>
            <w:pPr>
              <w:pStyle w:val="Compact"/>
              <w:jc w:val="center"/>
            </w:pPr>
            <w:r>
              <w:rPr>
                <w:rFonts w:ascii="Times New Roman" w:hAnsi="Times New Roman"/>
                <w:sz w:val="20"/>
              </w:rPr>
              <w:t xml:space="preserve">Zhang vd. (Zhang, Li, Peng vd., 2024)</w:t>
            </w:r>
          </w:p>
        </w:tc>
        <w:tc>
          <w:tcPr/>
          <w:p>
            <w:pPr>
              <w:pStyle w:val="Compact"/>
              <w:jc w:val="center"/>
            </w:pPr>
            <w:r>
              <w:rPr>
                <w:rFonts w:ascii="Times New Roman" w:hAnsi="Times New Roman"/>
                <w:sz w:val="20"/>
              </w:rPr>
              <w:t xml:space="preserve">2024</w:t>
            </w:r>
          </w:p>
        </w:tc>
        <w:tc>
          <w:tcPr/>
          <w:p>
            <w:pPr>
              <w:pStyle w:val="Compact"/>
              <w:jc w:val="center"/>
            </w:pPr>
            <w:r>
              <w:rPr>
                <w:rFonts w:ascii="Times New Roman" w:hAnsi="Times New Roman"/>
                <w:sz w:val="20"/>
              </w:rPr>
              <w:t xml:space="preserve">500</w:t>
            </w:r>
          </w:p>
        </w:tc>
        <w:tc>
          <w:tcPr/>
          <w:p>
            <w:pPr>
              <w:pStyle w:val="Compact"/>
              <w:jc w:val="center"/>
            </w:pPr>
            <w:r>
              <w:rPr>
                <w:rFonts w:ascii="Times New Roman" w:hAnsi="Times New Roman"/>
                <w:sz w:val="20"/>
              </w:rPr>
              <w:t xml:space="preserve">FDD-OFDM PKG</w:t>
            </w:r>
          </w:p>
        </w:tc>
      </w:tr>
      <w:tr>
        <w:tc>
          <w:tcPr/>
          <w:p>
            <w:pPr>
              <w:pStyle w:val="Compact"/>
              <w:jc w:val="center"/>
            </w:pPr>
            <w:r>
              <w:rPr>
                <w:rFonts w:ascii="Times New Roman" w:hAnsi="Times New Roman"/>
                <w:sz w:val="20"/>
              </w:rPr>
              <w:t xml:space="preserve">Topal vd. (Topal vd., 2021)</w:t>
            </w:r>
          </w:p>
        </w:tc>
        <w:tc>
          <w:tcPr/>
          <w:p>
            <w:pPr>
              <w:pStyle w:val="Compact"/>
              <w:jc w:val="center"/>
            </w:pPr>
            <w:r>
              <w:rPr>
                <w:rFonts w:ascii="Times New Roman" w:hAnsi="Times New Roman"/>
                <w:sz w:val="20"/>
              </w:rPr>
              <w:t xml:space="preserve">2021</w:t>
            </w:r>
          </w:p>
        </w:tc>
        <w:tc>
          <w:tcPr/>
          <w:p>
            <w:pPr>
              <w:pStyle w:val="Compact"/>
              <w:jc w:val="center"/>
            </w:pPr>
            <w:r>
              <w:rPr>
                <w:rFonts w:ascii="Times New Roman" w:hAnsi="Times New Roman"/>
                <w:sz w:val="20"/>
              </w:rPr>
              <w:t xml:space="preserve">200</w:t>
            </w:r>
          </w:p>
        </w:tc>
        <w:tc>
          <w:tcPr/>
          <w:p>
            <w:pPr>
              <w:pStyle w:val="Compact"/>
              <w:jc w:val="center"/>
            </w:pPr>
            <w:r>
              <w:rPr>
                <w:rFonts w:ascii="Times New Roman" w:hAnsi="Times New Roman"/>
                <w:sz w:val="20"/>
              </w:rPr>
              <w:t xml:space="preserve">Uzay Doppler</w:t>
            </w:r>
          </w:p>
        </w:tc>
      </w:tr>
      <w:tr>
        <w:tc>
          <w:tcPr/>
          <w:p>
            <w:pPr>
              <w:pStyle w:val="Compact"/>
              <w:jc w:val="center"/>
            </w:pPr>
            <w:r>
              <w:rPr>
                <w:rFonts w:ascii="Times New Roman" w:hAnsi="Times New Roman"/>
                <w:b/>
                <w:bCs/>
                <w:sz w:val="20"/>
              </w:rPr>
              <w:t xml:space="preserve">Bu çalışma</w:t>
            </w:r>
          </w:p>
        </w:tc>
        <w:tc>
          <w:tcPr/>
          <w:p>
            <w:pPr>
              <w:pStyle w:val="Compact"/>
              <w:jc w:val="center"/>
            </w:pPr>
            <w:r>
              <w:rPr>
                <w:rFonts w:ascii="Times New Roman" w:hAnsi="Times New Roman"/>
                <w:sz w:val="20"/>
              </w:rPr>
              <w:t xml:space="preserve">2025</w:t>
            </w:r>
          </w:p>
        </w:tc>
        <w:tc>
          <w:tcPr/>
          <w:p>
            <w:pPr>
              <w:pStyle w:val="Compact"/>
              <w:jc w:val="center"/>
            </w:pPr>
            <w:r>
              <w:rPr>
                <w:rFonts w:ascii="Times New Roman" w:hAnsi="Times New Roman"/>
                <w:sz w:val="20"/>
              </w:rPr>
              <w:t xml:space="preserve">200/50</w:t>
            </w:r>
          </w:p>
        </w:tc>
        <w:tc>
          <w:tcPr/>
          <w:p>
            <w:pPr>
              <w:pStyle w:val="Compact"/>
              <w:jc w:val="center"/>
            </w:pPr>
            <w:r>
              <w:rPr>
                <w:rFonts w:ascii="Times New Roman" w:hAnsi="Times New Roman"/>
                <w:sz w:val="20"/>
              </w:rPr>
              <w:t xml:space="preserve">LEO Loo</w:t>
            </w:r>
          </w:p>
        </w:tc>
      </w:tr>
    </w:tbl>
    <w:bookmarkEnd w:id="34"/>
    <w:bookmarkStart w:id="35" w:name="tab:simparams"/>
    <w:p>
      <w:pPr>
        <w:pStyle w:val="TableCaption"/>
        <w:jc w:val="both"/>
      </w:pPr>
      <w:r>
        <w:rPr>
          <w:rFonts w:ascii="Times New Roman" w:hAnsi="Times New Roman"/>
          <w:sz w:val="24"/>
        </w:rPr>
        <w:t>Temel Benzetim Parametreleri</w:t>
      </w:r>
    </w:p>
    <w:tbl>
      <w:tblPr>
        <w:tblStyle w:val="Table"/>
        <w:tblW w:type="auto" w:w="0"/>
        <w:jc w:val="center"/>
        <w:tblLook w:firstRow="1" w:lastRow="0" w:firstColumn="0" w:lastColumn="0" w:noHBand="0" w:noVBand="0" w:val="0020"/>
        <w:tblCaption w:val="Temel Benzetim Parametreleri"/>
      </w:tblPr>
      <w:tblGrid>
        <w:gridCol w:w="3960"/>
        <w:gridCol w:w="3960"/>
      </w:tblGrid>
      <w:tr>
        <w:trPr>
          <w:tblHeader w:val="on"/>
        </w:trPr>
        <w:tc>
          <w:tcPr/>
          <w:p>
            <w:pPr>
              <w:pStyle w:val="Compact"/>
              <w:jc w:val="center"/>
            </w:pPr>
            <w:r>
              <w:rPr>
                <w:rFonts w:ascii="Times New Roman" w:hAnsi="Times New Roman"/>
                <w:sz w:val="20"/>
              </w:rPr>
              <w:t xml:space="preserve">Parametre</w:t>
            </w:r>
          </w:p>
        </w:tc>
        <w:tc>
          <w:tcPr/>
          <w:p>
            <w:pPr>
              <w:pStyle w:val="Compact"/>
              <w:jc w:val="center"/>
            </w:pPr>
            <w:r>
              <w:rPr>
                <w:rFonts w:ascii="Times New Roman" w:hAnsi="Times New Roman"/>
                <w:sz w:val="20"/>
              </w:rPr>
              <w:t xml:space="preserve">Değer</w:t>
            </w:r>
          </w:p>
        </w:tc>
      </w:tr>
      <w:tr>
        <w:tc>
          <w:tcPr/>
          <w:p>
            <w:pPr>
              <w:pStyle w:val="Compact"/>
              <w:jc w:val="center"/>
            </w:pPr>
            <w:r>
              <w:rPr>
                <w:rFonts w:ascii="Times New Roman" w:hAnsi="Times New Roman"/>
                <w:sz w:val="20"/>
              </w:rPr>
              <w:t xml:space="preserve">Uydu platformu</w:t>
            </w:r>
          </w:p>
        </w:tc>
        <w:tc>
          <w:tcPr/>
          <w:p>
            <w:pPr>
              <w:pStyle w:val="Compact"/>
              <w:jc w:val="center"/>
            </w:pPr>
            <w:r>
              <w:rPr>
                <w:rFonts w:ascii="Times New Roman" w:hAnsi="Times New Roman"/>
                <w:sz w:val="20"/>
              </w:rPr>
              <w:t xml:space="preserve">FGN-100</w:t>
            </w:r>
          </w:p>
        </w:tc>
      </w:tr>
      <w:tr>
        <w:tc>
          <w:tcPr/>
          <w:p>
            <w:pPr>
              <w:pStyle w:val="Compact"/>
              <w:jc w:val="center"/>
            </w:pPr>
            <w:r>
              <w:rPr>
                <w:rFonts w:ascii="Times New Roman" w:hAnsi="Times New Roman"/>
                <w:sz w:val="20"/>
              </w:rPr>
              <w:t xml:space="preserve">İrtifa / orbital hız</w:t>
            </w:r>
          </w:p>
        </w:tc>
        <w:tc>
          <w:tcPr/>
          <w:p>
            <w:pPr>
              <w:pStyle w:val="Compact"/>
              <w:jc w:val="center"/>
            </w:pPr>
            <w:r>
              <w:rPr>
                <w:rFonts w:ascii="Times New Roman" w:hAnsi="Times New Roman"/>
                <w:sz w:val="20"/>
              </w:rPr>
              <w:t xml:space="preserve">510 km / 7.6 km/s</w:t>
            </w:r>
          </w:p>
        </w:tc>
      </w:tr>
      <w:tr>
        <w:tc>
          <w:tcPr/>
          <w:p>
            <w:pPr>
              <w:pStyle w:val="Compact"/>
              <w:jc w:val="center"/>
            </w:pPr>
            <w:r>
              <w:rPr>
                <w:rFonts w:ascii="Times New Roman" w:hAnsi="Times New Roman"/>
                <w:sz w:val="20"/>
              </w:rPr>
              <w:t xml:space="preserve">Taşıyıcı frekans</w:t>
            </w:r>
          </w:p>
        </w:tc>
        <w:tc>
          <w:tcPr/>
          <w:p>
            <w:pPr>
              <w:pStyle w:val="Compact"/>
              <w:jc w:val="center"/>
            </w:pPr>
            <w:r>
              <w:rPr>
                <w:rFonts w:ascii="Times New Roman" w:hAnsi="Times New Roman"/>
                <w:sz w:val="20"/>
              </w:rPr>
              <w:t xml:space="preserve">2.2 GHz (S-band)</w:t>
            </w:r>
          </w:p>
        </w:tc>
      </w:tr>
      <w:tr>
        <w:tc>
          <w:tcPr/>
          <w:p>
            <w:pPr>
              <w:pStyle w:val="Compact"/>
              <w:jc w:val="center"/>
            </w:pPr>
            <w:r>
              <w:rPr>
                <w:rFonts w:ascii="Times New Roman" w:hAnsi="Times New Roman"/>
                <w:sz w:val="20"/>
              </w:rPr>
              <w:t xml:space="preserve">Bant genişliği</w:t>
            </w:r>
          </w:p>
        </w:tc>
        <w:tc>
          <w:tcPr/>
          <w:p>
            <w:pPr>
              <w:pStyle w:val="Compact"/>
              <w:jc w:val="center"/>
            </w:pPr>
            <w:r>
              <w:rPr>
                <w:rFonts w:ascii="Times New Roman" w:hAnsi="Times New Roman"/>
                <w:sz w:val="20"/>
              </w:rPr>
              <w:t xml:space="preserve">10 MHz</w:t>
            </w:r>
          </w:p>
        </w:tc>
      </w:tr>
      <w:tr>
        <w:tc>
          <w:tcPr/>
          <w:p>
            <w:pPr>
              <w:pStyle w:val="Compact"/>
              <w:jc w:val="center"/>
            </w:pPr>
            <w:r>
              <w:rPr>
                <w:rFonts w:ascii="Times New Roman" w:hAnsi="Times New Roman"/>
                <w:sz w:val="20"/>
              </w:rPr>
              <w:t xml:space="preserve">Elevasyon açısı</w:t>
            </w:r>
          </w:p>
        </w:tc>
        <w:tc>
          <w:tcPr/>
          <w:p>
            <w:pPr>
              <w:pStyle w:val="Compact"/>
              <w:jc w:val="center"/>
            </w:pPr>
            <w:r>
              <w:rPr>
                <w:rFonts w:ascii="Times New Roman" w:hAnsi="Times New Roman"/>
                <w:sz w:val="20"/>
              </w:rPr>
              <w:t xml:space="preserve">45 °</w:t>
            </w:r>
          </w:p>
        </w:tc>
      </w:tr>
      <w:tr>
        <w:tc>
          <w:tcPr/>
          <w:p>
            <w:pPr>
              <w:pStyle w:val="Compact"/>
              <w:jc w:val="center"/>
            </w:pPr>
            <w:r>
              <w:rPr>
                <w:rFonts w:ascii="Times New Roman" w:hAnsi="Times New Roman"/>
                <w:sz w:val="20"/>
              </w:rPr>
              <w:t xml:space="preserve">SNR aralığı</w:t>
            </w:r>
          </w:p>
        </w:tc>
        <w:tc>
          <w:tcPr/>
          <w:p>
            <w:pPr>
              <w:pStyle w:val="Compact"/>
              <w:jc w:val="center"/>
            </w:pPr>
            <w:r>
              <w:rPr>
                <w:rFonts w:ascii="Times New Roman" w:hAnsi="Times New Roman"/>
                <w:sz w:val="20"/>
              </w:rPr>
              <w:t xml:space="preserve">10–30 dB</w:t>
            </w:r>
          </w:p>
        </w:tc>
      </w:tr>
      <w:tr>
        <w:tc>
          <w:tcPr/>
          <w:p>
            <w:pPr>
              <w:pStyle w:val="Compact"/>
              <w:jc w:val="center"/>
            </w:pPr>
            <w:r>
              <w:rPr>
                <w:rFonts w:ascii="Times New Roman" w:hAnsi="Times New Roman"/>
                <w:sz w:val="20"/>
              </w:rPr>
              <w:t xml:space="preserve">CSI blok uzunluğu</w:t>
            </w:r>
          </w:p>
        </w:tc>
        <w:tc>
          <w:tcPr/>
          <w:p>
            <w:pPr>
              <w:pStyle w:val="Compact"/>
              <w:jc w:val="center"/>
            </w:pPr>
            <w:r>
              <w:rPr>
                <w:rFonts w:ascii="Times New Roman" w:hAnsi="Times New Roman"/>
                <w:sz w:val="20"/>
              </w:rPr>
              <w:t xml:space="preserve">10 000 örnek</w:t>
            </w:r>
          </w:p>
        </w:tc>
      </w:tr>
      <w:tr>
        <w:tc>
          <w:tcPr/>
          <w:p>
            <w:pPr>
              <w:pStyle w:val="Compact"/>
              <w:jc w:val="center"/>
            </w:pPr>
            <w:r>
              <w:rPr>
                <w:rFonts w:ascii="Times New Roman" w:hAnsi="Times New Roman"/>
                <w:sz w:val="20"/>
              </w:rPr>
              <w:t xml:space="preserve">Monte-Carlo tekrarı</w:t>
            </w:r>
          </w:p>
        </w:tc>
        <w:tc>
          <w:tcPr/>
          <w:p>
            <w:pPr>
              <w:pStyle w:val="Compact"/>
              <w:jc w:val="center"/>
            </w:pPr>
            <w:r>
              <w:rPr>
                <w:rFonts w:ascii="Times New Roman" w:hAnsi="Times New Roman"/>
                <w:sz w:val="20"/>
              </w:rPr>
              <w:t xml:space="preserve">200</w:t>
            </w:r>
          </w:p>
        </w:tc>
      </w:tr>
      <w:tr>
        <w:tc>
          <w:tcPr/>
          <w:p>
            <w:pPr>
              <w:pStyle w:val="Compact"/>
              <w:jc w:val="center"/>
            </w:pPr>
            <w:r>
              <w:rPr>
                <w:rFonts w:ascii="Times New Roman" w:hAnsi="Times New Roman"/>
                <w:sz w:val="20"/>
              </w:rPr>
              <w:t xml:space="preserve">Cascade geçiş sayısı</w:t>
            </w:r>
          </w:p>
        </w:tc>
        <w:tc>
          <w:tcPr/>
          <w:p>
            <w:pPr>
              <w:pStyle w:val="Compact"/>
              <w:jc w:val="center"/>
            </w:pPr>
            <w:r>
              <w:rPr>
                <w:rFonts w:ascii="Times New Roman" w:hAnsi="Times New Roman"/>
                <w:sz w:val="20"/>
              </w:rPr>
              <w:t xml:space="preserve">6</w:t>
            </w:r>
          </w:p>
        </w:tc>
      </w:tr>
      <w:tr>
        <w:tc>
          <w:tcPr/>
          <w:p>
            <w:pPr>
              <w:pStyle w:val="Compact"/>
              <w:jc w:val="center"/>
            </w:pPr>
            <w:r>
              <w:rPr>
                <w:rFonts w:ascii="Times New Roman" w:hAnsi="Times New Roman"/>
                <w:sz w:val="20"/>
              </w:rPr>
              <w:t>Güvenlik parametresi (ε)</w:t>
            </w:r>
          </w:p>
        </w:tc>
        <w:tc>
          <w:tcPr/>
          <w:p>
            <w:pPr>
              <w:pStyle w:val="Compact"/>
              <w:jc w:val="center"/>
            </w:pPr>
            <w:r>
              <w:rPr>
                <w:rFonts w:ascii="Times New Roman" w:hAnsi="Times New Roman"/>
                <w:sz w:val="20"/>
              </w:rPr>
              <w:t>2⁻³²</w:t>
            </w:r>
          </w:p>
        </w:tc>
      </w:tr>
      <w:tr>
        <w:tc>
          <w:tcPr/>
          <w:p>
            <w:pPr>
              <w:pStyle w:val="Compact"/>
              <w:jc w:val="center"/>
            </w:pPr>
            <w:r>
              <w:rPr>
                <w:rFonts w:ascii="Times New Roman" w:hAnsi="Times New Roman"/>
                <w:sz w:val="20"/>
              </w:rPr>
              <w:t xml:space="preserve">AR tahmin derecesi</w:t>
            </w:r>
          </w:p>
        </w:tc>
        <w:tc>
          <w:tcPr/>
          <w:p>
            <w:pPr>
              <w:pStyle w:val="Compact"/>
              <w:jc w:val="center"/>
            </w:pPr>
            <w:r>
              <w:rPr>
                <w:rFonts w:ascii="Times New Roman" w:hAnsi="Times New Roman"/>
                <w:sz w:val="20"/>
              </w:rPr>
              <w:t xml:space="preserve">p=12</w:t>
            </w:r>
          </w:p>
        </w:tc>
      </w:tr>
    </w:tbl>
    <w:bookmarkEnd w:id="35"/>
    <w:bookmarkStart w:id="41" w:name="tek-blok-validasyon-analizi-kötü-senaryo"/>
    <w:p>
      <w:pPr>
        <w:pStyle w:val="Heading2"/>
        <w:jc w:val="left"/>
      </w:pPr>
      <w:r>
        <w:rPr>
          <w:rFonts w:ascii="Times New Roman" w:hAnsi="Times New Roman"/>
          <w:b/>
          <w:sz w:val="26"/>
        </w:rPr>
        <w:t>Tek-Blok Validasyon Analizi (Kötü Senaryo)</w:t>
      </w:r>
    </w:p>
    <w:p>
      <w:pPr>
        <w:pStyle w:val="FirstParagraph"/>
        <w:jc w:val="both"/>
      </w:pPr>
      <w:r>
        <w:rPr>
          <w:rFonts w:ascii="Times New Roman" w:hAnsi="Times New Roman"/>
          <w:sz w:val="24"/>
        </w:rPr>
        <w:t xml:space="preserve">Bu bölüm, algoritma geliştirmesinde kullanılan ilk-iterasyon tek-bloklu statik validasyon sonuçlarını sunmaktadır. Sistem bir bütün olarak (tam Loo geçişindeki %1 altı KDR performansının aksine), tüm uyuşmazlıkların tek bir CSI bloğuna sıkıştırıldığı en zorlu SNR koşullarında test edilmiştir. Şekil </w:t>
      </w:r>
      <w:hyperlink w:anchor="fig:mainresults">
        <w:r>
          <w:rPr>
            <w:rStyle w:val="Hyperlink"/>
          </w:rPr>
          <w:t xml:space="preserve">5</w:t>
        </w:r>
      </w:hyperlink>
      <w:r>
        <w:rPr>
          <w:rFonts w:ascii="Times New Roman" w:hAnsi="Times New Roman"/>
          <w:sz w:val="24"/>
        </w:rPr>
        <w:t xml:space="preserve"> </w:t>
      </w:r>
      <w:r>
        <w:rPr>
          <w:rFonts w:ascii="Times New Roman" w:hAnsi="Times New Roman"/>
          <w:sz w:val="24"/>
        </w:rPr>
        <w:t>bu senaryodaki KDR ve KGR eğrilerini %95 güven aralıklarıyla göstermektedir.</w:t>
      </w:r>
    </w:p>
    <w:bookmarkStart w:id="39" w:name="fig:mainresults"/>
    <w:p>
      <w:pPr>
        <w:pStyle w:val="CaptionedFigure"/>
        <w:jc w:val="both"/>
      </w:pPr>
      <w:r>
        <w:rPr>
          <w:rFonts w:ascii="Times New Roman" w:hAnsi="Times New Roman"/>
          <w:sz w:val="24"/>
        </w:rPr>
      </w:r>
    </w:p>
    <w:p>
      <w:pPr>
        <w:pStyle w:val="ImageCaption"/>
        <w:jc w:val="both"/>
      </w:pPr>
      <w:r>
        <w:rPr>
          <w:rFonts w:ascii="Times New Roman" w:hAnsi="Times New Roman"/>
          <w:sz w:val="24"/>
        </w:rPr>
        <w:t>Ana bağlantı sonuçları: solda SNR-KDR (%95 güven aralığı ile), sağda SNR-KGR.</w:t>
      </w:r>
    </w:p>
    <w:bookmarkEnd w:id="39"/>
    <w:bookmarkStart w:id="40" w:name="tab:mainresults"/>
    <w:p>
      <w:pPr>
        <w:pStyle w:val="TableCaption"/>
        <w:jc w:val="both"/>
      </w:pPr>
      <w:r>
        <w:rPr>
          <w:rFonts w:ascii="Times New Roman" w:hAnsi="Times New Roman"/>
          <w:sz w:val="24"/>
        </w:rPr>
        <w:t>Tek-Blok Kötü Senaryo Sonuçları (%95 GA)</w:t>
      </w:r>
    </w:p>
    <w:tbl>
      <w:tblPr>
        <w:tblStyle w:val="Table"/>
        <w:tblW w:type="auto" w:w="0"/>
        <w:jc w:val="center"/>
        <w:tblLook w:firstRow="1" w:lastRow="0" w:firstColumn="0" w:lastColumn="0" w:noHBand="0" w:noVBand="0" w:val="0020"/>
        <w:tblCaption w:val="Tek-Blok Kötü Senaryo Sonuçları (%95 GA)"/>
      </w:tblPr>
      <w:tblGrid>
        <w:gridCol w:w="1980"/>
        <w:gridCol w:w="1980"/>
        <w:gridCol w:w="1980"/>
        <w:gridCol w:w="1980"/>
      </w:tblGrid>
      <w:tr>
        <w:trPr>
          <w:tblHeader w:val="on"/>
        </w:trPr>
        <w:tc>
          <w:tcPr/>
          <w:p>
            <w:pPr>
              <w:pStyle w:val="Compact"/>
              <w:jc w:val="center"/>
            </w:pPr>
            <w:r>
              <w:rPr>
                <w:rFonts w:ascii="Times New Roman" w:hAnsi="Times New Roman"/>
                <w:sz w:val="20"/>
              </w:rPr>
              <w:t xml:space="preserve">SNR (dB)</w:t>
            </w:r>
          </w:p>
        </w:tc>
        <w:tc>
          <w:tcPr/>
          <w:p>
            <w:pPr>
              <w:pStyle w:val="Compact"/>
              <w:jc w:val="center"/>
            </w:pPr>
            <w:r>
              <w:rPr>
                <w:rFonts w:ascii="Times New Roman" w:hAnsi="Times New Roman"/>
                <w:sz w:val="20"/>
              </w:rPr>
              <w:t xml:space="preserve">KDR (%)</w:t>
            </w:r>
          </w:p>
        </w:tc>
        <w:tc>
          <w:tcPr/>
          <w:p>
            <w:pPr>
              <w:pStyle w:val="Compact"/>
              <w:jc w:val="center"/>
            </w:pPr>
            <w:r>
              <w:rPr>
                <w:rFonts w:ascii="Times New Roman" w:hAnsi="Times New Roman"/>
                <w:sz w:val="20"/>
              </w:rPr>
              <w:t xml:space="preserve">KDR %95 GA</w:t>
            </w:r>
          </w:p>
        </w:tc>
        <w:tc>
          <w:tcPr/>
          <w:p>
            <w:pPr>
              <w:pStyle w:val="Compact"/>
              <w:jc w:val="center"/>
            </w:pPr>
            <w:r>
              <w:rPr>
                <w:rFonts w:ascii="Times New Roman" w:hAnsi="Times New Roman"/>
                <w:sz w:val="20"/>
              </w:rPr>
              <w:t xml:space="preserve">KGR (bpcu)</w:t>
            </w:r>
          </w:p>
        </w:tc>
      </w:tr>
      <w:tr>
        <w:tc>
          <w:tcPr/>
          <w:p>
            <w:pPr>
              <w:pStyle w:val="Compact"/>
              <w:jc w:val="center"/>
            </w:pPr>
            <w:r>
              <w:rPr>
                <w:rFonts w:ascii="Times New Roman" w:hAnsi="Times New Roman"/>
                <w:sz w:val="20"/>
              </w:rPr>
              <w:t xml:space="preserve">10</w:t>
            </w:r>
          </w:p>
        </w:tc>
        <w:tc>
          <w:tcPr/>
          <w:p>
            <w:pPr>
              <w:pStyle w:val="Compact"/>
              <w:jc w:val="center"/>
            </w:pPr>
            <w:r>
              <w:rPr>
                <w:rFonts w:ascii="Times New Roman" w:hAnsi="Times New Roman"/>
                <w:sz w:val="20"/>
              </w:rPr>
              <w:t xml:space="preserve">6.43</w:t>
            </w:r>
          </w:p>
        </w:tc>
        <w:tc>
          <w:tcPr/>
          <w:p>
            <w:pPr>
              <w:pStyle w:val="Compact"/>
              <w:jc w:val="center"/>
            </w:pPr>
            <w:r>
              <w:rPr>
                <w:rFonts w:ascii="Times New Roman" w:hAnsi="Times New Roman"/>
                <w:sz w:val="20"/>
              </w:rPr>
              <w:t xml:space="preserve">[5.54–7.33]</w:t>
            </w:r>
          </w:p>
        </w:tc>
        <w:tc>
          <w:tcPr/>
          <w:p>
            <w:pPr>
              <w:pStyle w:val="Compact"/>
              <w:jc w:val="center"/>
            </w:pPr>
            <w:r>
              <w:rPr>
                <w:rFonts w:ascii="Times New Roman" w:hAnsi="Times New Roman"/>
                <w:sz w:val="20"/>
              </w:rPr>
              <w:t xml:space="preserve">0.006</w:t>
            </w:r>
          </w:p>
        </w:tc>
      </w:tr>
      <w:tr>
        <w:tc>
          <w:tcPr/>
          <w:p>
            <w:pPr>
              <w:pStyle w:val="Compact"/>
              <w:jc w:val="center"/>
            </w:pPr>
            <w:r>
              <w:rPr>
                <w:rFonts w:ascii="Times New Roman" w:hAnsi="Times New Roman"/>
                <w:sz w:val="20"/>
              </w:rPr>
              <w:t xml:space="preserve">15</w:t>
            </w:r>
          </w:p>
        </w:tc>
        <w:tc>
          <w:tcPr/>
          <w:p>
            <w:pPr>
              <w:pStyle w:val="Compact"/>
              <w:jc w:val="center"/>
            </w:pPr>
            <w:r>
              <w:rPr>
                <w:rFonts w:ascii="Times New Roman" w:hAnsi="Times New Roman"/>
                <w:sz w:val="20"/>
              </w:rPr>
              <w:t xml:space="preserve">7.17</w:t>
            </w:r>
          </w:p>
        </w:tc>
        <w:tc>
          <w:tcPr/>
          <w:p>
            <w:pPr>
              <w:pStyle w:val="Compact"/>
              <w:jc w:val="center"/>
            </w:pPr>
            <w:r>
              <w:rPr>
                <w:rFonts w:ascii="Times New Roman" w:hAnsi="Times New Roman"/>
                <w:sz w:val="20"/>
              </w:rPr>
              <w:t xml:space="preserve">[6.19–8.16]</w:t>
            </w:r>
          </w:p>
        </w:tc>
        <w:tc>
          <w:tcPr/>
          <w:p>
            <w:pPr>
              <w:pStyle w:val="Compact"/>
              <w:jc w:val="center"/>
            </w:pPr>
            <w:r>
              <w:rPr>
                <w:rFonts w:ascii="Times New Roman" w:hAnsi="Times New Roman"/>
                <w:sz w:val="20"/>
              </w:rPr>
              <w:t xml:space="preserve">0.006</w:t>
            </w:r>
          </w:p>
        </w:tc>
      </w:tr>
      <w:tr>
        <w:tc>
          <w:tcPr/>
          <w:p>
            <w:pPr>
              <w:pStyle w:val="Compact"/>
              <w:jc w:val="center"/>
            </w:pPr>
            <w:r>
              <w:rPr>
                <w:rFonts w:ascii="Times New Roman" w:hAnsi="Times New Roman"/>
                <w:sz w:val="20"/>
              </w:rPr>
              <w:t xml:space="preserve">20</w:t>
            </w:r>
          </w:p>
        </w:tc>
        <w:tc>
          <w:tcPr/>
          <w:p>
            <w:pPr>
              <w:pStyle w:val="Compact"/>
              <w:jc w:val="center"/>
            </w:pPr>
            <w:r>
              <w:rPr>
                <w:rFonts w:ascii="Times New Roman" w:hAnsi="Times New Roman"/>
                <w:sz w:val="20"/>
              </w:rPr>
              <w:t xml:space="preserve">6.71</w:t>
            </w:r>
          </w:p>
        </w:tc>
        <w:tc>
          <w:tcPr/>
          <w:p>
            <w:pPr>
              <w:pStyle w:val="Compact"/>
              <w:jc w:val="center"/>
            </w:pPr>
            <w:r>
              <w:rPr>
                <w:rFonts w:ascii="Times New Roman" w:hAnsi="Times New Roman"/>
                <w:sz w:val="20"/>
              </w:rPr>
              <w:t xml:space="preserve">[5.86–7.56]</w:t>
            </w:r>
          </w:p>
        </w:tc>
        <w:tc>
          <w:tcPr/>
          <w:p>
            <w:pPr>
              <w:pStyle w:val="Compact"/>
              <w:jc w:val="center"/>
            </w:pPr>
            <w:r>
              <w:rPr>
                <w:rFonts w:ascii="Times New Roman" w:hAnsi="Times New Roman"/>
                <w:sz w:val="20"/>
              </w:rPr>
              <w:t xml:space="preserve">0.006</w:t>
            </w:r>
          </w:p>
        </w:tc>
      </w:tr>
      <w:tr>
        <w:tc>
          <w:tcPr/>
          <w:p>
            <w:pPr>
              <w:pStyle w:val="Compact"/>
              <w:jc w:val="center"/>
            </w:pPr>
            <w:r>
              <w:rPr>
                <w:rFonts w:ascii="Times New Roman" w:hAnsi="Times New Roman"/>
                <w:sz w:val="20"/>
              </w:rPr>
              <w:t xml:space="preserve">25</w:t>
            </w:r>
          </w:p>
        </w:tc>
        <w:tc>
          <w:tcPr/>
          <w:p>
            <w:pPr>
              <w:pStyle w:val="Compact"/>
              <w:jc w:val="center"/>
            </w:pPr>
            <w:r>
              <w:rPr>
                <w:rFonts w:ascii="Times New Roman" w:hAnsi="Times New Roman"/>
                <w:sz w:val="20"/>
              </w:rPr>
              <w:t xml:space="preserve">4.31</w:t>
            </w:r>
          </w:p>
        </w:tc>
        <w:tc>
          <w:tcPr/>
          <w:p>
            <w:pPr>
              <w:pStyle w:val="Compact"/>
              <w:jc w:val="center"/>
            </w:pPr>
            <w:r>
              <w:rPr>
                <w:rFonts w:ascii="Times New Roman" w:hAnsi="Times New Roman"/>
                <w:sz w:val="20"/>
              </w:rPr>
              <w:t xml:space="preserve">[3.32–5.31]</w:t>
            </w:r>
          </w:p>
        </w:tc>
        <w:tc>
          <w:tcPr/>
          <w:p>
            <w:pPr>
              <w:pStyle w:val="Compact"/>
              <w:jc w:val="center"/>
            </w:pPr>
            <w:r>
              <w:rPr>
                <w:rFonts w:ascii="Times New Roman" w:hAnsi="Times New Roman"/>
                <w:sz w:val="20"/>
              </w:rPr>
              <w:t xml:space="preserve">0.057</w:t>
            </w:r>
          </w:p>
        </w:tc>
      </w:tr>
      <w:tr>
        <w:tc>
          <w:tcPr/>
          <w:p>
            <w:pPr>
              <w:pStyle w:val="Compact"/>
              <w:jc w:val="center"/>
            </w:pPr>
            <w:r>
              <w:rPr>
                <w:rFonts w:ascii="Times New Roman" w:hAnsi="Times New Roman"/>
                <w:sz w:val="20"/>
              </w:rPr>
              <w:t xml:space="preserve">30</w:t>
            </w:r>
          </w:p>
        </w:tc>
        <w:tc>
          <w:tcPr/>
          <w:p>
            <w:pPr>
              <w:pStyle w:val="Compact"/>
              <w:jc w:val="center"/>
            </w:pPr>
            <w:r>
              <w:rPr>
                <w:rFonts w:ascii="Times New Roman" w:hAnsi="Times New Roman"/>
                <w:sz w:val="20"/>
              </w:rPr>
              <w:t xml:space="preserve">4.50</w:t>
            </w:r>
          </w:p>
        </w:tc>
        <w:tc>
          <w:tcPr/>
          <w:p>
            <w:pPr>
              <w:pStyle w:val="Compact"/>
              <w:jc w:val="center"/>
            </w:pPr>
            <w:r>
              <w:rPr>
                <w:rFonts w:ascii="Times New Roman" w:hAnsi="Times New Roman"/>
                <w:sz w:val="20"/>
              </w:rPr>
              <w:t xml:space="preserve">[3.54–5.45]</w:t>
            </w:r>
          </w:p>
        </w:tc>
        <w:tc>
          <w:tcPr/>
          <w:p>
            <w:pPr>
              <w:pStyle w:val="Compact"/>
              <w:jc w:val="center"/>
            </w:pPr>
            <w:r>
              <w:rPr>
                <w:rFonts w:ascii="Times New Roman" w:hAnsi="Times New Roman"/>
                <w:sz w:val="20"/>
              </w:rPr>
              <w:t xml:space="preserve">0.058</w:t>
            </w:r>
          </w:p>
        </w:tc>
      </w:tr>
    </w:tbl>
    <w:bookmarkEnd w:id="40"/>
    <w:p>
      <w:pPr>
        <w:pStyle w:val="BodyText"/>
        <w:jc w:val="both"/>
      </w:pPr>
      <w:r>
        <w:rPr>
          <w:rFonts w:ascii="Times New Roman" w:hAnsi="Times New Roman"/>
          <w:sz w:val="24"/>
        </w:rPr>
        <w:t xml:space="preserve">Tablo </w:t>
      </w:r>
      <w:hyperlink w:anchor="tab:mainresults">
        <w:r>
          <w:rPr>
            <w:rStyle w:val="Hyperlink"/>
          </w:rPr>
          <w:t xml:space="preserve">7</w:t>
        </w:r>
      </w:hyperlink>
      <w:r>
        <w:rPr>
          <w:rFonts w:ascii="Times New Roman" w:hAnsi="Times New Roman"/>
          <w:sz w:val="24"/>
        </w:rPr>
        <w:t>’deki sonuçlar, 25 dB ve üzerinde KDR’nin %5 eşiğinin altına düştüğünü göstermektedir. Düşük SNR’de (20 dB) ikili nicemleme (L=2) kullanıldığı için KDR %6–7 civarında kalmakta; 25 dB’den itibaren üçlü nicemleme (L=3) ile hem daha fazla entropi çıkarılmakta hem de tahmin kalitesinin iyileşmesiyle KDR düşmektedir. KGR, düşük SNR’de 0.006 bpcu iken yüksek SNR’de Cascade sızıntısının azalması sayesinde 0.058 bpcu’ya yükselmektedir.</w:t>
      </w:r>
    </w:p>
    <w:p>
      <w:pPr>
        <w:pStyle w:val="BodyText"/>
        <w:jc w:val="both"/>
      </w:pPr>
      <w:r>
        <w:rPr>
          <w:rFonts w:ascii="Times New Roman" w:hAnsi="Times New Roman"/>
          <w:sz w:val="24"/>
        </w:rPr>
        <w:t xml:space="preserve">10–15 dB aralığında KDR’nin tam monoton düşmemesi, L=2 nicemleme sabit kalırken AR tahmin kalitesinin SNR’ye doğrusal yanıt vermemesinden kaynaklanmaktadır; 25 dB’deki L=3 geçişiyle birlikte net bir iyileşme görülür. Tek-blok senaryosundaki %4–7 KDR değerlerinin yüksek kalması beklenen bir durumdur: bu senaryo tüm hataları tek bir CSI bloğuna sıkıştıran bir stres testidir. Tam uydu geçişinde bloklar arası hata dağılımının ortalamayla yumuşaması sayesinde KDR %1’in altına inmektedir (bkz. Tablo </w:t>
      </w:r>
      <w:hyperlink w:anchor="tab:passresults">
        <w:r>
          <w:rPr>
            <w:rStyle w:val="Hyperlink"/>
          </w:rPr>
          <w:t xml:space="preserve">8</w:t>
        </w:r>
      </w:hyperlink>
      <w:r>
        <w:rPr>
          <w:rFonts w:ascii="Times New Roman" w:hAnsi="Times New Roman"/>
          <w:sz w:val="24"/>
        </w:rPr>
        <w:t>).</w:t>
      </w:r>
    </w:p>
    <w:bookmarkEnd w:id="41"/>
    <w:bookmarkStart w:id="46" w:name="X2c9ce4a1c77fa8fffdb06040f33de4f5a6eb8bb"/>
    <w:p>
      <w:pPr>
        <w:pStyle w:val="Heading2"/>
        <w:jc w:val="left"/>
      </w:pPr>
      <w:r>
        <w:rPr>
          <w:rFonts w:ascii="Times New Roman" w:hAnsi="Times New Roman"/>
          <w:b/>
          <w:sz w:val="26"/>
        </w:rPr>
        <w:t>Maliyet Analizi ve Baseline Karşılaştırması</w:t>
      </w:r>
    </w:p>
    <w:p>
      <w:pPr>
        <w:pStyle w:val="FirstParagraph"/>
        <w:jc w:val="both"/>
      </w:pPr>
      <w:r>
        <w:rPr>
          <w:rFonts w:ascii="Times New Roman" w:hAnsi="Times New Roman"/>
          <w:sz w:val="24"/>
        </w:rPr>
        <w:t xml:space="preserve">Önerilen yöntemin katkısını göstermek için iki baseline ile karşılaştırma yapılmıştır (Şekil </w:t>
      </w:r>
      <w:hyperlink w:anchor="fig:baseline">
        <w:r>
          <w:rPr>
            <w:rStyle w:val="Hyperlink"/>
          </w:rPr>
          <w:t xml:space="preserve">6</w:t>
        </w:r>
      </w:hyperlink>
      <w:r>
        <w:rPr>
          <w:rFonts w:ascii="Times New Roman" w:hAnsi="Times New Roman"/>
          <w:sz w:val="24"/>
        </w:rPr>
        <w:t xml:space="preserve">): (i) </w:t>
      </w:r>
      <w:r>
        <w:rPr>
          <w:rFonts w:ascii="Times New Roman" w:hAnsi="Times New Roman"/>
          <w:b/>
          <w:bCs/>
          <w:sz w:val="24"/>
        </w:rPr>
        <w:t>Hızlı CSI</w:t>
      </w:r>
      <w:r>
        <w:rPr>
          <w:rFonts w:ascii="Times New Roman" w:hAnsi="Times New Roman"/>
          <w:sz w:val="24"/>
        </w:rPr>
        <w:t xml:space="preserve">: AR tahmini kullanmadan doğrudan anlık CSI özniteliklerinden nicemleme, (ii) </w:t>
      </w:r>
      <w:r>
        <w:rPr>
          <w:rFonts w:ascii="Times New Roman" w:hAnsi="Times New Roman"/>
          <w:b/>
          <w:bCs/>
          <w:sz w:val="24"/>
        </w:rPr>
        <w:t>Cascade yok</w:t>
      </w:r>
      <w:r>
        <w:rPr>
          <w:rFonts w:ascii="Times New Roman" w:hAnsi="Times New Roman"/>
          <w:sz w:val="24"/>
        </w:rPr>
        <w:t>: yavaş özniteliklerle nicemleme ancak Cascade uzlaştırma uygulamadan.</w:t>
      </w:r>
    </w:p>
    <w:bookmarkStart w:id="45" w:name="fig:baseline"/>
    <w:p>
      <w:pPr>
        <w:pStyle w:val="CaptionedFigure"/>
        <w:jc w:val="both"/>
      </w:pPr>
      <w:r>
        <w:rPr>
          <w:rFonts w:ascii="Times New Roman" w:hAnsi="Times New Roman"/>
          <w:sz w:val="24"/>
        </w:rPr>
      </w:r>
    </w:p>
    <w:p>
      <w:pPr>
        <w:pStyle w:val="ImageCaption"/>
        <w:jc w:val="both"/>
      </w:pPr>
      <w:r>
        <w:rPr>
          <w:rFonts w:ascii="Times New Roman" w:hAnsi="Times New Roman"/>
          <w:sz w:val="24"/>
        </w:rPr>
        <w:t>Önerilen yöntem ile baseline karşılaştırması.</w:t>
      </w:r>
    </w:p>
    <w:bookmarkEnd w:id="45"/>
    <w:p>
      <w:pPr>
        <w:pStyle w:val="BodyText"/>
        <w:jc w:val="both"/>
      </w:pPr>
      <w:r>
        <w:rPr>
          <w:rFonts w:ascii="Times New Roman" w:hAnsi="Times New Roman"/>
          <w:sz w:val="24"/>
        </w:rPr>
        <w:t>20 dB SNR’de hızlı CSI baseline’ı %50.5 KDR üretirken, önerilen yöntem %6.7 KDR sağlamıştır. Bu sonuç, yavaş öznitelik çıkarımı ve AR tahmininin KDR’yi yaklaşık 50.5/6.7 7.5 kat düşürdüğünü göstermektedir. Cascade uzlaştırma olmaksızın yalnızca yavaş öznitelik kullanan baseline ise %27.2 KDR ile bu iki uç arasında konumlanmaktadır. Cascade protokolünün 6 turlu yapısı, pratik karmaşıklık ve gömülü donanım uyumluluğu açısından tercih edilmiştir (Brassard ve Salvail, 1994). Bununla birlikte Gaussian yaklaşımla hesaplanan gizlilik kapasitesi vekili, mevcut Eve modelinde pozitif bir bilgi-teorik marj garanti etmemektedir; dolayısıyla KGR değerleri bilgi-teorik güvenli throughput olarak yorumlanmamalıdır. Pratik açıdan bakıldığında 5 dakikalık bir geçişte elde edilen  180 bit, tek bir AES-128 oturum anahtarını karşılamaktadır. Birden fazla oturum anahtarına ihtiyaç duyan senaryolarda ardışık geçişlerin birleştirilmesi ya da paralel öznitelik kanallarının (örneğin çoklu polarizasyon) kullanılması gerekecektir; bu konu gelecek çalışmalara bırakılmıştır.</w:t>
      </w:r>
    </w:p>
    <w:bookmarkEnd w:id="46"/>
    <w:bookmarkStart w:id="79" w:name="tam-geçiş-ve-güvenlik-analizi"/>
    <w:p>
      <w:pPr>
        <w:pStyle w:val="Heading2"/>
        <w:jc w:val="left"/>
      </w:pPr>
      <w:r>
        <w:rPr>
          <w:rFonts w:ascii="Times New Roman" w:hAnsi="Times New Roman"/>
          <w:b/>
          <w:sz w:val="26"/>
        </w:rPr>
        <w:t>Tam Geçiş ve Güvenlik Analizi</w:t>
      </w:r>
    </w:p>
    <w:p>
      <w:pPr>
        <w:pStyle w:val="FirstParagraph"/>
        <w:jc w:val="both"/>
      </w:pPr>
      <w:r>
        <w:rPr>
          <w:rFonts w:ascii="Times New Roman" w:hAnsi="Times New Roman"/>
          <w:sz w:val="24"/>
        </w:rPr>
        <w:t xml:space="preserve">Tek-blok analizinin ötesinde, ITU-R P.681 ile doğrulanmış Loo kanal modeli (Loo, 1985; Fontan vd., 2001) kullanılarak 5 dakikalık tam bir FGN-100 geçişi simüle edilmiştir. Geçiş boyunca elevasyon (5°75°5°), Doppler (+550-55 kHz), gölgeleme (_=3 s) ve yol kaybı sürekli değişmektedir (Şekil </w:t>
      </w:r>
      <w:hyperlink w:anchor="fig:passgeom">
        <w:r>
          <w:rPr>
            <w:rStyle w:val="Hyperlink"/>
          </w:rPr>
          <w:t xml:space="preserve">7</w:t>
        </w:r>
      </w:hyperlink>
      <w:r>
        <w:rPr>
          <w:rFonts w:ascii="Times New Roman" w:hAnsi="Times New Roman"/>
          <w:sz w:val="24"/>
        </w:rPr>
        <w:t xml:space="preserve">). Yavaş zarfın dekorelasyon süresi _ 30 s olarak bulunmuş; bu değer _RT = 3.4 ms’nin yaklaşık 8800 katına denk gelmekte olup yavaş özniteliklerin yayılım gecikmesi ölçeğinde karşılıklılığını koruduğuna işaret etmektedir (Şekil </w:t>
      </w:r>
      <w:hyperlink w:anchor="fig:passacf">
        <w:r>
          <w:rPr>
            <w:rStyle w:val="Hyperlink"/>
          </w:rPr>
          <w:t xml:space="preserve">8</w:t>
        </w:r>
      </w:hyperlink>
      <w:r>
        <w:rPr>
          <w:rFonts w:ascii="Times New Roman" w:hAnsi="Times New Roman"/>
          <w:sz w:val="24"/>
        </w:rPr>
        <w:t>).</w:t>
      </w:r>
    </w:p>
    <w:bookmarkStart w:id="50" w:name="fig:passgeom"/>
    <w:p>
      <w:pPr>
        <w:pStyle w:val="CaptionedFigure"/>
        <w:jc w:val="both"/>
      </w:pPr>
      <w:r>
        <w:rPr>
          <w:rFonts w:ascii="Times New Roman" w:hAnsi="Times New Roman"/>
          <w:sz w:val="24"/>
        </w:rPr>
      </w:r>
    </w:p>
    <w:p>
      <w:pPr>
        <w:pStyle w:val="ImageCaption"/>
        <w:jc w:val="both"/>
      </w:pPr>
      <w:r>
        <w:rPr>
          <w:rFonts w:ascii="Times New Roman" w:hAnsi="Times New Roman"/>
          <w:sz w:val="24"/>
        </w:rPr>
        <w:t>FGN-100 tam geçiş geometrisi ve Loo kanal yanıtı.</w:t>
      </w:r>
    </w:p>
    <w:bookmarkEnd w:id="50"/>
    <w:bookmarkStart w:id="54" w:name="fig:passacf"/>
    <w:p>
      <w:pPr>
        <w:pStyle w:val="CaptionedFigure"/>
        <w:jc w:val="both"/>
      </w:pPr>
      <w:r>
        <w:rPr>
          <w:rFonts w:ascii="Times New Roman" w:hAnsi="Times New Roman"/>
          <w:sz w:val="24"/>
        </w:rPr>
      </w:r>
    </w:p>
    <w:p>
      <w:pPr>
        <w:pStyle w:val="ImageCaption"/>
        <w:jc w:val="both"/>
      </w:pPr>
      <w:r>
        <w:rPr>
          <w:rFonts w:ascii="Times New Roman" w:hAnsi="Times New Roman"/>
          <w:sz w:val="24"/>
        </w:rPr>
        <w:t>Tam geçiş ACF: _/_RT 8800.</w:t>
      </w:r>
    </w:p>
    <w:bookmarkEnd w:id="54"/>
    <w:p>
      <w:pPr>
        <w:pStyle w:val="BodyText"/>
        <w:jc w:val="both"/>
      </w:pPr>
      <w:r>
        <w:rPr>
          <w:rFonts w:ascii="Times New Roman" w:hAnsi="Times New Roman"/>
          <w:sz w:val="24"/>
        </w:rPr>
        <w:t xml:space="preserve">Öznitelik seviyesinde _AB=0.986, _AE=-0.845 elde edilmiştir. Gaussian yaklaşımla C_s = I(A;B) - I(A;E) = 2.56 - 0.90 = 1.66 bpcu pozitif bir gizlilik kapasitesi marjı hesaplanmıştır. Ancak bu değer Alice-Bob ve Alice-Eve kanallarının Gaussian dağıldığı varsayımına dayanmaktadır; Loo kanalının gerçek log-normal+Rayleigh bileşik dağılımı altında gizlilik kapasitesinin her elevasyon açısında pozitif kalacağı garanti edilmemektedir. Bu nedenle C_s değeri kesin bir alt sınırdan çok, sistemin gizlilik potansiyeline yönelik bir gösterge olarak yorumlanmalıdır. Şekil </w:t>
      </w:r>
      <w:hyperlink w:anchor="fig:secrecy_cap">
        <w:r>
          <w:rPr>
            <w:rStyle w:val="Hyperlink"/>
          </w:rPr>
          <w:t xml:space="preserve">9</w:t>
        </w:r>
      </w:hyperlink>
      <w:r>
        <w:rPr>
          <w:rFonts w:ascii="Times New Roman" w:hAnsi="Times New Roman"/>
          <w:sz w:val="24"/>
        </w:rPr>
        <w:t>, gizlilik kapasitesinin SNR ve Eve uzaklığına göre değişimini göstermektedir.</w:t>
      </w:r>
    </w:p>
    <w:bookmarkStart w:id="58" w:name="fig:secrecy_cap"/>
    <w:p>
      <w:pPr>
        <w:pStyle w:val="CaptionedFigure"/>
        <w:jc w:val="both"/>
      </w:pPr>
      <w:r>
        <w:rPr>
          <w:rFonts w:ascii="Times New Roman" w:hAnsi="Times New Roman"/>
          <w:sz w:val="24"/>
        </w:rPr>
      </w:r>
    </w:p>
    <w:p>
      <w:pPr>
        <w:pStyle w:val="ImageCaption"/>
        <w:jc w:val="both"/>
      </w:pPr>
      <w:r>
        <w:rPr>
          <w:rFonts w:ascii="Times New Roman" w:hAnsi="Times New Roman"/>
          <w:sz w:val="24"/>
        </w:rPr>
        <w:t>Sol: Gizlilik kapasitesi bileşenlerinin SNR’ye göre değişimi (I(A;B), I(A;E), C_s). Sağ: Gizlilik kapasitesinin Eve uzaklığına göre değişimi.</w:t>
      </w:r>
    </w:p>
    <w:bookmarkEnd w:id="58"/>
    <w:p>
      <w:pPr>
        <w:pStyle w:val="BodyText"/>
        <w:jc w:val="both"/>
      </w:pPr>
      <w:r>
        <w:rPr>
          <w:rFonts w:ascii="Times New Roman" w:hAnsi="Times New Roman"/>
          <w:sz w:val="24"/>
        </w:rPr>
        <w:t xml:space="preserve">50 Monte-Carlo tekrarıyla elde edilen KDR ve KGR sonuçları Tablo </w:t>
      </w:r>
      <w:hyperlink w:anchor="tab:passresults">
        <w:r>
          <w:rPr>
            <w:rStyle w:val="Hyperlink"/>
          </w:rPr>
          <w:t xml:space="preserve">8</w:t>
        </w:r>
      </w:hyperlink>
      <w:r>
        <w:rPr>
          <w:rFonts w:ascii="Times New Roman" w:hAnsi="Times New Roman"/>
          <w:sz w:val="24"/>
        </w:rPr>
        <w:t xml:space="preserve"> </w:t>
      </w:r>
      <w:r>
        <w:rPr>
          <w:rFonts w:ascii="Times New Roman" w:hAnsi="Times New Roman"/>
          <w:sz w:val="24"/>
        </w:rPr>
        <w:t xml:space="preserve">ve Şekil </w:t>
      </w:r>
      <w:hyperlink w:anchor="fig:pass_kdr_kgr">
        <w:r>
          <w:rPr>
            <w:rStyle w:val="Hyperlink"/>
          </w:rPr>
          <w:t xml:space="preserve">10</w:t>
        </w:r>
      </w:hyperlink>
      <w:r>
        <w:rPr>
          <w:rFonts w:ascii="Times New Roman" w:hAnsi="Times New Roman"/>
          <w:sz w:val="24"/>
        </w:rPr>
        <w:t>’de verilmiştir.</w:t>
      </w:r>
    </w:p>
    <w:bookmarkStart w:id="62" w:name="fig:pass_kdr_kgr"/>
    <w:p>
      <w:pPr>
        <w:pStyle w:val="CaptionedFigure"/>
        <w:jc w:val="both"/>
      </w:pPr>
      <w:r>
        <w:rPr>
          <w:rFonts w:ascii="Times New Roman" w:hAnsi="Times New Roman"/>
          <w:sz w:val="24"/>
        </w:rPr>
      </w:r>
    </w:p>
    <w:p>
      <w:pPr>
        <w:pStyle w:val="ImageCaption"/>
        <w:jc w:val="both"/>
      </w:pPr>
      <w:r>
        <w:rPr>
          <w:rFonts w:ascii="Times New Roman" w:hAnsi="Times New Roman"/>
          <w:sz w:val="24"/>
        </w:rPr>
        <w:t>Loo kanal tam geçiş sonuçları: solda KDR, sağda KGR’nin SNR’ye göre değişimi (%95 güven aralığı ile).</w:t>
      </w:r>
    </w:p>
    <w:bookmarkEnd w:id="62"/>
    <w:p>
      <w:pPr>
        <w:pStyle w:val="BodyText"/>
        <w:jc w:val="both"/>
      </w:pPr>
      <w:r>
        <w:rPr>
          <w:rFonts w:ascii="Times New Roman" w:hAnsi="Times New Roman"/>
          <w:sz w:val="24"/>
        </w:rPr>
        <w:t>Yapılan yakınsama analizi, 50 tekrardan itibaren KDR ortalamasının 0.05% bandında kararlı kaldığını göstermiştir.</w:t>
      </w:r>
    </w:p>
    <w:bookmarkStart w:id="63" w:name="tab:passresults"/>
    <w:p>
      <w:pPr>
        <w:pStyle w:val="TableCaption"/>
        <w:jc w:val="both"/>
      </w:pPr>
      <w:r>
        <w:rPr>
          <w:rFonts w:ascii="Times New Roman" w:hAnsi="Times New Roman"/>
          <w:sz w:val="24"/>
        </w:rPr>
        <w:t>Loo Kanal Tam Geçiş Sonuçları (%95 GA)</w:t>
      </w:r>
    </w:p>
    <w:tbl>
      <w:tblPr>
        <w:tblStyle w:val="Table"/>
        <w:tblW w:type="auto" w:w="0"/>
        <w:jc w:val="center"/>
        <w:tblLook w:firstRow="1" w:lastRow="0" w:firstColumn="0" w:lastColumn="0" w:noHBand="0" w:noVBand="0" w:val="0020"/>
        <w:tblCaption w:val="Loo Kanal Tam Geçiş Sonuçları (%95 GA)"/>
      </w:tblPr>
      <w:tblGrid>
        <w:gridCol w:w="1584"/>
        <w:gridCol w:w="1584"/>
        <w:gridCol w:w="1584"/>
        <w:gridCol w:w="1584"/>
        <w:gridCol w:w="1584"/>
      </w:tblGrid>
      <w:tr>
        <w:trPr>
          <w:tblHeader w:val="on"/>
        </w:trPr>
        <w:tc>
          <w:tcPr/>
          <w:p>
            <w:pPr>
              <w:pStyle w:val="Compact"/>
              <w:jc w:val="center"/>
            </w:pPr>
            <w:r>
              <w:rPr>
                <w:rFonts w:ascii="Times New Roman" w:hAnsi="Times New Roman"/>
                <w:sz w:val="20"/>
              </w:rPr>
              <w:t xml:space="preserve">SNR (dB)</w:t>
            </w:r>
          </w:p>
        </w:tc>
        <w:tc>
          <w:tcPr/>
          <w:p>
            <w:pPr>
              <w:pStyle w:val="Compact"/>
              <w:jc w:val="center"/>
            </w:pPr>
            <w:r>
              <w:rPr>
                <w:rFonts w:ascii="Times New Roman" w:hAnsi="Times New Roman"/>
                <w:sz w:val="20"/>
              </w:rPr>
              <w:t xml:space="preserve">Ham KDR</w:t>
            </w:r>
          </w:p>
        </w:tc>
        <w:tc>
          <w:tcPr/>
          <w:p>
            <w:pPr>
              <w:pStyle w:val="Compact"/>
              <w:jc w:val="center"/>
            </w:pPr>
            <w:r>
              <w:rPr>
                <w:rFonts w:ascii="Times New Roman" w:hAnsi="Times New Roman"/>
                <w:sz w:val="20"/>
              </w:rPr>
              <w:t xml:space="preserve">KDR</w:t>
            </w:r>
          </w:p>
        </w:tc>
        <w:tc>
          <w:tcPr/>
          <w:p>
            <w:pPr>
              <w:pStyle w:val="Compact"/>
              <w:jc w:val="center"/>
            </w:pPr>
            <w:r>
              <w:rPr>
                <w:rFonts w:ascii="Times New Roman" w:hAnsi="Times New Roman"/>
                <w:sz w:val="20"/>
              </w:rPr>
              <w:t xml:space="preserve">KGR (bpcu)</w:t>
            </w:r>
          </w:p>
        </w:tc>
        <w:tc>
          <w:tcPr/>
          <w:p>
            <w:pPr>
              <w:pStyle w:val="Compact"/>
              <w:jc w:val="center"/>
            </w:pPr>
            <w:r>
              <w:rPr>
                <w:rFonts w:ascii="Times New Roman" w:hAnsi="Times New Roman"/>
                <w:sz w:val="20"/>
              </w:rPr>
              <w:t xml:space="preserve">NIST</w:t>
            </w:r>
          </w:p>
        </w:tc>
      </w:tr>
      <w:tr>
        <w:tc>
          <w:tcPr/>
          <w:p>
            <w:pPr>
              <w:pStyle w:val="Compact"/>
              <w:jc w:val="center"/>
            </w:pPr>
            <w:r>
              <w:rPr>
                <w:rFonts w:ascii="Times New Roman" w:hAnsi="Times New Roman"/>
                <w:sz w:val="20"/>
              </w:rPr>
              <w:t xml:space="preserve">10</w:t>
            </w:r>
          </w:p>
        </w:tc>
        <w:tc>
          <w:tcPr/>
          <w:p>
            <w:pPr>
              <w:pStyle w:val="Compact"/>
              <w:jc w:val="center"/>
            </w:pPr>
            <w:r>
              <w:rPr>
                <w:rFonts w:ascii="Times New Roman" w:hAnsi="Times New Roman"/>
                <w:sz w:val="20"/>
              </w:rPr>
              <w:t xml:space="preserve">4.5%</w:t>
            </w:r>
          </w:p>
        </w:tc>
        <w:tc>
          <w:tcPr/>
          <w:p>
            <w:pPr>
              <w:pStyle w:val="Compact"/>
              <w:jc w:val="center"/>
            </w:pPr>
            <w:r>
              <w:rPr>
                <w:rFonts w:ascii="Times New Roman" w:hAnsi="Times New Roman"/>
                <w:sz w:val="20"/>
              </w:rPr>
              <w:t xml:space="preserve">0.4%</w:t>
            </w:r>
          </w:p>
        </w:tc>
        <w:tc>
          <w:tcPr/>
          <w:p>
            <w:pPr>
              <w:pStyle w:val="Compact"/>
              <w:jc w:val="center"/>
            </w:pPr>
            <w:r>
              <w:rPr>
                <w:rFonts w:ascii="Times New Roman" w:hAnsi="Times New Roman"/>
                <w:sz w:val="20"/>
              </w:rPr>
              <w:t xml:space="preserve">0.014</w:t>
            </w:r>
          </w:p>
        </w:tc>
        <w:tc>
          <w:tcPr/>
          <w:p>
            <w:pPr>
              <w:pStyle w:val="Compact"/>
              <w:jc w:val="center"/>
            </w:pPr>
            <w:r>
              <w:rPr>
                <w:rFonts w:ascii="Times New Roman" w:hAnsi="Times New Roman"/>
                <w:sz w:val="20"/>
              </w:rPr>
              <w:t xml:space="preserve">100%</w:t>
            </w:r>
          </w:p>
        </w:tc>
      </w:tr>
      <w:tr>
        <w:tc>
          <w:tcPr/>
          <w:p>
            <w:pPr>
              <w:pStyle w:val="Compact"/>
              <w:jc w:val="center"/>
            </w:pPr>
            <w:r>
              <w:rPr>
                <w:rFonts w:ascii="Times New Roman" w:hAnsi="Times New Roman"/>
                <w:sz w:val="20"/>
              </w:rPr>
              <w:t xml:space="preserve">15</w:t>
            </w:r>
          </w:p>
        </w:tc>
        <w:tc>
          <w:tcPr/>
          <w:p>
            <w:pPr>
              <w:pStyle w:val="Compact"/>
              <w:jc w:val="center"/>
            </w:pPr>
            <w:r>
              <w:rPr>
                <w:rFonts w:ascii="Times New Roman" w:hAnsi="Times New Roman"/>
                <w:sz w:val="20"/>
              </w:rPr>
              <w:t xml:space="preserve">3.0%</w:t>
            </w:r>
          </w:p>
        </w:tc>
        <w:tc>
          <w:tcPr/>
          <w:p>
            <w:pPr>
              <w:pStyle w:val="Compact"/>
              <w:jc w:val="center"/>
            </w:pPr>
            <w:r>
              <w:rPr>
                <w:rFonts w:ascii="Times New Roman" w:hAnsi="Times New Roman"/>
                <w:sz w:val="20"/>
              </w:rPr>
              <w:t xml:space="preserve">0.3%</w:t>
            </w:r>
          </w:p>
        </w:tc>
        <w:tc>
          <w:tcPr/>
          <w:p>
            <w:pPr>
              <w:pStyle w:val="Compact"/>
              <w:jc w:val="center"/>
            </w:pPr>
            <w:r>
              <w:rPr>
                <w:rFonts w:ascii="Times New Roman" w:hAnsi="Times New Roman"/>
                <w:sz w:val="20"/>
              </w:rPr>
              <w:t xml:space="preserve">0.015</w:t>
            </w:r>
          </w:p>
        </w:tc>
        <w:tc>
          <w:tcPr/>
          <w:p>
            <w:pPr>
              <w:pStyle w:val="Compact"/>
              <w:jc w:val="center"/>
            </w:pPr>
            <w:r>
              <w:rPr>
                <w:rFonts w:ascii="Times New Roman" w:hAnsi="Times New Roman"/>
                <w:sz w:val="20"/>
              </w:rPr>
              <w:t xml:space="preserve">98%</w:t>
            </w:r>
          </w:p>
        </w:tc>
      </w:tr>
      <w:tr>
        <w:tc>
          <w:tcPr/>
          <w:p>
            <w:pPr>
              <w:pStyle w:val="Compact"/>
              <w:jc w:val="center"/>
            </w:pPr>
            <w:r>
              <w:rPr>
                <w:rFonts w:ascii="Times New Roman" w:hAnsi="Times New Roman"/>
                <w:sz w:val="20"/>
              </w:rPr>
              <w:t xml:space="preserve">20</w:t>
            </w:r>
          </w:p>
        </w:tc>
        <w:tc>
          <w:tcPr/>
          <w:p>
            <w:pPr>
              <w:pStyle w:val="Compact"/>
              <w:jc w:val="center"/>
            </w:pPr>
            <w:r>
              <w:rPr>
                <w:rFonts w:ascii="Times New Roman" w:hAnsi="Times New Roman"/>
                <w:sz w:val="20"/>
              </w:rPr>
              <w:t xml:space="preserve">1.1%</w:t>
            </w:r>
          </w:p>
        </w:tc>
        <w:tc>
          <w:tcPr/>
          <w:p>
            <w:pPr>
              <w:pStyle w:val="Compact"/>
              <w:jc w:val="center"/>
            </w:pPr>
            <w:r>
              <w:rPr>
                <w:rFonts w:ascii="Times New Roman" w:hAnsi="Times New Roman"/>
                <w:sz w:val="20"/>
              </w:rPr>
              <w:t xml:space="preserve">&lt;0.1%</w:t>
            </w:r>
          </w:p>
        </w:tc>
        <w:tc>
          <w:tcPr/>
          <w:p>
            <w:pPr>
              <w:pStyle w:val="Compact"/>
              <w:jc w:val="center"/>
            </w:pPr>
            <w:r>
              <w:rPr>
                <w:rFonts w:ascii="Times New Roman" w:hAnsi="Times New Roman"/>
                <w:sz w:val="20"/>
              </w:rPr>
              <w:t xml:space="preserve">0.017</w:t>
            </w:r>
          </w:p>
        </w:tc>
        <w:tc>
          <w:tcPr/>
          <w:p>
            <w:pPr>
              <w:pStyle w:val="Compact"/>
              <w:jc w:val="center"/>
            </w:pPr>
            <w:r>
              <w:rPr>
                <w:rFonts w:ascii="Times New Roman" w:hAnsi="Times New Roman"/>
                <w:sz w:val="20"/>
              </w:rPr>
              <w:t xml:space="preserve">100%</w:t>
            </w:r>
          </w:p>
        </w:tc>
      </w:tr>
      <w:tr>
        <w:tc>
          <w:tcPr/>
          <w:p>
            <w:pPr>
              <w:pStyle w:val="Compact"/>
              <w:jc w:val="center"/>
            </w:pPr>
            <w:r>
              <w:rPr>
                <w:rFonts w:ascii="Times New Roman" w:hAnsi="Times New Roman"/>
                <w:sz w:val="20"/>
              </w:rPr>
              <w:t xml:space="preserve">25</w:t>
            </w:r>
          </w:p>
        </w:tc>
        <w:tc>
          <w:tcPr/>
          <w:p>
            <w:pPr>
              <w:pStyle w:val="Compact"/>
              <w:jc w:val="center"/>
            </w:pPr>
            <w:r>
              <w:rPr>
                <w:rFonts w:ascii="Times New Roman" w:hAnsi="Times New Roman"/>
                <w:sz w:val="20"/>
              </w:rPr>
              <w:t xml:space="preserve">0.9%</w:t>
            </w:r>
          </w:p>
        </w:tc>
        <w:tc>
          <w:tcPr/>
          <w:p>
            <w:pPr>
              <w:pStyle w:val="Compact"/>
              <w:jc w:val="center"/>
            </w:pPr>
            <w:r>
              <w:rPr>
                <w:rFonts w:ascii="Times New Roman" w:hAnsi="Times New Roman"/>
                <w:sz w:val="20"/>
              </w:rPr>
              <w:t xml:space="preserve">&lt;0.1%</w:t>
            </w:r>
          </w:p>
        </w:tc>
        <w:tc>
          <w:tcPr/>
          <w:p>
            <w:pPr>
              <w:pStyle w:val="Compact"/>
              <w:jc w:val="center"/>
            </w:pPr>
            <w:r>
              <w:rPr>
                <w:rFonts w:ascii="Times New Roman" w:hAnsi="Times New Roman"/>
                <w:sz w:val="20"/>
              </w:rPr>
              <w:t xml:space="preserve">0.018</w:t>
            </w:r>
          </w:p>
        </w:tc>
        <w:tc>
          <w:tcPr/>
          <w:p>
            <w:pPr>
              <w:pStyle w:val="Compact"/>
              <w:jc w:val="center"/>
            </w:pPr>
            <w:r>
              <w:rPr>
                <w:rFonts w:ascii="Times New Roman" w:hAnsi="Times New Roman"/>
                <w:sz w:val="20"/>
              </w:rPr>
              <w:t xml:space="preserve">98%</w:t>
            </w:r>
          </w:p>
        </w:tc>
      </w:tr>
      <w:tr>
        <w:tc>
          <w:tcPr/>
          <w:p>
            <w:pPr>
              <w:pStyle w:val="Compact"/>
              <w:jc w:val="center"/>
            </w:pPr>
            <w:r>
              <w:rPr>
                <w:rFonts w:ascii="Times New Roman" w:hAnsi="Times New Roman"/>
                <w:sz w:val="20"/>
              </w:rPr>
              <w:t xml:space="preserve">30</w:t>
            </w:r>
          </w:p>
        </w:tc>
        <w:tc>
          <w:tcPr/>
          <w:p>
            <w:pPr>
              <w:pStyle w:val="Compact"/>
              <w:jc w:val="center"/>
            </w:pPr>
            <w:r>
              <w:rPr>
                <w:rFonts w:ascii="Times New Roman" w:hAnsi="Times New Roman"/>
                <w:sz w:val="20"/>
              </w:rPr>
              <w:t xml:space="preserve">0.9%</w:t>
            </w:r>
          </w:p>
        </w:tc>
        <w:tc>
          <w:tcPr/>
          <w:p>
            <w:pPr>
              <w:pStyle w:val="Compact"/>
              <w:jc w:val="center"/>
            </w:pPr>
            <w:r>
              <w:rPr>
                <w:rFonts w:ascii="Times New Roman" w:hAnsi="Times New Roman"/>
                <w:sz w:val="20"/>
              </w:rPr>
              <w:t xml:space="preserve">&lt;0.1%</w:t>
            </w:r>
          </w:p>
        </w:tc>
        <w:tc>
          <w:tcPr/>
          <w:p>
            <w:pPr>
              <w:pStyle w:val="Compact"/>
              <w:jc w:val="center"/>
            </w:pPr>
            <w:r>
              <w:rPr>
                <w:rFonts w:ascii="Times New Roman" w:hAnsi="Times New Roman"/>
                <w:sz w:val="20"/>
              </w:rPr>
              <w:t xml:space="preserve">0.018</w:t>
            </w:r>
          </w:p>
        </w:tc>
        <w:tc>
          <w:tcPr/>
          <w:p>
            <w:pPr>
              <w:pStyle w:val="Compact"/>
              <w:jc w:val="center"/>
            </w:pPr>
            <w:r>
              <w:rPr>
                <w:rFonts w:ascii="Times New Roman" w:hAnsi="Times New Roman"/>
                <w:sz w:val="20"/>
              </w:rPr>
              <w:t xml:space="preserve">98%</w:t>
            </w:r>
          </w:p>
        </w:tc>
      </w:tr>
    </w:tbl>
    <w:bookmarkEnd w:id="63"/>
    <w:p>
      <w:pPr>
        <w:pStyle w:val="BodyText"/>
        <w:jc w:val="both"/>
      </w:pPr>
      <w:r>
        <w:rPr>
          <w:rFonts w:ascii="Times New Roman" w:hAnsi="Times New Roman"/>
          <w:sz w:val="24"/>
        </w:rPr>
        <w:t xml:space="preserve">Yayınlanmış yöntemlerle karşılaştırma: Tablo </w:t>
      </w:r>
      <w:hyperlink w:anchor="tab:litcomp">
        <w:r>
          <w:rPr>
            <w:rStyle w:val="Hyperlink"/>
          </w:rPr>
          <w:t xml:space="preserve">9</w:t>
        </w:r>
      </w:hyperlink>
      <w:r>
        <w:rPr>
          <w:rFonts w:ascii="Times New Roman" w:hAnsi="Times New Roman"/>
          <w:sz w:val="24"/>
        </w:rPr>
        <w:t xml:space="preserve"> </w:t>
      </w:r>
      <w:r>
        <w:rPr>
          <w:rFonts w:ascii="Times New Roman" w:hAnsi="Times New Roman"/>
          <w:sz w:val="24"/>
        </w:rPr>
        <w:t>sonuçlarımızı literatürdeki PKG çalışmalarıyla karşılaştırmaktadır. WiFi tabanlı çalışmalarda sürekli bağlantı mevcut olduğundan KGR saniye başına bit (bps) cinsinden verilirken, uydu çalışmalarında sınırlı görünürlük süresi nedeniyle geçiş başına bit daha anlamlıdır; bu birim farkı doğrudan karşılaştırmayı güçleştirmektedir.</w:t>
      </w:r>
    </w:p>
    <w:bookmarkStart w:id="64" w:name="tab:litcomp"/>
    <w:p>
      <w:pPr>
        <w:pStyle w:val="TableCaption"/>
        <w:jc w:val="both"/>
      </w:pPr>
      <w:r>
        <w:rPr>
          <w:rFonts w:ascii="Times New Roman" w:hAnsi="Times New Roman"/>
          <w:sz w:val="24"/>
        </w:rPr>
        <w:t>Yayınlanmış PKG Yöntemleriyle Karşılaştırma</w:t>
      </w:r>
    </w:p>
    <w:tbl>
      <w:tblPr>
        <w:tblStyle w:val="Table"/>
        <w:tblW w:type="auto" w:w="0"/>
        <w:jc w:val="center"/>
        <w:tblLook w:firstRow="1" w:lastRow="0" w:firstColumn="0" w:lastColumn="0" w:noHBand="0" w:noVBand="0" w:val="0020"/>
        <w:tblCaption w:val="Yayınlanmış PKG Yöntemleriyle Karşılaştırma"/>
      </w:tblPr>
      <w:tblGrid>
        <w:gridCol w:w="1584"/>
        <w:gridCol w:w="1584"/>
        <w:gridCol w:w="1584"/>
        <w:gridCol w:w="1584"/>
        <w:gridCol w:w="1584"/>
      </w:tblGrid>
      <w:tr>
        <w:trPr>
          <w:tblHeader w:val="on"/>
        </w:trPr>
        <w:tc>
          <w:tcPr/>
          <w:p>
            <w:pPr>
              <w:pStyle w:val="Compact"/>
              <w:jc w:val="center"/>
            </w:pPr>
            <w:r>
              <w:rPr>
                <w:rFonts w:ascii="Times New Roman" w:hAnsi="Times New Roman"/>
                <w:sz w:val="20"/>
              </w:rPr>
              <w:t xml:space="preserve">Yöntem</w:t>
            </w:r>
          </w:p>
        </w:tc>
        <w:tc>
          <w:tcPr/>
          <w:p>
            <w:pPr>
              <w:pStyle w:val="Compact"/>
              <w:jc w:val="center"/>
            </w:pPr>
            <w:r>
              <w:rPr>
                <w:rFonts w:ascii="Times New Roman" w:hAnsi="Times New Roman"/>
                <w:sz w:val="20"/>
              </w:rPr>
              <w:t xml:space="preserve">Kanal</w:t>
            </w:r>
          </w:p>
        </w:tc>
        <w:tc>
          <w:tcPr/>
          <w:p>
            <w:pPr>
              <w:pStyle w:val="Compact"/>
              <w:jc w:val="center"/>
            </w:pPr>
            <w:r>
              <w:rPr>
                <w:rFonts w:ascii="Times New Roman" w:hAnsi="Times New Roman"/>
                <w:sz w:val="20"/>
              </w:rPr>
              <w:t xml:space="preserve">KDR</w:t>
            </w:r>
          </w:p>
        </w:tc>
        <w:tc>
          <w:tcPr/>
          <w:p>
            <w:pPr>
              <w:pStyle w:val="Compact"/>
              <w:jc w:val="center"/>
            </w:pPr>
            <w:r>
              <w:rPr>
                <w:rFonts w:ascii="Times New Roman" w:hAnsi="Times New Roman"/>
                <w:sz w:val="20"/>
              </w:rPr>
              <w:t xml:space="preserve">KGR</w:t>
            </w:r>
          </w:p>
        </w:tc>
        <w:tc>
          <w:tcPr/>
          <w:p>
            <w:pPr>
              <w:pStyle w:val="Compact"/>
              <w:jc w:val="center"/>
            </w:pPr>
          </w:p>
        </w:tc>
      </w:tr>
      <w:tr>
        <w:tc>
          <w:tcPr/>
          <w:p>
            <w:pPr>
              <w:pStyle w:val="Compact"/>
              <w:jc w:val="center"/>
            </w:pPr>
            <w:r>
              <w:rPr>
                <w:rFonts w:ascii="Times New Roman" w:hAnsi="Times New Roman"/>
                <w:sz w:val="20"/>
              </w:rPr>
              <w:t xml:space="preserve">Mathur (Mathur vd., 2008)</w:t>
            </w:r>
          </w:p>
        </w:tc>
        <w:tc>
          <w:tcPr/>
          <w:p>
            <w:pPr>
              <w:pStyle w:val="Compact"/>
              <w:jc w:val="center"/>
            </w:pPr>
            <w:r>
              <w:rPr>
                <w:rFonts w:ascii="Times New Roman" w:hAnsi="Times New Roman"/>
                <w:sz w:val="20"/>
              </w:rPr>
              <w:t xml:space="preserve">WiFi</w:t>
            </w:r>
          </w:p>
        </w:tc>
        <w:tc>
          <w:tcPr/>
          <w:p>
            <w:pPr>
              <w:pStyle w:val="Compact"/>
              <w:jc w:val="center"/>
            </w:pPr>
            <w:r>
              <w:rPr>
                <w:rFonts w:ascii="Times New Roman" w:hAnsi="Times New Roman"/>
                <w:sz w:val="20"/>
              </w:rPr>
              <w:t xml:space="preserve">2–4%</w:t>
            </w:r>
          </w:p>
        </w:tc>
        <w:tc>
          <w:tcPr/>
          <w:p>
            <w:pPr>
              <w:pStyle w:val="Compact"/>
              <w:jc w:val="center"/>
            </w:pPr>
            <w:r>
              <w:rPr>
                <w:rFonts w:ascii="Times New Roman" w:hAnsi="Times New Roman"/>
                <w:sz w:val="20"/>
              </w:rPr>
              <w:t xml:space="preserve">1–10 bps</w:t>
            </w:r>
          </w:p>
        </w:tc>
        <w:tc>
          <w:tcPr/>
          <w:p>
            <w:pPr>
              <w:pStyle w:val="Compact"/>
              <w:jc w:val="center"/>
            </w:pPr>
          </w:p>
        </w:tc>
      </w:tr>
      <w:tr>
        <w:tc>
          <w:tcPr/>
          <w:p>
            <w:pPr>
              <w:pStyle w:val="Compact"/>
              <w:jc w:val="center"/>
            </w:pPr>
            <w:r>
              <w:rPr>
                <w:rFonts w:ascii="Times New Roman" w:hAnsi="Times New Roman"/>
                <w:sz w:val="20"/>
              </w:rPr>
              <w:t xml:space="preserve">Jana (Jana vd., 2009)</w:t>
            </w:r>
          </w:p>
        </w:tc>
        <w:tc>
          <w:tcPr/>
          <w:p>
            <w:pPr>
              <w:pStyle w:val="Compact"/>
              <w:jc w:val="center"/>
            </w:pPr>
            <w:r>
              <w:rPr>
                <w:rFonts w:ascii="Times New Roman" w:hAnsi="Times New Roman"/>
                <w:sz w:val="20"/>
              </w:rPr>
              <w:t xml:space="preserve">WiFi</w:t>
            </w:r>
          </w:p>
        </w:tc>
        <w:tc>
          <w:tcPr/>
          <w:p>
            <w:pPr>
              <w:pStyle w:val="Compact"/>
              <w:jc w:val="center"/>
            </w:pPr>
            <w:r>
              <w:rPr>
                <w:rFonts w:ascii="Times New Roman" w:hAnsi="Times New Roman"/>
                <w:sz w:val="20"/>
              </w:rPr>
              <w:t xml:space="preserve">1–5%</w:t>
            </w:r>
          </w:p>
        </w:tc>
        <w:tc>
          <w:tcPr/>
          <w:p>
            <w:pPr>
              <w:pStyle w:val="Compact"/>
              <w:jc w:val="center"/>
            </w:pPr>
            <w:r>
              <w:rPr>
                <w:rFonts w:ascii="Times New Roman" w:hAnsi="Times New Roman"/>
                <w:sz w:val="20"/>
              </w:rPr>
              <w:t xml:space="preserve">1–22 bps</w:t>
            </w:r>
          </w:p>
        </w:tc>
        <w:tc>
          <w:tcPr/>
          <w:p>
            <w:pPr>
              <w:pStyle w:val="Compact"/>
              <w:jc w:val="center"/>
            </w:pPr>
          </w:p>
        </w:tc>
      </w:tr>
      <w:tr>
        <w:tc>
          <w:tcPr/>
          <w:p>
            <w:pPr>
              <w:pStyle w:val="Compact"/>
              <w:jc w:val="center"/>
            </w:pPr>
            <w:r>
              <w:rPr>
                <w:rFonts w:ascii="Times New Roman" w:hAnsi="Times New Roman"/>
                <w:sz w:val="20"/>
              </w:rPr>
              <w:t xml:space="preserve">Oligeri (Oligeri vd., 2023)</w:t>
            </w:r>
          </w:p>
        </w:tc>
        <w:tc>
          <w:tcPr/>
          <w:p>
            <w:pPr>
              <w:pStyle w:val="Compact"/>
              <w:jc w:val="center"/>
            </w:pPr>
            <w:r>
              <w:rPr>
                <w:rFonts w:ascii="Times New Roman" w:hAnsi="Times New Roman"/>
                <w:sz w:val="20"/>
              </w:rPr>
              <w:t xml:space="preserve">LEO Dop.</w:t>
            </w:r>
          </w:p>
        </w:tc>
        <w:tc>
          <w:tcPr/>
          <w:p>
            <w:pPr>
              <w:pStyle w:val="Compact"/>
              <w:jc w:val="center"/>
            </w:pPr>
            <w:r>
              <w:rPr>
                <w:rFonts w:ascii="Times New Roman" w:hAnsi="Times New Roman"/>
                <w:sz w:val="20"/>
              </w:rPr>
              <w:t xml:space="preserve">2–8%</w:t>
            </w:r>
          </w:p>
        </w:tc>
        <w:tc>
          <w:tcPr/>
          <w:p>
            <w:pPr>
              <w:pStyle w:val="Compact"/>
              <w:jc w:val="center"/>
            </w:pPr>
            <w:r>
              <w:rPr>
                <w:rFonts w:ascii="Times New Roman" w:hAnsi="Times New Roman"/>
                <w:sz w:val="20"/>
              </w:rPr>
              <w:t xml:space="preserve">250 bit/geçiş</w:t>
            </w:r>
          </w:p>
        </w:tc>
        <w:tc>
          <w:tcPr/>
          <w:p>
            <w:pPr>
              <w:pStyle w:val="Compact"/>
              <w:jc w:val="center"/>
            </w:pPr>
          </w:p>
        </w:tc>
      </w:tr>
      <w:tr>
        <w:tc>
          <w:tcPr/>
          <w:p>
            <w:pPr>
              <w:pStyle w:val="Compact"/>
              <w:jc w:val="center"/>
            </w:pPr>
            <w:r>
              <w:rPr>
                <w:rFonts w:ascii="Times New Roman" w:hAnsi="Times New Roman"/>
                <w:sz w:val="20"/>
              </w:rPr>
              <w:t xml:space="preserve">Topal (Topal vd., 2021)</w:t>
            </w:r>
          </w:p>
        </w:tc>
        <w:tc>
          <w:tcPr/>
          <w:p>
            <w:pPr>
              <w:pStyle w:val="Compact"/>
              <w:jc w:val="center"/>
            </w:pPr>
            <w:r>
              <w:rPr>
                <w:rFonts w:ascii="Times New Roman" w:hAnsi="Times New Roman"/>
                <w:sz w:val="20"/>
              </w:rPr>
              <w:t xml:space="preserve">Uzay Dop.</w:t>
            </w:r>
          </w:p>
        </w:tc>
        <w:tc>
          <w:tcPr/>
          <w:p>
            <w:pPr>
              <w:pStyle w:val="Compact"/>
              <w:jc w:val="center"/>
            </w:pPr>
            <w:r>
              <w:rPr>
                <w:rFonts w:ascii="Times New Roman" w:hAnsi="Times New Roman"/>
                <w:sz w:val="20"/>
              </w:rPr>
              <w:t xml:space="preserve">5–15%</w:t>
            </w:r>
          </w:p>
        </w:tc>
        <w:tc>
          <w:tcPr/>
          <w:p>
            <w:pPr>
              <w:pStyle w:val="Compact"/>
              <w:jc w:val="center"/>
            </w:pPr>
            <w:r>
              <w:rPr>
                <w:rFonts w:ascii="Times New Roman" w:hAnsi="Times New Roman"/>
                <w:sz w:val="20"/>
              </w:rPr>
              <w:t xml:space="preserve">düşük</w:t>
            </w:r>
          </w:p>
        </w:tc>
        <w:tc>
          <w:tcPr/>
          <w:p>
            <w:pPr>
              <w:pStyle w:val="Compact"/>
              <w:jc w:val="center"/>
            </w:pPr>
          </w:p>
        </w:tc>
      </w:tr>
      <w:tr>
        <w:tc>
          <w:tcPr/>
          <w:p>
            <w:pPr>
              <w:pStyle w:val="Compact"/>
              <w:jc w:val="center"/>
            </w:pPr>
            <w:r>
              <w:rPr>
                <w:rFonts w:ascii="Times New Roman" w:hAnsi="Times New Roman"/>
                <w:b/>
                <w:bCs/>
                <w:sz w:val="20"/>
              </w:rPr>
              <w:t xml:space="preserve">Bu çalışma</w:t>
            </w:r>
          </w:p>
        </w:tc>
        <w:tc>
          <w:tcPr/>
          <w:p>
            <w:pPr>
              <w:pStyle w:val="Compact"/>
              <w:jc w:val="center"/>
            </w:pPr>
            <w:r>
              <w:rPr>
                <w:rFonts w:ascii="Times New Roman" w:hAnsi="Times New Roman"/>
                <w:b/>
                <w:bCs/>
                <w:sz w:val="20"/>
              </w:rPr>
              <w:t xml:space="preserve">LEO Loo</w:t>
            </w:r>
          </w:p>
        </w:tc>
        <w:tc>
          <w:tcPr/>
          <w:p>
            <w:pPr>
              <w:pStyle w:val="Compact"/>
              <w:jc w:val="center"/>
            </w:pPr>
            <w:r>
              <w:rPr>
                <w:rFonts w:ascii="Times New Roman" w:hAnsi="Times New Roman"/>
                <w:b/>
                <w:bCs/>
                <w:sz w:val="20"/>
              </w:rPr>
              <w:t xml:space="preserve">&lt;1%</w:t>
            </w:r>
          </w:p>
        </w:tc>
        <w:tc>
          <w:tcPr/>
          <w:p>
            <w:pPr>
              <w:pStyle w:val="Compact"/>
              <w:jc w:val="center"/>
            </w:pPr>
            <w:r>
              <w:rPr>
                <w:rFonts w:ascii="Times New Roman" w:hAnsi="Times New Roman"/>
                <w:b/>
                <w:bCs/>
                <w:sz w:val="20"/>
              </w:rPr>
              <w:t xml:space="preserve">180 bit/geçiş</w:t>
            </w:r>
          </w:p>
        </w:tc>
        <w:tc>
          <w:tcPr/>
          <w:p>
            <w:pPr>
              <w:pStyle w:val="Compact"/>
              <w:jc w:val="center"/>
            </w:pPr>
          </w:p>
        </w:tc>
      </w:tr>
    </w:tbl>
    <w:bookmarkEnd w:id="64"/>
    <w:p>
      <w:pPr>
        <w:pStyle w:val="BodyText"/>
        <w:jc w:val="both"/>
      </w:pPr>
      <w:r>
        <w:rPr>
          <w:rFonts w:ascii="Times New Roman" w:hAnsi="Times New Roman"/>
          <w:sz w:val="24"/>
        </w:rPr>
        <w:t>Çoklu Elevasyon ve NIST Analizi.</w:t>
      </w:r>
      <w:r>
        <w:rPr>
          <w:rFonts w:ascii="Times New Roman" w:hAnsi="Times New Roman"/>
          <w:sz w:val="24"/>
        </w:rPr>
        <w:t xml:space="preserve"> </w:t>
      </w:r>
      <w:r>
        <w:rPr>
          <w:rFonts w:ascii="Times New Roman" w:hAnsi="Times New Roman"/>
          <w:sz w:val="24"/>
        </w:rPr>
        <w:t xml:space="preserve">LEO geçişlerinde elevasyon açısı değiştiğinden, performans °, 30°, 45°, 60°, 75° açılarında değerlendirilmiştir (Tablo </w:t>
      </w:r>
      <w:hyperlink w:anchor="tab:elev">
        <w:r>
          <w:rPr>
            <w:rStyle w:val="Hyperlink"/>
          </w:rPr>
          <w:t xml:space="preserve">10</w:t>
        </w:r>
      </w:hyperlink>
      <w:r>
        <w:rPr>
          <w:rFonts w:ascii="Times New Roman" w:hAnsi="Times New Roman"/>
          <w:sz w:val="24"/>
        </w:rPr>
        <w:t>). Tüm elevasyon açılarında KDR %12’nin altında kalmakta, 45 ° ve üzerinde %8 altına düşmektedir. Dikkat çekici biçimde 15 ° ve 30 ° elevasyon açılarında KDR %8.5–11 aralığında yüksek kalmaktadır; bu açılar geçişin başlangıç ve bitiş dilimlerine denk gelir. Pratik bir sistemde düşük elevasyon dönemlerinde anahtar üretiminin askıya alınması (elevasyon maskesi, örneğin _ 30 °) geçiş başına kullanılabilir süreyi kısaltsa da ortalama KDR’yi düşürecektir.</w:t>
      </w:r>
    </w:p>
    <w:bookmarkStart w:id="65" w:name="tab:elev"/>
    <w:p>
      <w:pPr>
        <w:pStyle w:val="TableCaption"/>
        <w:jc w:val="both"/>
      </w:pPr>
      <w:r>
        <w:rPr>
          <w:rFonts w:ascii="Times New Roman" w:hAnsi="Times New Roman"/>
          <w:sz w:val="24"/>
        </w:rPr>
        <w:t>Elevasyon Açısına Göre KDR ve KGR (20 dB)</w:t>
      </w:r>
    </w:p>
    <w:tbl>
      <w:tblPr>
        <w:tblStyle w:val="Table"/>
        <w:tblW w:type="auto" w:w="0"/>
        <w:jc w:val="center"/>
        <w:tblLook w:firstRow="1" w:lastRow="0" w:firstColumn="0" w:lastColumn="0" w:noHBand="0" w:noVBand="0" w:val="0020"/>
        <w:tblCaption w:val="Elevasyon Açısına Göre KDR ve KGR (20 dB)"/>
      </w:tblPr>
      <w:tblGrid>
        <w:gridCol w:w="1980"/>
        <w:gridCol w:w="1980"/>
        <w:gridCol w:w="1980"/>
        <w:gridCol w:w="1980"/>
      </w:tblGrid>
      <w:tr>
        <w:trPr>
          <w:tblHeader w:val="on"/>
        </w:trPr>
        <w:tc>
          <w:tcPr/>
          <w:p>
            <w:pPr>
              <w:pStyle w:val="Compact"/>
              <w:jc w:val="center"/>
            </w:pPr>
            <w:r>
              <w:rPr>
                <w:rFonts w:ascii="Times New Roman" w:hAnsi="Times New Roman"/>
                <w:sz w:val="20"/>
              </w:rPr>
              <w:t>θ</w:t>
            </w:r>
          </w:p>
        </w:tc>
        <w:tc>
          <w:tcPr/>
          <w:p>
            <w:pPr>
              <w:pStyle w:val="Compact"/>
              <w:jc w:val="center"/>
            </w:pPr>
            <w:r>
              <w:rPr>
                <w:rFonts w:ascii="Times New Roman" w:hAnsi="Times New Roman"/>
                <w:sz w:val="20"/>
              </w:rPr>
              <w:t xml:space="preserve">KDR (%)</w:t>
            </w:r>
          </w:p>
        </w:tc>
        <w:tc>
          <w:tcPr/>
          <w:p>
            <w:pPr>
              <w:pStyle w:val="Compact"/>
              <w:jc w:val="center"/>
            </w:pPr>
            <w:r>
              <w:rPr>
                <w:rFonts w:ascii="Times New Roman" w:hAnsi="Times New Roman"/>
                <w:sz w:val="20"/>
              </w:rPr>
              <w:t xml:space="preserve">Doppler (kHz)</w:t>
            </w:r>
          </w:p>
        </w:tc>
        <w:tc>
          <w:tcPr/>
          <w:p>
            <w:pPr>
              <w:pStyle w:val="Compact"/>
              <w:jc w:val="center"/>
            </w:pPr>
            <w:r>
              <w:rPr>
                <w:rFonts w:ascii="Times New Roman" w:hAnsi="Times New Roman"/>
                <w:sz w:val="20"/>
              </w:rPr>
              <w:t>Tc (μs)</w:t>
            </w:r>
          </w:p>
        </w:tc>
      </w:tr>
      <w:tr>
        <w:tc>
          <w:tcPr/>
          <w:p>
            <w:pPr>
              <w:pStyle w:val="Compact"/>
              <w:jc w:val="center"/>
            </w:pPr>
            <w:r>
              <w:rPr>
                <w:rFonts w:ascii="Times New Roman" w:hAnsi="Times New Roman"/>
                <w:sz w:val="20"/>
              </w:rPr>
              <w:t xml:space="preserve">15°</w:t>
            </w:r>
          </w:p>
        </w:tc>
        <w:tc>
          <w:tcPr/>
          <w:p>
            <w:pPr>
              <w:pStyle w:val="Compact"/>
              <w:jc w:val="center"/>
            </w:pPr>
            <w:r>
              <w:rPr>
                <w:rFonts w:ascii="Times New Roman" w:hAnsi="Times New Roman"/>
                <w:sz w:val="20"/>
              </w:rPr>
              <w:t xml:space="preserve">8.5</w:t>
            </w:r>
          </w:p>
        </w:tc>
        <w:tc>
          <w:tcPr/>
          <w:p>
            <w:pPr>
              <w:pStyle w:val="Compact"/>
              <w:jc w:val="center"/>
            </w:pPr>
            <w:r>
              <w:rPr>
                <w:rFonts w:ascii="Times New Roman" w:hAnsi="Times New Roman"/>
                <w:sz w:val="20"/>
              </w:rPr>
              <w:t xml:space="preserve">10.2</w:t>
            </w:r>
          </w:p>
        </w:tc>
        <w:tc>
          <w:tcPr/>
          <w:p>
            <w:pPr>
              <w:pStyle w:val="Compact"/>
              <w:jc w:val="center"/>
            </w:pPr>
            <w:r>
              <w:rPr>
                <w:rFonts w:ascii="Times New Roman" w:hAnsi="Times New Roman"/>
                <w:sz w:val="20"/>
              </w:rPr>
              <w:t xml:space="preserve">49.0</w:t>
            </w:r>
          </w:p>
        </w:tc>
      </w:tr>
      <w:tr>
        <w:tc>
          <w:tcPr/>
          <w:p>
            <w:pPr>
              <w:pStyle w:val="Compact"/>
              <w:jc w:val="center"/>
            </w:pPr>
            <w:r>
              <w:rPr>
                <w:rFonts w:ascii="Times New Roman" w:hAnsi="Times New Roman"/>
                <w:sz w:val="20"/>
              </w:rPr>
              <w:t xml:space="preserve">30°</w:t>
            </w:r>
          </w:p>
        </w:tc>
        <w:tc>
          <w:tcPr/>
          <w:p>
            <w:pPr>
              <w:pStyle w:val="Compact"/>
              <w:jc w:val="center"/>
            </w:pPr>
            <w:r>
              <w:rPr>
                <w:rFonts w:ascii="Times New Roman" w:hAnsi="Times New Roman"/>
                <w:sz w:val="20"/>
              </w:rPr>
              <w:t xml:space="preserve">11.0</w:t>
            </w:r>
          </w:p>
        </w:tc>
        <w:tc>
          <w:tcPr/>
          <w:p>
            <w:pPr>
              <w:pStyle w:val="Compact"/>
              <w:jc w:val="center"/>
            </w:pPr>
            <w:r>
              <w:rPr>
                <w:rFonts w:ascii="Times New Roman" w:hAnsi="Times New Roman"/>
                <w:sz w:val="20"/>
              </w:rPr>
              <w:t xml:space="preserve">24.8</w:t>
            </w:r>
          </w:p>
        </w:tc>
        <w:tc>
          <w:tcPr/>
          <w:p>
            <w:pPr>
              <w:pStyle w:val="Compact"/>
              <w:jc w:val="center"/>
            </w:pPr>
            <w:r>
              <w:rPr>
                <w:rFonts w:ascii="Times New Roman" w:hAnsi="Times New Roman"/>
                <w:sz w:val="20"/>
              </w:rPr>
              <w:t xml:space="preserve">20.1</w:t>
            </w:r>
          </w:p>
        </w:tc>
      </w:tr>
      <w:tr>
        <w:tc>
          <w:tcPr/>
          <w:p>
            <w:pPr>
              <w:pStyle w:val="Compact"/>
              <w:jc w:val="center"/>
            </w:pPr>
            <w:r>
              <w:rPr>
                <w:rFonts w:ascii="Times New Roman" w:hAnsi="Times New Roman"/>
                <w:sz w:val="20"/>
              </w:rPr>
              <w:t xml:space="preserve">45°</w:t>
            </w:r>
          </w:p>
        </w:tc>
        <w:tc>
          <w:tcPr/>
          <w:p>
            <w:pPr>
              <w:pStyle w:val="Compact"/>
              <w:jc w:val="center"/>
            </w:pPr>
            <w:r>
              <w:rPr>
                <w:rFonts w:ascii="Times New Roman" w:hAnsi="Times New Roman"/>
                <w:sz w:val="20"/>
              </w:rPr>
              <w:t xml:space="preserve">7.8</w:t>
            </w:r>
          </w:p>
        </w:tc>
        <w:tc>
          <w:tcPr/>
          <w:p>
            <w:pPr>
              <w:pStyle w:val="Compact"/>
              <w:jc w:val="center"/>
            </w:pPr>
            <w:r>
              <w:rPr>
                <w:rFonts w:ascii="Times New Roman" w:hAnsi="Times New Roman"/>
                <w:sz w:val="20"/>
              </w:rPr>
              <w:t xml:space="preserve">39.4</w:t>
            </w:r>
          </w:p>
        </w:tc>
        <w:tc>
          <w:tcPr/>
          <w:p>
            <w:pPr>
              <w:pStyle w:val="Compact"/>
              <w:jc w:val="center"/>
            </w:pPr>
            <w:r>
              <w:rPr>
                <w:rFonts w:ascii="Times New Roman" w:hAnsi="Times New Roman"/>
                <w:sz w:val="20"/>
              </w:rPr>
              <w:t xml:space="preserve">12.7</w:t>
            </w:r>
          </w:p>
        </w:tc>
      </w:tr>
      <w:tr>
        <w:tc>
          <w:tcPr/>
          <w:p>
            <w:pPr>
              <w:pStyle w:val="Compact"/>
              <w:jc w:val="center"/>
            </w:pPr>
            <w:r>
              <w:rPr>
                <w:rFonts w:ascii="Times New Roman" w:hAnsi="Times New Roman"/>
                <w:sz w:val="20"/>
              </w:rPr>
              <w:t xml:space="preserve">60°</w:t>
            </w:r>
          </w:p>
        </w:tc>
        <w:tc>
          <w:tcPr/>
          <w:p>
            <w:pPr>
              <w:pStyle w:val="Compact"/>
              <w:jc w:val="center"/>
            </w:pPr>
            <w:r>
              <w:rPr>
                <w:rFonts w:ascii="Times New Roman" w:hAnsi="Times New Roman"/>
                <w:sz w:val="20"/>
              </w:rPr>
              <w:t xml:space="preserve">7.6</w:t>
            </w:r>
          </w:p>
        </w:tc>
        <w:tc>
          <w:tcPr/>
          <w:p>
            <w:pPr>
              <w:pStyle w:val="Compact"/>
              <w:jc w:val="center"/>
            </w:pPr>
            <w:r>
              <w:rPr>
                <w:rFonts w:ascii="Times New Roman" w:hAnsi="Times New Roman"/>
                <w:sz w:val="20"/>
              </w:rPr>
              <w:t xml:space="preserve">48.3</w:t>
            </w:r>
          </w:p>
        </w:tc>
        <w:tc>
          <w:tcPr/>
          <w:p>
            <w:pPr>
              <w:pStyle w:val="Compact"/>
              <w:jc w:val="center"/>
            </w:pPr>
            <w:r>
              <w:rPr>
                <w:rFonts w:ascii="Times New Roman" w:hAnsi="Times New Roman"/>
                <w:sz w:val="20"/>
              </w:rPr>
              <w:t xml:space="preserve">10.4</w:t>
            </w:r>
          </w:p>
        </w:tc>
      </w:tr>
      <w:tr>
        <w:tc>
          <w:tcPr/>
          <w:p>
            <w:pPr>
              <w:pStyle w:val="Compact"/>
              <w:jc w:val="center"/>
            </w:pPr>
            <w:r>
              <w:rPr>
                <w:rFonts w:ascii="Times New Roman" w:hAnsi="Times New Roman"/>
                <w:sz w:val="20"/>
              </w:rPr>
              <w:t xml:space="preserve">75°</w:t>
            </w:r>
          </w:p>
        </w:tc>
        <w:tc>
          <w:tcPr/>
          <w:p>
            <w:pPr>
              <w:pStyle w:val="Compact"/>
              <w:jc w:val="center"/>
            </w:pPr>
            <w:r>
              <w:rPr>
                <w:rFonts w:ascii="Times New Roman" w:hAnsi="Times New Roman"/>
                <w:sz w:val="20"/>
              </w:rPr>
              <w:t xml:space="preserve">7.4</w:t>
            </w:r>
          </w:p>
        </w:tc>
        <w:tc>
          <w:tcPr/>
          <w:p>
            <w:pPr>
              <w:pStyle w:val="Compact"/>
              <w:jc w:val="center"/>
            </w:pPr>
            <w:r>
              <w:rPr>
                <w:rFonts w:ascii="Times New Roman" w:hAnsi="Times New Roman"/>
                <w:sz w:val="20"/>
              </w:rPr>
              <w:t xml:space="preserve">53.9</w:t>
            </w:r>
          </w:p>
        </w:tc>
        <w:tc>
          <w:tcPr/>
          <w:p>
            <w:pPr>
              <w:pStyle w:val="Compact"/>
              <w:jc w:val="center"/>
            </w:pPr>
            <w:r>
              <w:rPr>
                <w:rFonts w:ascii="Times New Roman" w:hAnsi="Times New Roman"/>
                <w:sz w:val="20"/>
              </w:rPr>
              <w:t xml:space="preserve">9.3</w:t>
            </w:r>
          </w:p>
        </w:tc>
      </w:tr>
    </w:tbl>
    <w:bookmarkEnd w:id="65"/>
    <w:p>
      <w:pPr>
        <w:pStyle w:val="BodyText"/>
        <w:jc w:val="both"/>
      </w:pPr>
      <w:r>
        <w:rPr>
          <w:rFonts w:ascii="Times New Roman" w:hAnsi="Times New Roman"/>
          <w:sz w:val="24"/>
        </w:rPr>
        <w:t>Üretilen oturum anahtarları, NIST SP 800-22 (Rukhin vd., 2010) test paketinden geçirilmiştir. Paketin 15 testinden anahtar uzunluğu koşulunu sağlayan frekans, runs, blok-frekans, serial ve kümülatif toplam testleri uygulanmıştır; approximate entropy, linear complexity ve Maurer’s universal gibi testler minimum 10^6 bit uzunluğu gerektirdiğinden  180 bitlik oturum anahtarlarına uygulanamamıştır. 1 000 anahtarlık örneklemde =0.01 düzeyinde geçme oranları frekans %98.6, runs %98.9, blok-frekans %98.6, serial %97.4 ve kümülatif toplam %97.8 olarak ölçülmüştür.</w:t>
      </w:r>
    </w:p>
    <w:p>
      <w:pPr>
        <w:pStyle w:val="BodyText"/>
        <w:jc w:val="both"/>
      </w:pPr>
      <w:r>
        <w:rPr>
          <w:rFonts w:ascii="Times New Roman" w:hAnsi="Times New Roman"/>
          <w:sz w:val="24"/>
        </w:rPr>
        <w:t>ROC ve Eve Analizi.</w:t>
      </w:r>
      <w:r>
        <w:rPr>
          <w:rFonts w:ascii="Times New Roman" w:hAnsi="Times New Roman"/>
          <w:sz w:val="24"/>
        </w:rPr>
        <w:t xml:space="preserve"> </w:t>
      </w:r>
      <w:r>
        <w:rPr>
          <w:rFonts w:ascii="Times New Roman" w:hAnsi="Times New Roman"/>
          <w:sz w:val="24"/>
        </w:rPr>
        <w:t xml:space="preserve">Eve tespiti üç farklı senaryoda değerlendirilmiştir (Şekil </w:t>
      </w:r>
      <w:hyperlink w:anchor="fig:multiroc">
        <w:r>
          <w:rPr>
            <w:rStyle w:val="Hyperlink"/>
          </w:rPr>
          <w:t xml:space="preserve">11</w:t>
        </w:r>
      </w:hyperlink>
      <w:r>
        <w:rPr>
          <w:rFonts w:ascii="Times New Roman" w:hAnsi="Times New Roman"/>
          <w:sz w:val="24"/>
        </w:rPr>
        <w:t>): 1 λ/0 dB, 0.5 λ/0 dB ve 1 λ/+10 dB. 1 λ/0 dB senaryosunda P_FA 0.027, P_MD 0.067 ve AUC 0.995 elde edilmiştir. 0.5 λ yakın senaryosu neredeyse tam ayrışma üretmektedir.</w:t>
      </w:r>
    </w:p>
    <w:bookmarkStart w:id="69" w:name="fig:multiroc"/>
    <w:p>
      <w:pPr>
        <w:pStyle w:val="CaptionedFigure"/>
        <w:jc w:val="both"/>
      </w:pPr>
      <w:r>
        <w:rPr>
          <w:rFonts w:ascii="Times New Roman" w:hAnsi="Times New Roman"/>
          <w:sz w:val="24"/>
        </w:rPr>
      </w:r>
    </w:p>
    <w:p>
      <w:pPr>
        <w:pStyle w:val="ImageCaption"/>
        <w:jc w:val="both"/>
      </w:pPr>
      <w:r>
        <w:rPr>
          <w:rFonts w:ascii="Times New Roman" w:hAnsi="Times New Roman"/>
          <w:sz w:val="24"/>
        </w:rPr>
        <w:t>Farklı Eve senaryolarında ROC eğrileri.</w:t>
      </w:r>
    </w:p>
    <w:bookmarkEnd w:id="69"/>
    <w:bookmarkStart w:id="73" w:name="fig:evedistance"/>
    <w:p>
      <w:pPr>
        <w:pStyle w:val="CaptionedFigure"/>
        <w:jc w:val="both"/>
      </w:pPr>
      <w:r>
        <w:rPr>
          <w:rFonts w:ascii="Times New Roman" w:hAnsi="Times New Roman"/>
          <w:sz w:val="24"/>
        </w:rPr>
      </w:r>
    </w:p>
    <w:p>
      <w:pPr>
        <w:pStyle w:val="ImageCaption"/>
        <w:jc w:val="both"/>
      </w:pPr>
      <w:r>
        <w:rPr>
          <w:rFonts w:ascii="Times New Roman" w:hAnsi="Times New Roman"/>
          <w:sz w:val="24"/>
        </w:rPr>
        <w:t>Eve uzaklığının korelasyon ve risk skoruna etkisi.</w:t>
      </w:r>
    </w:p>
    <w:bookmarkEnd w:id="73"/>
    <w:p>
      <w:pPr>
        <w:pStyle w:val="BodyText"/>
        <w:jc w:val="both"/>
      </w:pPr>
      <w:r>
        <w:rPr>
          <w:rFonts w:ascii="Times New Roman" w:hAnsi="Times New Roman"/>
          <w:sz w:val="24"/>
        </w:rPr>
        <w:t xml:space="preserve">Eve-Bob uzaklığı ,1,2,4,8 arasında taranmıştır (Şekil </w:t>
      </w:r>
      <w:hyperlink w:anchor="fig:evedistance">
        <w:r>
          <w:rPr>
            <w:rStyle w:val="Hyperlink"/>
          </w:rPr>
          <w:t xml:space="preserve">12</w:t>
        </w:r>
      </w:hyperlink>
      <w:r>
        <w:rPr>
          <w:rFonts w:ascii="Times New Roman" w:hAnsi="Times New Roman"/>
          <w:sz w:val="24"/>
        </w:rPr>
        <w:t xml:space="preserve">). 0.5 λ yakınlıkta ortalama risk skoru 0.40 ile orta seviyeye ulaşırken, 4 λ ötesinde 0.14 altına düşmektedir. Tablo </w:t>
      </w:r>
      <w:hyperlink w:anchor="tab:evesnr">
        <w:r>
          <w:rPr>
            <w:rStyle w:val="Hyperlink"/>
          </w:rPr>
          <w:t xml:space="preserve">11</w:t>
        </w:r>
      </w:hyperlink>
      <w:r>
        <w:rPr>
          <w:rFonts w:ascii="Times New Roman" w:hAnsi="Times New Roman"/>
          <w:sz w:val="24"/>
        </w:rPr>
        <w:t>’deki sonuçlar, Eve’in 5 dB alıcı avantajında risk rejiminin düşükten ortaya geçtiğini göstermektedir.</w:t>
      </w:r>
    </w:p>
    <w:bookmarkStart w:id="74" w:name="tab:evesnr"/>
    <w:p>
      <w:pPr>
        <w:pStyle w:val="TableCaption"/>
        <w:jc w:val="both"/>
      </w:pPr>
      <w:r>
        <w:rPr>
          <w:rFonts w:ascii="Times New Roman" w:hAnsi="Times New Roman"/>
          <w:sz w:val="24"/>
        </w:rPr>
        <w:t>Eve Alıcı Avantajı Senaryosu (1 λ)</w:t>
      </w:r>
    </w:p>
    <w:tbl>
      <w:tblPr>
        <w:tblStyle w:val="Table"/>
        <w:tblW w:type="auto" w:w="0"/>
        <w:jc w:val="center"/>
        <w:tblLook w:firstRow="1" w:lastRow="0" w:firstColumn="0" w:lastColumn="0" w:noHBand="0" w:noVBand="0" w:val="0020"/>
        <w:tblCaption w:val="Eve Alıcı Avantajı Senaryosu (1 λ)"/>
      </w:tblPr>
      <w:tblGrid>
        <w:gridCol w:w="2640"/>
        <w:gridCol w:w="2640"/>
        <w:gridCol w:w="2640"/>
      </w:tblGrid>
      <w:tr>
        <w:trPr>
          <w:tblHeader w:val="on"/>
        </w:trPr>
        <w:tc>
          <w:tcPr/>
          <w:p>
            <w:pPr>
              <w:pStyle w:val="Compact"/>
              <w:jc w:val="center"/>
            </w:pPr>
            <w:r>
              <w:rPr>
                <w:rFonts w:ascii="Times New Roman" w:hAnsi="Times New Roman"/>
                <w:sz w:val="20"/>
              </w:rPr>
              <w:t>ΔSNR_E (dB)</w:t>
            </w:r>
          </w:p>
        </w:tc>
        <w:tc>
          <w:tcPr/>
          <w:p>
            <w:pPr>
              <w:pStyle w:val="Compact"/>
              <w:jc w:val="center"/>
            </w:pPr>
            <w:r>
              <w:rPr>
                <w:rFonts w:ascii="Times New Roman" w:hAnsi="Times New Roman"/>
                <w:sz w:val="20"/>
              </w:rPr>
              <w:t xml:space="preserve">Ort. risk</w:t>
            </w:r>
          </w:p>
        </w:tc>
        <w:tc>
          <w:tcPr/>
          <w:p>
            <w:pPr>
              <w:pStyle w:val="Compact"/>
              <w:jc w:val="center"/>
            </w:pPr>
            <w:r>
              <w:rPr>
                <w:rFonts w:ascii="Times New Roman" w:hAnsi="Times New Roman"/>
                <w:sz w:val="20"/>
              </w:rPr>
              <w:t xml:space="preserve">Sınıf</w:t>
            </w:r>
          </w:p>
        </w:tc>
      </w:tr>
      <w:tr>
        <w:tc>
          <w:tcPr/>
          <w:p>
            <w:pPr>
              <w:pStyle w:val="Compact"/>
              <w:jc w:val="center"/>
            </w:pPr>
            <w:r>
              <w:rPr>
                <w:rFonts w:ascii="Times New Roman" w:hAnsi="Times New Roman"/>
                <w:sz w:val="20"/>
              </w:rPr>
              <w:t xml:space="preserve">-10</w:t>
            </w:r>
          </w:p>
        </w:tc>
        <w:tc>
          <w:tcPr/>
          <w:p>
            <w:pPr>
              <w:pStyle w:val="Compact"/>
              <w:jc w:val="center"/>
            </w:pPr>
            <w:r>
              <w:rPr>
                <w:rFonts w:ascii="Times New Roman" w:hAnsi="Times New Roman"/>
                <w:sz w:val="20"/>
              </w:rPr>
              <w:t xml:space="preserve">0.271</w:t>
            </w:r>
          </w:p>
        </w:tc>
        <w:tc>
          <w:tcPr/>
          <w:p>
            <w:pPr>
              <w:pStyle w:val="Compact"/>
              <w:jc w:val="center"/>
            </w:pPr>
            <w:r>
              <w:rPr>
                <w:rFonts w:ascii="Times New Roman" w:hAnsi="Times New Roman"/>
                <w:sz w:val="20"/>
              </w:rPr>
              <w:t xml:space="preserve">Düşük</w:t>
            </w:r>
          </w:p>
        </w:tc>
      </w:tr>
      <w:tr>
        <w:tc>
          <w:tcPr/>
          <w:p>
            <w:pPr>
              <w:pStyle w:val="Compact"/>
              <w:jc w:val="center"/>
            </w:pPr>
            <w:r>
              <w:rPr>
                <w:rFonts w:ascii="Times New Roman" w:hAnsi="Times New Roman"/>
                <w:sz w:val="20"/>
              </w:rPr>
              <w:t xml:space="preserve">-5</w:t>
            </w:r>
          </w:p>
        </w:tc>
        <w:tc>
          <w:tcPr/>
          <w:p>
            <w:pPr>
              <w:pStyle w:val="Compact"/>
              <w:jc w:val="center"/>
            </w:pPr>
            <w:r>
              <w:rPr>
                <w:rFonts w:ascii="Times New Roman" w:hAnsi="Times New Roman"/>
                <w:sz w:val="20"/>
              </w:rPr>
              <w:t xml:space="preserve">0.295</w:t>
            </w:r>
          </w:p>
        </w:tc>
        <w:tc>
          <w:tcPr/>
          <w:p>
            <w:pPr>
              <w:pStyle w:val="Compact"/>
              <w:jc w:val="center"/>
            </w:pPr>
            <w:r>
              <w:rPr>
                <w:rFonts w:ascii="Times New Roman" w:hAnsi="Times New Roman"/>
                <w:sz w:val="20"/>
              </w:rPr>
              <w:t xml:space="preserve">Düşük</w:t>
            </w:r>
          </w:p>
        </w:tc>
      </w:tr>
      <w:tr>
        <w:tc>
          <w:tcPr/>
          <w:p>
            <w:pPr>
              <w:pStyle w:val="Compact"/>
              <w:jc w:val="center"/>
            </w:pPr>
            <w:r>
              <w:rPr>
                <w:rFonts w:ascii="Times New Roman" w:hAnsi="Times New Roman"/>
                <w:sz w:val="20"/>
              </w:rPr>
              <w:t xml:space="preserve">0</w:t>
            </w:r>
          </w:p>
        </w:tc>
        <w:tc>
          <w:tcPr/>
          <w:p>
            <w:pPr>
              <w:pStyle w:val="Compact"/>
              <w:jc w:val="center"/>
            </w:pPr>
            <w:r>
              <w:rPr>
                <w:rFonts w:ascii="Times New Roman" w:hAnsi="Times New Roman"/>
                <w:sz w:val="20"/>
              </w:rPr>
              <w:t xml:space="preserve">0.320</w:t>
            </w:r>
          </w:p>
        </w:tc>
        <w:tc>
          <w:tcPr/>
          <w:p>
            <w:pPr>
              <w:pStyle w:val="Compact"/>
              <w:jc w:val="center"/>
            </w:pPr>
            <w:r>
              <w:rPr>
                <w:rFonts w:ascii="Times New Roman" w:hAnsi="Times New Roman"/>
                <w:sz w:val="20"/>
              </w:rPr>
              <w:t xml:space="preserve">Düşük</w:t>
            </w:r>
          </w:p>
        </w:tc>
      </w:tr>
      <w:tr>
        <w:tc>
          <w:tcPr/>
          <w:p>
            <w:pPr>
              <w:pStyle w:val="Compact"/>
              <w:jc w:val="center"/>
            </w:pPr>
            <w:r>
              <w:rPr>
                <w:rFonts w:ascii="Times New Roman" w:hAnsi="Times New Roman"/>
                <w:sz w:val="20"/>
              </w:rPr>
              <w:t xml:space="preserve">5</w:t>
            </w:r>
          </w:p>
        </w:tc>
        <w:tc>
          <w:tcPr/>
          <w:p>
            <w:pPr>
              <w:pStyle w:val="Compact"/>
              <w:jc w:val="center"/>
            </w:pPr>
            <w:r>
              <w:rPr>
                <w:rFonts w:ascii="Times New Roman" w:hAnsi="Times New Roman"/>
                <w:sz w:val="20"/>
              </w:rPr>
              <w:t xml:space="preserve">0.385</w:t>
            </w:r>
          </w:p>
        </w:tc>
        <w:tc>
          <w:tcPr/>
          <w:p>
            <w:pPr>
              <w:pStyle w:val="Compact"/>
              <w:jc w:val="center"/>
            </w:pPr>
            <w:r>
              <w:rPr>
                <w:rFonts w:ascii="Times New Roman" w:hAnsi="Times New Roman"/>
                <w:sz w:val="20"/>
              </w:rPr>
              <w:t xml:space="preserve">Orta</w:t>
            </w:r>
          </w:p>
        </w:tc>
      </w:tr>
      <w:tr>
        <w:tc>
          <w:tcPr/>
          <w:p>
            <w:pPr>
              <w:pStyle w:val="Compact"/>
              <w:jc w:val="center"/>
            </w:pPr>
            <w:r>
              <w:rPr>
                <w:rFonts w:ascii="Times New Roman" w:hAnsi="Times New Roman"/>
                <w:sz w:val="20"/>
              </w:rPr>
              <w:t xml:space="preserve">10</w:t>
            </w:r>
          </w:p>
        </w:tc>
        <w:tc>
          <w:tcPr/>
          <w:p>
            <w:pPr>
              <w:pStyle w:val="Compact"/>
              <w:jc w:val="center"/>
            </w:pPr>
            <w:r>
              <w:rPr>
                <w:rFonts w:ascii="Times New Roman" w:hAnsi="Times New Roman"/>
                <w:sz w:val="20"/>
              </w:rPr>
              <w:t xml:space="preserve">0.373</w:t>
            </w:r>
          </w:p>
        </w:tc>
        <w:tc>
          <w:tcPr/>
          <w:p>
            <w:pPr>
              <w:pStyle w:val="Compact"/>
              <w:jc w:val="center"/>
            </w:pPr>
            <w:r>
              <w:rPr>
                <w:rFonts w:ascii="Times New Roman" w:hAnsi="Times New Roman"/>
                <w:sz w:val="20"/>
              </w:rPr>
              <w:t xml:space="preserve">Orta</w:t>
            </w:r>
          </w:p>
        </w:tc>
      </w:tr>
    </w:tbl>
    <w:bookmarkEnd w:id="74"/>
    <w:p>
      <w:pPr>
        <w:pStyle w:val="BodyText"/>
        <w:jc w:val="both"/>
      </w:pPr>
      <w:r>
        <w:rPr>
          <w:rFonts w:ascii="Times New Roman" w:hAnsi="Times New Roman"/>
          <w:sz w:val="24"/>
        </w:rPr>
        <w:t xml:space="preserve">Elevasyon-yakınlık ısı haritası (Şekil </w:t>
      </w:r>
      <w:hyperlink w:anchor="fig:heatmap">
        <w:r>
          <w:rPr>
            <w:rStyle w:val="Hyperlink"/>
          </w:rPr>
          <w:t xml:space="preserve">13</w:t>
        </w:r>
      </w:hyperlink>
      <w:r>
        <w:rPr>
          <w:rFonts w:ascii="Times New Roman" w:hAnsi="Times New Roman"/>
          <w:sz w:val="24"/>
        </w:rPr>
        <w:t>), düşük elevasyon (15 °) ve yakın Eve (0.5 λ) kombinasyonunun en riskli durum (R_E=0.55) olduğunu; yüksek elevasyon ve uzak Eve’de riskin 0.11’e düştüğünü ortaya koymaktadır.</w:t>
      </w:r>
    </w:p>
    <w:bookmarkStart w:id="78" w:name="fig:heatmap"/>
    <w:p>
      <w:pPr>
        <w:pStyle w:val="CaptionedFigure"/>
        <w:jc w:val="both"/>
      </w:pPr>
      <w:r>
        <w:rPr>
          <w:rFonts w:ascii="Times New Roman" w:hAnsi="Times New Roman"/>
          <w:sz w:val="24"/>
        </w:rPr>
      </w:r>
    </w:p>
    <w:p>
      <w:pPr>
        <w:pStyle w:val="ImageCaption"/>
        <w:jc w:val="both"/>
      </w:pPr>
      <w:r>
        <w:rPr>
          <w:rFonts w:ascii="Times New Roman" w:hAnsi="Times New Roman"/>
          <w:sz w:val="24"/>
        </w:rPr>
        <w:t>Elevasyon-yakınlık risk skoru ısı haritası.</w:t>
      </w:r>
    </w:p>
    <w:bookmarkEnd w:id="78"/>
    <w:bookmarkEnd w:id="79"/>
    <w:bookmarkStart w:id="80" w:name="limitasyonlar"/>
    <w:p>
      <w:pPr>
        <w:pStyle w:val="Heading2"/>
        <w:jc w:val="left"/>
      </w:pPr>
      <w:r>
        <w:rPr>
          <w:rFonts w:ascii="Times New Roman" w:hAnsi="Times New Roman"/>
          <w:b/>
          <w:sz w:val="26"/>
        </w:rPr>
        <w:t>Limitasyonlar</w:t>
      </w:r>
    </w:p>
    <w:p>
      <w:pPr>
        <w:pStyle w:val="FirstParagraph"/>
        <w:jc w:val="both"/>
      </w:pPr>
      <w:r>
        <w:rPr>
          <w:rFonts w:ascii="Times New Roman" w:hAnsi="Times New Roman"/>
          <w:sz w:val="24"/>
        </w:rPr>
        <w:t>Sonuçlar değerlendirilirken birkaç noktanın göz önünde bulundurulması gerekir. Birincisi, tüm analizler simülasyona dayanmaktadır; Loo model parametreleri ITU-R P.681’den alınmış olmakla birlikte gerçek uçuş verisiyle henüz doğrulanmamıştır. Kısmi doğrulama için DLR’nin yayımladığı L/S-band uydu kanal ölçüm veri setleri veya düşük maliyetli bir SDR (Software Defined Radio) platformuyla yer istasyonu deneyi uygun adaylar olup bir sonraki aşamada planlanmaktadır. İkincisi, Loo simülasyonunda Alice ile Bob arasında tam gölgeleme karşılıklılığı varsayılmıştır ki bu fiziksel olarak iyimser bir kabuldür ve saha testleriyle sınanmalıdır. Üçüncüsü, Eve’in uzaysal korelasyonu 0.15 olarak sabitlenmiştir; aynı yerel saçınıcı ortamın paylaşıldığı durumlarda (örneğin aynı bina içi) bu değer çok daha yüksek çıkabilir. Dördüncüsü, 100 Hz örnekleme hızı senaryosunda f_D 39 kHz Nyquist sınırını aştığından Doppler aliasing riski doğmaktadır; pratik bir sistemde kHz/MHz mertebesinde pilot hızlarına ihtiyaç duyulacaktır. Beşincisi, Eve yalnızca pasif dinleyici olarak modellenmiştir; pilot sinyal sahteciliği (pilot spoofing) veya ortadaki adam (man-in-the-middle) gibi aktif saldırı senaryoları kapsam dışıdır. Altıncı olarak, çalışma tek bir Alice-Bob çifti üzerine kuruludur; çok kullanıcılı veya mega-konstelasyon senaryolarında ölçeklenebilirlik ayrıca değerlendirilmelidir. Son olarak, NIST testleri tam bir teorik güvenlik garantisi değil, yalnızca istatistiksel bir sağlık göstergesidir.</w:t>
      </w:r>
    </w:p>
    <w:bookmarkEnd w:id="80"/>
    <w:bookmarkEnd w:id="81"/>
    <w:bookmarkStart w:id="82" w:name="sonuç"/>
    <w:p>
      <w:pPr>
        <w:pStyle w:val="Heading1"/>
        <w:jc w:val="left"/>
      </w:pPr>
      <w:r>
        <w:rPr>
          <w:rFonts w:ascii="Times New Roman" w:hAnsi="Times New Roman"/>
          <w:b/>
          <w:sz w:val="28"/>
        </w:rPr>
        <w:t>Sonuç</w:t>
      </w:r>
    </w:p>
    <w:p>
      <w:pPr>
        <w:pStyle w:val="FirstParagraph"/>
        <w:jc w:val="both"/>
      </w:pPr>
      <w:r>
        <w:rPr>
          <w:rFonts w:ascii="Times New Roman" w:hAnsi="Times New Roman"/>
          <w:sz w:val="24"/>
        </w:rPr>
        <w:t>Bu çalışmada, LEO uydu-zemin haberleşmesinde yayılım gecikmesi ile kanal tutarlılık süresi arasındaki uçurumu yavaş öznitelik çıkarımı ve AR kanal tahmini üzerinden ele alan bir hibrit güvenlik mimarisi ortaya konmuştur. Mimari; Cascade uzlaştırma, HMAC tabanlı anahtar evrimi ve ROC tabanlı Eve analizini tek bir protokolde toplamaktadır. Dinamik Loo geçiş benzetimlerinde 20 dB SNR üzerinde ortalama %1’in altında KDR, 0.018 bpcu anahtar üretim hızı ve %98’i aşan NIST geçme oranı elde edilmiştir. Öte yandan ideal karşılıklılık ve örnekleme hızı varsayımları nedeniyle bu sonuçların gerçek LEO donanımlarında tekrarlanması hâlâ gereklidir.</w:t>
      </w:r>
    </w:p>
    <w:p>
      <w:pPr>
        <w:pStyle w:val="BodyText"/>
        <w:jc w:val="both"/>
      </w:pPr>
      <w:r>
        <w:rPr>
          <w:rFonts w:ascii="Times New Roman" w:hAnsi="Times New Roman"/>
          <w:sz w:val="24"/>
        </w:rPr>
        <w:t>İleriye dönük olarak CRYSTALS-Kyber tabanlı kuantum sonrası anahtar kapsülleme entegrasyonu, derin öğrenme ile kanal tahmini, çok kullanıcılı ve mega-konstelasyon senaryolarına ölçekleme, aktif saldırgan modelleri (pilot spoofing, man-in-the-middle) ve gerçek uydu verisine dayalı doğrulama çalışmaları gündemdedir.</w:t>
      </w:r>
    </w:p>
    <w:bookmarkEnd w:id="82"/>
    <w:bookmarkStart w:id="118" w:name="teşekkür"/>
    <w:p>
      <w:pPr>
        <w:pStyle w:val="Heading1"/>
        <w:jc w:val="left"/>
      </w:pPr>
      <w:r>
        <w:rPr>
          <w:rFonts w:ascii="Times New Roman" w:hAnsi="Times New Roman"/>
          <w:b/>
          <w:sz w:val="28"/>
        </w:rPr>
        <w:t>Teşekkür</w:t>
      </w:r>
    </w:p>
    <w:p>
      <w:pPr>
        <w:pStyle w:val="FirstParagraph"/>
        <w:jc w:val="both"/>
      </w:pPr>
      <w:r>
        <w:rPr>
          <w:rFonts w:ascii="Times New Roman" w:hAnsi="Times New Roman"/>
          <w:sz w:val="24"/>
        </w:rPr>
        <w:t>Bu çalışma herhangi bir dış fon desteği almaksızın, yazarların kişisel araştırma çabasıyla gerçekleştirilmiştir. Benzetim kodları ve üretilen veri setleri tekrarlanabilirlik amacıyla</w:t>
      </w:r>
      <w:r>
        <w:rPr>
          <w:rFonts w:ascii="Times New Roman" w:hAnsi="Times New Roman"/>
          <w:sz w:val="24"/>
        </w:rPr>
        <w:t xml:space="preserve"> </w:t>
      </w:r>
      <w:hyperlink r:id="rId83">
        <w:r>
          <w:rPr>
            <w:rStyle w:val="Hyperlink"/>
          </w:rPr>
          <w:t xml:space="preserve">https://github.com/onderozturk/leo-pkg-hybrid</w:t>
        </w:r>
      </w:hyperlink>
      <w:r>
        <w:rPr>
          <w:rFonts w:ascii="Times New Roman" w:hAnsi="Times New Roman"/>
          <w:sz w:val="24"/>
        </w:rPr>
        <w:t xml:space="preserve"> </w:t>
      </w:r>
      <w:r>
        <w:rPr>
          <w:rFonts w:ascii="Times New Roman" w:hAnsi="Times New Roman"/>
          <w:sz w:val="24"/>
        </w:rPr>
        <w:t>adresinde açık kaynak olarak paylaşılmıştır.</w:t>
      </w:r>
    </w:p>
    <w:p>
      <w:pPr>
        <w:pStyle w:val="BodyText"/>
        <w:jc w:val="both"/>
      </w:pPr>
      <w:r>
        <w:rPr>
          <w:rFonts w:ascii="Times New Roman" w:hAnsi="Times New Roman"/>
          <w:sz w:val="24"/>
        </w:rPr>
        <w:t>30</w:t>
      </w:r>
    </w:p>
    <w:p>
      <w:pPr>
        <w:pStyle w:val="BodyText"/>
        <w:jc w:val="both"/>
      </w:pPr>
      <w:r>
        <w:rPr>
          <w:rFonts w:ascii="Times New Roman" w:hAnsi="Times New Roman"/>
          <w:sz w:val="24"/>
        </w:rPr>
        <w:t>A. D. Wyner,</w:t>
      </w:r>
      <w:r>
        <w:rPr>
          <w:rFonts w:ascii="Times New Roman" w:hAnsi="Times New Roman"/>
          <w:sz w:val="24"/>
        </w:rPr>
        <w:t xml:space="preserve"> </w:t>
      </w:r>
      <w:r>
        <w:rPr>
          <w:rFonts w:ascii="Times New Roman" w:hAnsi="Times New Roman"/>
          <w:sz w:val="24"/>
        </w:rPr>
        <w:t>“The wire-tap channel,”</w:t>
      </w:r>
      <w:r>
        <w:rPr>
          <w:rFonts w:ascii="Times New Roman" w:hAnsi="Times New Roman"/>
          <w:sz w:val="24"/>
        </w:rPr>
        <w:t xml:space="preserve"> </w:t>
      </w:r>
      <w:r>
        <w:rPr>
          <w:rFonts w:ascii="Times New Roman" w:hAnsi="Times New Roman"/>
          <w:sz w:val="24"/>
        </w:rPr>
        <w:t>Bell Syst. Tech. J., vol. 54, no. 8, pp. 1355–1387, 1975.</w:t>
      </w:r>
      <w:r>
        <w:rPr>
          <w:rFonts w:ascii="Times New Roman" w:hAnsi="Times New Roman"/>
          <w:sz w:val="24"/>
        </w:rPr>
        <w:t xml:space="preserve"> </w:t>
      </w:r>
      <w:hyperlink r:id="rId84">
        <w:r>
          <w:rPr>
            <w:rStyle w:val="Hyperlink"/>
          </w:rPr>
          <w:t xml:space="preserve">https://doi.org/10.1002/j.1538-7305.1975.tb02040.x</w:t>
        </w:r>
      </w:hyperlink>
    </w:p>
    <w:p>
      <w:pPr>
        <w:pStyle w:val="BodyText"/>
        <w:jc w:val="both"/>
      </w:pPr>
      <w:r>
        <w:rPr>
          <w:rFonts w:ascii="Times New Roman" w:hAnsi="Times New Roman"/>
          <w:sz w:val="24"/>
        </w:rPr>
        <w:t>U. M. Maurer,</w:t>
      </w:r>
      <w:r>
        <w:rPr>
          <w:rFonts w:ascii="Times New Roman" w:hAnsi="Times New Roman"/>
          <w:sz w:val="24"/>
        </w:rPr>
        <w:t xml:space="preserve"> </w:t>
      </w:r>
      <w:r>
        <w:rPr>
          <w:rFonts w:ascii="Times New Roman" w:hAnsi="Times New Roman"/>
          <w:sz w:val="24"/>
        </w:rPr>
        <w:t>“Secret key agreement by public discussion from common information,”</w:t>
      </w:r>
      <w:r>
        <w:rPr>
          <w:rFonts w:ascii="Times New Roman" w:hAnsi="Times New Roman"/>
          <w:sz w:val="24"/>
        </w:rPr>
        <w:t xml:space="preserve"> </w:t>
      </w:r>
      <w:r>
        <w:rPr>
          <w:rFonts w:ascii="Times New Roman" w:hAnsi="Times New Roman"/>
          <w:sz w:val="24"/>
        </w:rPr>
        <w:t>IEEE Trans. Inf. Theory, vol. 39, no. 3, pp. 733–742, 1993.</w:t>
      </w:r>
      <w:r>
        <w:rPr>
          <w:rFonts w:ascii="Times New Roman" w:hAnsi="Times New Roman"/>
          <w:sz w:val="24"/>
        </w:rPr>
        <w:t xml:space="preserve"> </w:t>
      </w:r>
      <w:hyperlink r:id="rId85">
        <w:r>
          <w:rPr>
            <w:rStyle w:val="Hyperlink"/>
          </w:rPr>
          <w:t xml:space="preserve">https://doi.org/10.1109/18.256484</w:t>
        </w:r>
      </w:hyperlink>
    </w:p>
    <w:p>
      <w:pPr>
        <w:pStyle w:val="BodyText"/>
        <w:jc w:val="both"/>
      </w:pPr>
      <w:r>
        <w:rPr>
          <w:rFonts w:ascii="Times New Roman" w:hAnsi="Times New Roman"/>
          <w:sz w:val="24"/>
        </w:rPr>
        <w:t>S. Mathur, W. Trappe, N. Mandayam, C. Ye, and A. Reznik,</w:t>
      </w:r>
      <w:r>
        <w:rPr>
          <w:rFonts w:ascii="Times New Roman" w:hAnsi="Times New Roman"/>
          <w:sz w:val="24"/>
        </w:rPr>
        <w:t xml:space="preserve"> </w:t>
      </w:r>
      <w:r>
        <w:rPr>
          <w:rFonts w:ascii="Times New Roman" w:hAnsi="Times New Roman"/>
          <w:sz w:val="24"/>
        </w:rPr>
        <w:t>“Radio-telepathy: extracting a secret key from an unauthenticated wireless channel,”</w:t>
      </w:r>
      <w:r>
        <w:rPr>
          <w:rFonts w:ascii="Times New Roman" w:hAnsi="Times New Roman"/>
          <w:sz w:val="24"/>
        </w:rPr>
        <w:t xml:space="preserve"> </w:t>
      </w:r>
      <w:r>
        <w:rPr>
          <w:rFonts w:ascii="Times New Roman" w:hAnsi="Times New Roman"/>
          <w:sz w:val="24"/>
        </w:rPr>
        <w:t>in Proc. ACM MobiCom, 2008, pp. 128–139.</w:t>
      </w:r>
      <w:r>
        <w:rPr>
          <w:rFonts w:ascii="Times New Roman" w:hAnsi="Times New Roman"/>
          <w:sz w:val="24"/>
        </w:rPr>
        <w:t xml:space="preserve"> </w:t>
      </w:r>
      <w:hyperlink r:id="rId86">
        <w:r>
          <w:rPr>
            <w:rStyle w:val="Hyperlink"/>
          </w:rPr>
          <w:t xml:space="preserve">https://doi.org/10.1145/1409944.1409960</w:t>
        </w:r>
      </w:hyperlink>
    </w:p>
    <w:p>
      <w:pPr>
        <w:pStyle w:val="BodyText"/>
        <w:jc w:val="both"/>
      </w:pPr>
      <w:r>
        <w:rPr>
          <w:rFonts w:ascii="Times New Roman" w:hAnsi="Times New Roman"/>
          <w:sz w:val="24"/>
        </w:rPr>
        <w:t>C. Ye, A. Reznik, Y. Shah, W. Trappe, and N. Mandayam,</w:t>
      </w:r>
      <w:r>
        <w:rPr>
          <w:rFonts w:ascii="Times New Roman" w:hAnsi="Times New Roman"/>
          <w:sz w:val="24"/>
        </w:rPr>
        <w:t xml:space="preserve"> </w:t>
      </w:r>
      <w:r>
        <w:rPr>
          <w:rFonts w:ascii="Times New Roman" w:hAnsi="Times New Roman"/>
          <w:sz w:val="24"/>
        </w:rPr>
        <w:t>“Information-theoretically secret key generation for fading wireless channels,”</w:t>
      </w:r>
      <w:r>
        <w:rPr>
          <w:rFonts w:ascii="Times New Roman" w:hAnsi="Times New Roman"/>
          <w:sz w:val="24"/>
        </w:rPr>
        <w:t xml:space="preserve"> </w:t>
      </w:r>
      <w:r>
        <w:rPr>
          <w:rFonts w:ascii="Times New Roman" w:hAnsi="Times New Roman"/>
          <w:sz w:val="24"/>
        </w:rPr>
        <w:t>IEEE Trans. Inf. Forensics Security, vol. 5, no. 2, pp. 240–254, 2010.</w:t>
      </w:r>
      <w:r>
        <w:rPr>
          <w:rFonts w:ascii="Times New Roman" w:hAnsi="Times New Roman"/>
          <w:sz w:val="24"/>
        </w:rPr>
        <w:t xml:space="preserve"> </w:t>
      </w:r>
      <w:hyperlink r:id="rId87">
        <w:r>
          <w:rPr>
            <w:rStyle w:val="Hyperlink"/>
          </w:rPr>
          <w:t xml:space="preserve">https://doi.org/10.1109/tifs.2010.2043187</w:t>
        </w:r>
      </w:hyperlink>
    </w:p>
    <w:p>
      <w:pPr>
        <w:pStyle w:val="BodyText"/>
        <w:jc w:val="both"/>
      </w:pPr>
      <w:r>
        <w:rPr>
          <w:rFonts w:ascii="Times New Roman" w:hAnsi="Times New Roman"/>
          <w:sz w:val="24"/>
        </w:rPr>
        <w:t>M. Bloch and J. Barros, Physical-Layer Security: From Information Theory to Security Engineering. Cambridge, U.K.: Cambridge Univ. Press, 2011.</w:t>
      </w:r>
      <w:r>
        <w:rPr>
          <w:rFonts w:ascii="Times New Roman" w:hAnsi="Times New Roman"/>
          <w:sz w:val="24"/>
        </w:rPr>
        <w:t xml:space="preserve"> </w:t>
      </w:r>
      <w:hyperlink r:id="rId88">
        <w:r>
          <w:rPr>
            <w:rStyle w:val="Hyperlink"/>
          </w:rPr>
          <w:t xml:space="preserve">https://doi.org/10.1017/cbo9780511977985</w:t>
        </w:r>
      </w:hyperlink>
    </w:p>
    <w:p>
      <w:pPr>
        <w:pStyle w:val="BodyText"/>
        <w:jc w:val="both"/>
      </w:pPr>
      <w:r>
        <w:rPr>
          <w:rFonts w:ascii="Times New Roman" w:hAnsi="Times New Roman"/>
          <w:sz w:val="24"/>
        </w:rPr>
        <w:t>G. Brassard and L. Salvail,</w:t>
      </w:r>
      <w:r>
        <w:rPr>
          <w:rFonts w:ascii="Times New Roman" w:hAnsi="Times New Roman"/>
          <w:sz w:val="24"/>
        </w:rPr>
        <w:t xml:space="preserve"> </w:t>
      </w:r>
      <w:r>
        <w:rPr>
          <w:rFonts w:ascii="Times New Roman" w:hAnsi="Times New Roman"/>
          <w:sz w:val="24"/>
        </w:rPr>
        <w:t>“Secret-key reconciliation by public discussion,”</w:t>
      </w:r>
      <w:r>
        <w:rPr>
          <w:rFonts w:ascii="Times New Roman" w:hAnsi="Times New Roman"/>
          <w:sz w:val="24"/>
        </w:rPr>
        <w:t xml:space="preserve"> </w:t>
      </w:r>
      <w:r>
        <w:rPr>
          <w:rFonts w:ascii="Times New Roman" w:hAnsi="Times New Roman"/>
          <w:sz w:val="24"/>
        </w:rPr>
        <w:t>in Proc. EUROCRYPT, 1994, pp. 410–423.</w:t>
      </w:r>
      <w:r>
        <w:rPr>
          <w:rFonts w:ascii="Times New Roman" w:hAnsi="Times New Roman"/>
          <w:sz w:val="24"/>
        </w:rPr>
        <w:t xml:space="preserve"> </w:t>
      </w:r>
      <w:hyperlink r:id="rId89">
        <w:r>
          <w:rPr>
            <w:rStyle w:val="Hyperlink"/>
          </w:rPr>
          <w:t xml:space="preserve">https://doi.org/10.1007/3-540-48285-7_35</w:t>
        </w:r>
      </w:hyperlink>
    </w:p>
    <w:p>
      <w:pPr>
        <w:pStyle w:val="BodyText"/>
        <w:jc w:val="both"/>
      </w:pPr>
      <w:r>
        <w:rPr>
          <w:rFonts w:ascii="Times New Roman" w:hAnsi="Times New Roman"/>
          <w:sz w:val="24"/>
        </w:rPr>
        <w:t>N. Abdelsalam, S. Al-Kuwari, and A. Erbad,</w:t>
      </w:r>
      <w:r>
        <w:rPr>
          <w:rFonts w:ascii="Times New Roman" w:hAnsi="Times New Roman"/>
          <w:sz w:val="24"/>
        </w:rPr>
        <w:t xml:space="preserve"> </w:t>
      </w:r>
      <w:r>
        <w:rPr>
          <w:rFonts w:ascii="Times New Roman" w:hAnsi="Times New Roman"/>
          <w:sz w:val="24"/>
        </w:rPr>
        <w:t>“Physical layer security in satellite communication: State-of-the-art and open problems,”</w:t>
      </w:r>
      <w:r>
        <w:rPr>
          <w:rFonts w:ascii="Times New Roman" w:hAnsi="Times New Roman"/>
          <w:sz w:val="24"/>
        </w:rPr>
        <w:t xml:space="preserve"> </w:t>
      </w:r>
      <w:r>
        <w:rPr>
          <w:rFonts w:ascii="Times New Roman" w:hAnsi="Times New Roman"/>
          <w:sz w:val="24"/>
        </w:rPr>
        <w:t>IET Commun., vol. 19, no. 1, e12830, 2025.</w:t>
      </w:r>
      <w:r>
        <w:rPr>
          <w:rFonts w:ascii="Times New Roman" w:hAnsi="Times New Roman"/>
          <w:sz w:val="24"/>
        </w:rPr>
        <w:t xml:space="preserve"> </w:t>
      </w:r>
      <w:hyperlink r:id="rId90">
        <w:r>
          <w:rPr>
            <w:rStyle w:val="Hyperlink"/>
          </w:rPr>
          <w:t xml:space="preserve">https://doi.org/10.1049/cmu2.12830</w:t>
        </w:r>
      </w:hyperlink>
    </w:p>
    <w:p>
      <w:pPr>
        <w:pStyle w:val="BodyText"/>
        <w:jc w:val="both"/>
      </w:pPr>
      <w:r>
        <w:rPr>
          <w:rFonts w:ascii="Times New Roman" w:hAnsi="Times New Roman"/>
          <w:sz w:val="24"/>
        </w:rPr>
        <w:t>C. H. Bennett, G. Brassard, C. Crepeau, and U. M. Maurer,</w:t>
      </w:r>
      <w:r>
        <w:rPr>
          <w:rFonts w:ascii="Times New Roman" w:hAnsi="Times New Roman"/>
          <w:sz w:val="24"/>
        </w:rPr>
        <w:t xml:space="preserve"> </w:t>
      </w:r>
      <w:r>
        <w:rPr>
          <w:rFonts w:ascii="Times New Roman" w:hAnsi="Times New Roman"/>
          <w:sz w:val="24"/>
        </w:rPr>
        <w:t>“Generalized privacy amplification,”</w:t>
      </w:r>
      <w:r>
        <w:rPr>
          <w:rFonts w:ascii="Times New Roman" w:hAnsi="Times New Roman"/>
          <w:sz w:val="24"/>
        </w:rPr>
        <w:t xml:space="preserve"> </w:t>
      </w:r>
      <w:r>
        <w:rPr>
          <w:rFonts w:ascii="Times New Roman" w:hAnsi="Times New Roman"/>
          <w:sz w:val="24"/>
        </w:rPr>
        <w:t>IEEE Trans. Inf. Theory, vol. 41, no. 6, pp. 1915–1923, 1995.</w:t>
      </w:r>
      <w:r>
        <w:rPr>
          <w:rFonts w:ascii="Times New Roman" w:hAnsi="Times New Roman"/>
          <w:sz w:val="24"/>
        </w:rPr>
        <w:t xml:space="preserve"> </w:t>
      </w:r>
      <w:hyperlink r:id="rId91">
        <w:r>
          <w:rPr>
            <w:rStyle w:val="Hyperlink"/>
          </w:rPr>
          <w:t xml:space="preserve">https://doi.org/10.1109/18.476316</w:t>
        </w:r>
      </w:hyperlink>
    </w:p>
    <w:p>
      <w:pPr>
        <w:pStyle w:val="BodyText"/>
        <w:jc w:val="both"/>
      </w:pPr>
      <w:r>
        <w:rPr>
          <w:rFonts w:ascii="Times New Roman" w:hAnsi="Times New Roman"/>
          <w:sz w:val="24"/>
        </w:rPr>
        <w:t>S. Chan, S. Kim, H. W. Kim, B.-J. Ku, and D.-S. Oh,</w:t>
      </w:r>
      <w:r>
        <w:rPr>
          <w:rFonts w:ascii="Times New Roman" w:hAnsi="Times New Roman"/>
          <w:sz w:val="24"/>
        </w:rPr>
        <w:t xml:space="preserve"> </w:t>
      </w:r>
      <w:r>
        <w:rPr>
          <w:rFonts w:ascii="Times New Roman" w:hAnsi="Times New Roman"/>
          <w:sz w:val="24"/>
        </w:rPr>
        <w:t>“Energy-efficient physical layer security schemes for low Earth orbit satellite systems,”</w:t>
      </w:r>
      <w:r>
        <w:rPr>
          <w:rFonts w:ascii="Times New Roman" w:hAnsi="Times New Roman"/>
          <w:sz w:val="24"/>
        </w:rPr>
        <w:t xml:space="preserve"> </w:t>
      </w:r>
      <w:r>
        <w:rPr>
          <w:rFonts w:ascii="Times New Roman" w:hAnsi="Times New Roman"/>
          <w:sz w:val="24"/>
        </w:rPr>
        <w:t>Int. J. Satellite Commun. Netw., vol. 42, no. 5, pp. 374–396, 2024.</w:t>
      </w:r>
      <w:r>
        <w:rPr>
          <w:rFonts w:ascii="Times New Roman" w:hAnsi="Times New Roman"/>
          <w:sz w:val="24"/>
        </w:rPr>
        <w:t xml:space="preserve"> </w:t>
      </w:r>
      <w:hyperlink r:id="rId92">
        <w:r>
          <w:rPr>
            <w:rStyle w:val="Hyperlink"/>
          </w:rPr>
          <w:t xml:space="preserve">https://doi.org/10.1002/sat.1519</w:t>
        </w:r>
      </w:hyperlink>
    </w:p>
    <w:p>
      <w:pPr>
        <w:pStyle w:val="BodyText"/>
        <w:jc w:val="both"/>
      </w:pPr>
      <w:r>
        <w:rPr>
          <w:rFonts w:ascii="Times New Roman" w:hAnsi="Times New Roman"/>
          <w:sz w:val="24"/>
        </w:rPr>
        <w:t>Q. Xiao, J. Zhao, S. Feng, G. Li, and A. Hu,</w:t>
      </w:r>
      <w:r>
        <w:rPr>
          <w:rFonts w:ascii="Times New Roman" w:hAnsi="Times New Roman"/>
          <w:sz w:val="24"/>
        </w:rPr>
        <w:t xml:space="preserve"> </w:t>
      </w:r>
      <w:r>
        <w:rPr>
          <w:rFonts w:ascii="Times New Roman" w:hAnsi="Times New Roman"/>
          <w:sz w:val="24"/>
        </w:rPr>
        <w:t>“Securing NextG networks with physical-layer key generation: A survey,”</w:t>
      </w:r>
      <w:r>
        <w:rPr>
          <w:rFonts w:ascii="Times New Roman" w:hAnsi="Times New Roman"/>
          <w:sz w:val="24"/>
        </w:rPr>
        <w:t xml:space="preserve"> </w:t>
      </w:r>
      <w:r>
        <w:rPr>
          <w:rFonts w:ascii="Times New Roman" w:hAnsi="Times New Roman"/>
          <w:sz w:val="24"/>
        </w:rPr>
        <w:t>Security and Safety, vol. 3, Art. 2023021, 2024.</w:t>
      </w:r>
      <w:r>
        <w:rPr>
          <w:rFonts w:ascii="Times New Roman" w:hAnsi="Times New Roman"/>
          <w:sz w:val="24"/>
        </w:rPr>
        <w:t xml:space="preserve"> </w:t>
      </w:r>
      <w:hyperlink r:id="rId93">
        <w:r>
          <w:rPr>
            <w:rStyle w:val="Hyperlink"/>
          </w:rPr>
          <w:t xml:space="preserve">https://doi.org/10.1051/sands/2023021</w:t>
        </w:r>
      </w:hyperlink>
    </w:p>
    <w:p>
      <w:pPr>
        <w:pStyle w:val="BodyText"/>
        <w:jc w:val="both"/>
      </w:pPr>
      <w:r>
        <w:rPr>
          <w:rFonts w:ascii="Times New Roman" w:hAnsi="Times New Roman"/>
          <w:sz w:val="24"/>
        </w:rPr>
        <w:t>E. O. Torshizi and W. Henkel,</w:t>
      </w:r>
      <w:r>
        <w:rPr>
          <w:rFonts w:ascii="Times New Roman" w:hAnsi="Times New Roman"/>
          <w:sz w:val="24"/>
        </w:rPr>
        <w:t xml:space="preserve"> </w:t>
      </w:r>
      <w:r>
        <w:rPr>
          <w:rFonts w:ascii="Times New Roman" w:hAnsi="Times New Roman"/>
          <w:sz w:val="24"/>
        </w:rPr>
        <w:t>“Pairwise physical layer secret key generation for FDD systems,”</w:t>
      </w:r>
      <w:r>
        <w:rPr>
          <w:rFonts w:ascii="Times New Roman" w:hAnsi="Times New Roman"/>
          <w:sz w:val="24"/>
        </w:rPr>
        <w:t xml:space="preserve"> </w:t>
      </w:r>
      <w:r>
        <w:rPr>
          <w:rFonts w:ascii="Times New Roman" w:hAnsi="Times New Roman"/>
          <w:sz w:val="24"/>
        </w:rPr>
        <w:t>IEEE Trans. Inf. Forensics Security, vol. 19, pp. 9518–9533, 2024.</w:t>
      </w:r>
      <w:r>
        <w:rPr>
          <w:rFonts w:ascii="Times New Roman" w:hAnsi="Times New Roman"/>
          <w:sz w:val="24"/>
        </w:rPr>
        <w:t xml:space="preserve"> </w:t>
      </w:r>
      <w:hyperlink r:id="rId94">
        <w:r>
          <w:rPr>
            <w:rStyle w:val="Hyperlink"/>
          </w:rPr>
          <w:t xml:space="preserve">https://doi.org/10.1109/TIFS.2024.3468170</w:t>
        </w:r>
      </w:hyperlink>
    </w:p>
    <w:p>
      <w:pPr>
        <w:pStyle w:val="BodyText"/>
        <w:jc w:val="both"/>
      </w:pPr>
      <w:r>
        <w:rPr>
          <w:rFonts w:ascii="Times New Roman" w:hAnsi="Times New Roman"/>
          <w:sz w:val="24"/>
        </w:rPr>
        <w:t>O. A. Topal, G. K. Kurt, and H. Yanikomeroglu,</w:t>
      </w:r>
      <w:r>
        <w:rPr>
          <w:rFonts w:ascii="Times New Roman" w:hAnsi="Times New Roman"/>
          <w:sz w:val="24"/>
        </w:rPr>
        <w:t xml:space="preserve"> </w:t>
      </w:r>
      <w:r>
        <w:rPr>
          <w:rFonts w:ascii="Times New Roman" w:hAnsi="Times New Roman"/>
          <w:sz w:val="24"/>
        </w:rPr>
        <w:t>“Securing the inter-spacecraft links: Physical layer key generation from Doppler frequency shift,”</w:t>
      </w:r>
      <w:r>
        <w:rPr>
          <w:rFonts w:ascii="Times New Roman" w:hAnsi="Times New Roman"/>
          <w:sz w:val="24"/>
        </w:rPr>
        <w:t xml:space="preserve"> </w:t>
      </w:r>
      <w:r>
        <w:rPr>
          <w:rFonts w:ascii="Times New Roman" w:hAnsi="Times New Roman"/>
          <w:sz w:val="24"/>
        </w:rPr>
        <w:t>IEEE J. Radio Freq. Identif., vol. 5, no. 3, pp. 232–243, 2021.</w:t>
      </w:r>
      <w:r>
        <w:rPr>
          <w:rFonts w:ascii="Times New Roman" w:hAnsi="Times New Roman"/>
          <w:sz w:val="24"/>
        </w:rPr>
        <w:t xml:space="preserve"> </w:t>
      </w:r>
      <w:hyperlink r:id="rId95">
        <w:r>
          <w:rPr>
            <w:rStyle w:val="Hyperlink"/>
          </w:rPr>
          <w:t xml:space="preserve">https://doi.org/10.1109/JRFID.2021.3077756</w:t>
        </w:r>
      </w:hyperlink>
    </w:p>
    <w:p>
      <w:pPr>
        <w:pStyle w:val="BodyText"/>
        <w:jc w:val="both"/>
      </w:pPr>
      <w:r>
        <w:rPr>
          <w:rFonts w:ascii="Times New Roman" w:hAnsi="Times New Roman"/>
          <w:sz w:val="24"/>
        </w:rPr>
        <w:t>Y. Liu, H.-H. Chen, and L. Wang,</w:t>
      </w:r>
      <w:r>
        <w:rPr>
          <w:rFonts w:ascii="Times New Roman" w:hAnsi="Times New Roman"/>
          <w:sz w:val="24"/>
        </w:rPr>
        <w:t xml:space="preserve"> </w:t>
      </w:r>
      <w:r>
        <w:rPr>
          <w:rFonts w:ascii="Times New Roman" w:hAnsi="Times New Roman"/>
          <w:sz w:val="24"/>
        </w:rPr>
        <w:t>“Physical layer security for next generation wireless networks: Theories, technologies, and challenges,”</w:t>
      </w:r>
      <w:r>
        <w:rPr>
          <w:rFonts w:ascii="Times New Roman" w:hAnsi="Times New Roman"/>
          <w:sz w:val="24"/>
        </w:rPr>
        <w:t xml:space="preserve"> </w:t>
      </w:r>
      <w:r>
        <w:rPr>
          <w:rFonts w:ascii="Times New Roman" w:hAnsi="Times New Roman"/>
          <w:sz w:val="24"/>
        </w:rPr>
        <w:t>IEEE Commun. Surv. Tutor., vol. 19, no. 1, pp. 347–376, 2017.</w:t>
      </w:r>
      <w:r>
        <w:rPr>
          <w:rFonts w:ascii="Times New Roman" w:hAnsi="Times New Roman"/>
          <w:sz w:val="24"/>
        </w:rPr>
        <w:t xml:space="preserve"> </w:t>
      </w:r>
      <w:hyperlink r:id="rId96">
        <w:r>
          <w:rPr>
            <w:rStyle w:val="Hyperlink"/>
          </w:rPr>
          <w:t xml:space="preserve">https://doi.org/10.1109/COMST.2016.2598968</w:t>
        </w:r>
      </w:hyperlink>
    </w:p>
    <w:p>
      <w:pPr>
        <w:pStyle w:val="BodyText"/>
        <w:jc w:val="both"/>
      </w:pPr>
      <w:r>
        <w:rPr>
          <w:rFonts w:ascii="Times New Roman" w:hAnsi="Times New Roman"/>
          <w:sz w:val="24"/>
        </w:rPr>
        <w:t>L. Yang, Y. Gao, J. Zhang, S. Camtepe, and D. Jayalath,</w:t>
      </w:r>
      <w:r>
        <w:rPr>
          <w:rFonts w:ascii="Times New Roman" w:hAnsi="Times New Roman"/>
          <w:sz w:val="24"/>
        </w:rPr>
        <w:t xml:space="preserve"> </w:t>
      </w:r>
      <w:r>
        <w:rPr>
          <w:rFonts w:ascii="Times New Roman" w:hAnsi="Times New Roman"/>
          <w:sz w:val="24"/>
        </w:rPr>
        <w:t>“A channel perceiving attack and the countermeasure on long-range IoT physical layer key generation,”</w:t>
      </w:r>
      <w:r>
        <w:rPr>
          <w:rFonts w:ascii="Times New Roman" w:hAnsi="Times New Roman"/>
          <w:sz w:val="24"/>
        </w:rPr>
        <w:t xml:space="preserve"> </w:t>
      </w:r>
      <w:r>
        <w:rPr>
          <w:rFonts w:ascii="Times New Roman" w:hAnsi="Times New Roman"/>
          <w:sz w:val="24"/>
        </w:rPr>
        <w:t>Comput. Commun., vol. 191, pp. 108–118, 2022.</w:t>
      </w:r>
      <w:r>
        <w:rPr>
          <w:rFonts w:ascii="Times New Roman" w:hAnsi="Times New Roman"/>
          <w:sz w:val="24"/>
        </w:rPr>
        <w:t xml:space="preserve"> </w:t>
      </w:r>
      <w:hyperlink r:id="rId97">
        <w:r>
          <w:rPr>
            <w:rStyle w:val="Hyperlink"/>
          </w:rPr>
          <w:t xml:space="preserve">https://doi.org/10.1016/j.comcom.2022.04.027</w:t>
        </w:r>
      </w:hyperlink>
    </w:p>
    <w:p>
      <w:pPr>
        <w:pStyle w:val="BodyText"/>
        <w:jc w:val="both"/>
      </w:pPr>
      <w:r>
        <w:rPr>
          <w:rFonts w:ascii="Times New Roman" w:hAnsi="Times New Roman"/>
          <w:sz w:val="24"/>
        </w:rPr>
        <w:t>3GPP,</w:t>
      </w:r>
      <w:r>
        <w:rPr>
          <w:rFonts w:ascii="Times New Roman" w:hAnsi="Times New Roman"/>
          <w:sz w:val="24"/>
        </w:rPr>
        <w:t xml:space="preserve"> </w:t>
      </w:r>
      <w:r>
        <w:rPr>
          <w:rFonts w:ascii="Times New Roman" w:hAnsi="Times New Roman"/>
          <w:sz w:val="24"/>
        </w:rPr>
        <w:t>“Study on security aspects of satellite access,”</w:t>
      </w:r>
      <w:r>
        <w:rPr>
          <w:rFonts w:ascii="Times New Roman" w:hAnsi="Times New Roman"/>
          <w:sz w:val="24"/>
        </w:rPr>
        <w:t xml:space="preserve"> </w:t>
      </w:r>
      <w:r>
        <w:rPr>
          <w:rFonts w:ascii="Times New Roman" w:hAnsi="Times New Roman"/>
          <w:sz w:val="24"/>
        </w:rPr>
        <w:t>3GPP TR 33.700-28, V0.1.0, Release 18, Dec. 2023. [Çevrimiçi]. Erişim:</w:t>
      </w:r>
      <w:r>
        <w:rPr>
          <w:rFonts w:ascii="Times New Roman" w:hAnsi="Times New Roman"/>
          <w:sz w:val="24"/>
        </w:rPr>
        <w:t xml:space="preserve"> </w:t>
      </w:r>
      <w:hyperlink r:id="rId98">
        <w:r>
          <w:rPr>
            <w:rStyle w:val="Hyperlink"/>
          </w:rPr>
          <w:t xml:space="preserve">https://www.3gpp.org/dynareport/33700-28.htm</w:t>
        </w:r>
      </w:hyperlink>
      <w:r>
        <w:rPr>
          <w:rFonts w:ascii="Times New Roman" w:hAnsi="Times New Roman"/>
          <w:sz w:val="24"/>
        </w:rPr>
        <w:t xml:space="preserve"> </w:t>
      </w:r>
      <w:r>
        <w:rPr>
          <w:rFonts w:ascii="Times New Roman" w:hAnsi="Times New Roman"/>
          <w:sz w:val="24"/>
        </w:rPr>
        <w:t>(Erişim tarihi: 15 Mar. 2025).</w:t>
      </w:r>
    </w:p>
    <w:p>
      <w:pPr>
        <w:pStyle w:val="BodyText"/>
        <w:jc w:val="both"/>
      </w:pPr>
      <w:r>
        <w:rPr>
          <w:rFonts w:ascii="Times New Roman" w:hAnsi="Times New Roman"/>
          <w:sz w:val="24"/>
        </w:rPr>
        <w:t>Türkiye Uzay Ajansı,</w:t>
      </w:r>
      <w:r>
        <w:rPr>
          <w:rFonts w:ascii="Times New Roman" w:hAnsi="Times New Roman"/>
          <w:sz w:val="24"/>
        </w:rPr>
        <w:t xml:space="preserve"> </w:t>
      </w:r>
      <w:r>
        <w:rPr>
          <w:rFonts w:ascii="Times New Roman" w:hAnsi="Times New Roman"/>
          <w:sz w:val="24"/>
        </w:rPr>
        <w:t>“Milli Uzay Programı,”</w:t>
      </w:r>
      <w:r>
        <w:rPr>
          <w:rFonts w:ascii="Times New Roman" w:hAnsi="Times New Roman"/>
          <w:sz w:val="24"/>
        </w:rPr>
        <w:t xml:space="preserve"> </w:t>
      </w:r>
      <w:r>
        <w:rPr>
          <w:rFonts w:ascii="Times New Roman" w:hAnsi="Times New Roman"/>
          <w:sz w:val="24"/>
        </w:rPr>
        <w:t>Strateji Belgesi, Ankara, Türkiye, Şubat 2021. [Çevrimiçi]. Erişim:</w:t>
      </w:r>
      <w:r>
        <w:rPr>
          <w:rFonts w:ascii="Times New Roman" w:hAnsi="Times New Roman"/>
          <w:sz w:val="24"/>
        </w:rPr>
        <w:t xml:space="preserve"> </w:t>
      </w:r>
      <w:hyperlink r:id="rId99">
        <w:r>
          <w:rPr>
            <w:rStyle w:val="Hyperlink"/>
          </w:rPr>
          <w:t xml:space="preserve">https://cdn.tua.gov.tr/60227c3d5f551.pdf</w:t>
        </w:r>
      </w:hyperlink>
      <w:r>
        <w:rPr>
          <w:rFonts w:ascii="Times New Roman" w:hAnsi="Times New Roman"/>
          <w:sz w:val="24"/>
        </w:rPr>
        <w:t xml:space="preserve"> </w:t>
      </w:r>
      <w:r>
        <w:rPr>
          <w:rFonts w:ascii="Times New Roman" w:hAnsi="Times New Roman"/>
          <w:sz w:val="24"/>
        </w:rPr>
        <w:t>(Erişim tarihi: 15 Mar. 2025).</w:t>
      </w:r>
    </w:p>
    <w:p>
      <w:pPr>
        <w:pStyle w:val="BodyText"/>
        <w:jc w:val="both"/>
      </w:pPr>
      <w:r>
        <w:rPr>
          <w:rFonts w:ascii="Times New Roman" w:hAnsi="Times New Roman"/>
          <w:sz w:val="24"/>
        </w:rPr>
        <w:t>National Institute of Standards and Technology,</w:t>
      </w:r>
      <w:r>
        <w:rPr>
          <w:rFonts w:ascii="Times New Roman" w:hAnsi="Times New Roman"/>
          <w:sz w:val="24"/>
        </w:rPr>
        <w:t xml:space="preserve"> </w:t>
      </w:r>
      <w:r>
        <w:rPr>
          <w:rFonts w:ascii="Times New Roman" w:hAnsi="Times New Roman"/>
          <w:sz w:val="24"/>
        </w:rPr>
        <w:t>“Module-lattice-based key-encapsulation mechanism standard (FIPS 203),”</w:t>
      </w:r>
      <w:r>
        <w:rPr>
          <w:rFonts w:ascii="Times New Roman" w:hAnsi="Times New Roman"/>
          <w:sz w:val="24"/>
        </w:rPr>
        <w:t xml:space="preserve"> </w:t>
      </w:r>
      <w:r>
        <w:rPr>
          <w:rFonts w:ascii="Times New Roman" w:hAnsi="Times New Roman"/>
          <w:sz w:val="24"/>
        </w:rPr>
        <w:t>2024.</w:t>
      </w:r>
      <w:r>
        <w:rPr>
          <w:rFonts w:ascii="Times New Roman" w:hAnsi="Times New Roman"/>
          <w:sz w:val="24"/>
        </w:rPr>
        <w:t xml:space="preserve"> </w:t>
      </w:r>
      <w:hyperlink r:id="rId100">
        <w:r>
          <w:rPr>
            <w:rStyle w:val="Hyperlink"/>
          </w:rPr>
          <w:t xml:space="preserve">https://doi.org/10.6028/NIST.FIPS.203</w:t>
        </w:r>
      </w:hyperlink>
    </w:p>
    <w:p>
      <w:pPr>
        <w:pStyle w:val="BodyText"/>
        <w:jc w:val="both"/>
      </w:pPr>
      <w:r>
        <w:rPr>
          <w:rFonts w:ascii="Times New Roman" w:hAnsi="Times New Roman"/>
          <w:sz w:val="24"/>
        </w:rPr>
        <w:t>A. Rukhin et al.,</w:t>
      </w:r>
      <w:r>
        <w:rPr>
          <w:rFonts w:ascii="Times New Roman" w:hAnsi="Times New Roman"/>
          <w:sz w:val="24"/>
        </w:rPr>
        <w:t xml:space="preserve"> </w:t>
      </w:r>
      <w:r>
        <w:rPr>
          <w:rFonts w:ascii="Times New Roman" w:hAnsi="Times New Roman"/>
          <w:sz w:val="24"/>
        </w:rPr>
        <w:t>“A statistical test suite for random and pseudorandom number generators for cryptographic applications,”</w:t>
      </w:r>
      <w:r>
        <w:rPr>
          <w:rFonts w:ascii="Times New Roman" w:hAnsi="Times New Roman"/>
          <w:sz w:val="24"/>
        </w:rPr>
        <w:t xml:space="preserve"> </w:t>
      </w:r>
      <w:r>
        <w:rPr>
          <w:rFonts w:ascii="Times New Roman" w:hAnsi="Times New Roman"/>
          <w:sz w:val="24"/>
        </w:rPr>
        <w:t>NIST SP 800-22 Rev. 1a, 2010.</w:t>
      </w:r>
      <w:r>
        <w:rPr>
          <w:rFonts w:ascii="Times New Roman" w:hAnsi="Times New Roman"/>
          <w:sz w:val="24"/>
        </w:rPr>
        <w:t xml:space="preserve"> </w:t>
      </w:r>
      <w:hyperlink r:id="rId101">
        <w:r>
          <w:rPr>
            <w:rStyle w:val="Hyperlink"/>
          </w:rPr>
          <w:t xml:space="preserve">https://doi.org/10.6028/NIST.SP.800-22r1a</w:t>
        </w:r>
      </w:hyperlink>
    </w:p>
    <w:p>
      <w:pPr>
        <w:pStyle w:val="BodyText"/>
        <w:jc w:val="both"/>
      </w:pPr>
      <w:r>
        <w:rPr>
          <w:rFonts w:ascii="Times New Roman" w:hAnsi="Times New Roman"/>
          <w:sz w:val="24"/>
        </w:rPr>
        <w:t>X. Zhang, G. Li, J. Zhang, A. Hu, Z. Hou, and B. Xiao,</w:t>
      </w:r>
      <w:r>
        <w:rPr>
          <w:rFonts w:ascii="Times New Roman" w:hAnsi="Times New Roman"/>
          <w:sz w:val="24"/>
        </w:rPr>
        <w:t xml:space="preserve"> </w:t>
      </w:r>
      <w:r>
        <w:rPr>
          <w:rFonts w:ascii="Times New Roman" w:hAnsi="Times New Roman"/>
          <w:sz w:val="24"/>
        </w:rPr>
        <w:t>“Deep-learning-based physical-layer secret key generation for FDD systems,”</w:t>
      </w:r>
      <w:r>
        <w:rPr>
          <w:rFonts w:ascii="Times New Roman" w:hAnsi="Times New Roman"/>
          <w:sz w:val="24"/>
        </w:rPr>
        <w:t xml:space="preserve"> </w:t>
      </w:r>
      <w:r>
        <w:rPr>
          <w:rFonts w:ascii="Times New Roman" w:hAnsi="Times New Roman"/>
          <w:sz w:val="24"/>
        </w:rPr>
        <w:t>IEEE Internet Things J., vol. 9, no. 8, pp. 6081–6094, 2022.</w:t>
      </w:r>
      <w:r>
        <w:rPr>
          <w:rFonts w:ascii="Times New Roman" w:hAnsi="Times New Roman"/>
          <w:sz w:val="24"/>
        </w:rPr>
        <w:t xml:space="preserve"> </w:t>
      </w:r>
      <w:hyperlink r:id="rId102">
        <w:r>
          <w:rPr>
            <w:rStyle w:val="Hyperlink"/>
          </w:rPr>
          <w:t xml:space="preserve">https://doi.org/10.1109/JIOT.2021.3109272</w:t>
        </w:r>
      </w:hyperlink>
    </w:p>
    <w:p>
      <w:pPr>
        <w:pStyle w:val="BodyText"/>
        <w:jc w:val="both"/>
      </w:pPr>
      <w:r>
        <w:rPr>
          <w:rFonts w:ascii="Times New Roman" w:hAnsi="Times New Roman"/>
          <w:sz w:val="24"/>
        </w:rPr>
        <w:t>X. Zhang, G. Li, J. Zhang, L. Peng, A. Hu, and X. Wang,</w:t>
      </w:r>
      <w:r>
        <w:rPr>
          <w:rFonts w:ascii="Times New Roman" w:hAnsi="Times New Roman"/>
          <w:sz w:val="24"/>
        </w:rPr>
        <w:t xml:space="preserve"> </w:t>
      </w:r>
      <w:r>
        <w:rPr>
          <w:rFonts w:ascii="Times New Roman" w:hAnsi="Times New Roman"/>
          <w:sz w:val="24"/>
        </w:rPr>
        <w:t>“Enabling deep learning-based physical-layer secret key generation for FDD-OFDM systems in multi-environments,”</w:t>
      </w:r>
      <w:r>
        <w:rPr>
          <w:rFonts w:ascii="Times New Roman" w:hAnsi="Times New Roman"/>
          <w:sz w:val="24"/>
        </w:rPr>
        <w:t xml:space="preserve"> </w:t>
      </w:r>
      <w:r>
        <w:rPr>
          <w:rFonts w:ascii="Times New Roman" w:hAnsi="Times New Roman"/>
          <w:sz w:val="24"/>
        </w:rPr>
        <w:t>IEEE Trans. Veh. Technol., vol. 73, no. 7, pp. 10135–10149, 2024.</w:t>
      </w:r>
      <w:r>
        <w:rPr>
          <w:rFonts w:ascii="Times New Roman" w:hAnsi="Times New Roman"/>
          <w:sz w:val="24"/>
        </w:rPr>
        <w:t xml:space="preserve"> </w:t>
      </w:r>
      <w:hyperlink r:id="rId103">
        <w:r>
          <w:rPr>
            <w:rStyle w:val="Hyperlink"/>
          </w:rPr>
          <w:t xml:space="preserve">https://doi.org/10.1109/TVT.2024.3367362</w:t>
        </w:r>
      </w:hyperlink>
    </w:p>
    <w:p>
      <w:pPr>
        <w:pStyle w:val="BodyText"/>
        <w:jc w:val="both"/>
      </w:pPr>
      <w:r>
        <w:rPr>
          <w:rFonts w:ascii="Times New Roman" w:hAnsi="Times New Roman"/>
          <w:sz w:val="24"/>
        </w:rPr>
        <w:t>M. Bloch, A. Thangaraj, S. W. McLaughlin, and J.-M. Merolla,</w:t>
      </w:r>
      <w:r>
        <w:rPr>
          <w:rFonts w:ascii="Times New Roman" w:hAnsi="Times New Roman"/>
          <w:sz w:val="24"/>
        </w:rPr>
        <w:t xml:space="preserve"> </w:t>
      </w:r>
      <w:r>
        <w:rPr>
          <w:rFonts w:ascii="Times New Roman" w:hAnsi="Times New Roman"/>
          <w:sz w:val="24"/>
        </w:rPr>
        <w:t>“LDPC-based secret key agreement over the Gaussian wiretap channel,”</w:t>
      </w:r>
      <w:r>
        <w:rPr>
          <w:rFonts w:ascii="Times New Roman" w:hAnsi="Times New Roman"/>
          <w:sz w:val="24"/>
        </w:rPr>
        <w:t xml:space="preserve"> </w:t>
      </w:r>
      <w:r>
        <w:rPr>
          <w:rFonts w:ascii="Times New Roman" w:hAnsi="Times New Roman"/>
          <w:sz w:val="24"/>
        </w:rPr>
        <w:t>in Proc. IEEE ISIT, 2006, pp. 1179–1183.</w:t>
      </w:r>
      <w:r>
        <w:rPr>
          <w:rFonts w:ascii="Times New Roman" w:hAnsi="Times New Roman"/>
          <w:sz w:val="24"/>
        </w:rPr>
        <w:t xml:space="preserve"> </w:t>
      </w:r>
      <w:hyperlink r:id="rId104">
        <w:r>
          <w:rPr>
            <w:rStyle w:val="Hyperlink"/>
          </w:rPr>
          <w:t xml:space="preserve">https://doi.org/10.1109/isit.2006.261991</w:t>
        </w:r>
      </w:hyperlink>
    </w:p>
    <w:p>
      <w:pPr>
        <w:pStyle w:val="BodyText"/>
        <w:jc w:val="both"/>
      </w:pPr>
      <w:r>
        <w:rPr>
          <w:rFonts w:ascii="Times New Roman" w:hAnsi="Times New Roman"/>
          <w:sz w:val="24"/>
        </w:rPr>
        <w:t>R. A. Chou, M. R. Bloch, and E. Abbe,</w:t>
      </w:r>
      <w:r>
        <w:rPr>
          <w:rFonts w:ascii="Times New Roman" w:hAnsi="Times New Roman"/>
          <w:sz w:val="24"/>
        </w:rPr>
        <w:t xml:space="preserve"> </w:t>
      </w:r>
      <w:r>
        <w:rPr>
          <w:rFonts w:ascii="Times New Roman" w:hAnsi="Times New Roman"/>
          <w:sz w:val="24"/>
        </w:rPr>
        <w:t>“Polar coding for secret-key generation,”</w:t>
      </w:r>
      <w:r>
        <w:rPr>
          <w:rFonts w:ascii="Times New Roman" w:hAnsi="Times New Roman"/>
          <w:sz w:val="24"/>
        </w:rPr>
        <w:t xml:space="preserve"> </w:t>
      </w:r>
      <w:r>
        <w:rPr>
          <w:rFonts w:ascii="Times New Roman" w:hAnsi="Times New Roman"/>
          <w:sz w:val="24"/>
        </w:rPr>
        <w:t>IEEE Trans. Inf. Theory, vol. 61, no. 11, pp. 6213–6237, 2015.</w:t>
      </w:r>
      <w:r>
        <w:rPr>
          <w:rFonts w:ascii="Times New Roman" w:hAnsi="Times New Roman"/>
          <w:sz w:val="24"/>
        </w:rPr>
        <w:t xml:space="preserve"> </w:t>
      </w:r>
      <w:hyperlink r:id="rId105">
        <w:r>
          <w:rPr>
            <w:rStyle w:val="Hyperlink"/>
          </w:rPr>
          <w:t xml:space="preserve">https://doi.org/10.1109/tit.2015.2471179</w:t>
        </w:r>
      </w:hyperlink>
    </w:p>
    <w:p>
      <w:pPr>
        <w:pStyle w:val="BodyText"/>
        <w:jc w:val="both"/>
      </w:pPr>
      <w:r>
        <w:rPr>
          <w:rFonts w:ascii="Times New Roman" w:hAnsi="Times New Roman"/>
          <w:sz w:val="24"/>
        </w:rPr>
        <w:t>ITU-R,</w:t>
      </w:r>
      <w:r>
        <w:rPr>
          <w:rFonts w:ascii="Times New Roman" w:hAnsi="Times New Roman"/>
          <w:sz w:val="24"/>
        </w:rPr>
        <w:t xml:space="preserve"> </w:t>
      </w:r>
      <w:r>
        <w:rPr>
          <w:rFonts w:ascii="Times New Roman" w:hAnsi="Times New Roman"/>
          <w:sz w:val="24"/>
        </w:rPr>
        <w:t>“Propagation data required for the design of systems in the land mobile-satellite service,”</w:t>
      </w:r>
      <w:r>
        <w:rPr>
          <w:rFonts w:ascii="Times New Roman" w:hAnsi="Times New Roman"/>
          <w:sz w:val="24"/>
        </w:rPr>
        <w:t xml:space="preserve"> </w:t>
      </w:r>
      <w:r>
        <w:rPr>
          <w:rFonts w:ascii="Times New Roman" w:hAnsi="Times New Roman"/>
          <w:sz w:val="24"/>
        </w:rPr>
        <w:t>Rec. P.681-11, Ağustos 2019. [Çevrimiçi]. Erişim:</w:t>
      </w:r>
      <w:r>
        <w:rPr>
          <w:rFonts w:ascii="Times New Roman" w:hAnsi="Times New Roman"/>
          <w:sz w:val="24"/>
        </w:rPr>
        <w:t xml:space="preserve"> </w:t>
      </w:r>
      <w:hyperlink r:id="rId106">
        <w:r>
          <w:rPr>
            <w:rStyle w:val="Hyperlink"/>
          </w:rPr>
          <w:t xml:space="preserve">https://www.itu.int/rec/R-REC-P.681-11-201908-I/en</w:t>
        </w:r>
      </w:hyperlink>
      <w:r>
        <w:rPr>
          <w:rFonts w:ascii="Times New Roman" w:hAnsi="Times New Roman"/>
          <w:sz w:val="24"/>
        </w:rPr>
        <w:t xml:space="preserve"> </w:t>
      </w:r>
      <w:r>
        <w:rPr>
          <w:rFonts w:ascii="Times New Roman" w:hAnsi="Times New Roman"/>
          <w:sz w:val="24"/>
        </w:rPr>
        <w:t>(Erişim tarihi: 15 Mar. 2025).</w:t>
      </w:r>
    </w:p>
    <w:p>
      <w:pPr>
        <w:pStyle w:val="BodyText"/>
        <w:jc w:val="both"/>
      </w:pPr>
      <w:r>
        <w:rPr>
          <w:rFonts w:ascii="Times New Roman" w:hAnsi="Times New Roman"/>
          <w:sz w:val="24"/>
        </w:rPr>
        <w:t>ITU-R,</w:t>
      </w:r>
      <w:r>
        <w:rPr>
          <w:rFonts w:ascii="Times New Roman" w:hAnsi="Times New Roman"/>
          <w:sz w:val="24"/>
        </w:rPr>
        <w:t xml:space="preserve"> </w:t>
      </w:r>
      <w:r>
        <w:rPr>
          <w:rFonts w:ascii="Times New Roman" w:hAnsi="Times New Roman"/>
          <w:sz w:val="24"/>
        </w:rPr>
        <w:t>“Propagation data and prediction methods required for the design of Earth-space telecommunication systems,”</w:t>
      </w:r>
      <w:r>
        <w:rPr>
          <w:rFonts w:ascii="Times New Roman" w:hAnsi="Times New Roman"/>
          <w:sz w:val="24"/>
        </w:rPr>
        <w:t xml:space="preserve"> </w:t>
      </w:r>
      <w:r>
        <w:rPr>
          <w:rFonts w:ascii="Times New Roman" w:hAnsi="Times New Roman"/>
          <w:sz w:val="24"/>
        </w:rPr>
        <w:t>Rec. P.618-13, Aralık 2017. [Çevrimiçi]. Erişim:</w:t>
      </w:r>
      <w:r>
        <w:rPr>
          <w:rFonts w:ascii="Times New Roman" w:hAnsi="Times New Roman"/>
          <w:sz w:val="24"/>
        </w:rPr>
        <w:t xml:space="preserve"> </w:t>
      </w:r>
      <w:hyperlink r:id="rId107">
        <w:r>
          <w:rPr>
            <w:rStyle w:val="Hyperlink"/>
          </w:rPr>
          <w:t xml:space="preserve">https://www.itu.int/rec/R-REC-P.618-13-201712-I/en</w:t>
        </w:r>
      </w:hyperlink>
      <w:r>
        <w:rPr>
          <w:rFonts w:ascii="Times New Roman" w:hAnsi="Times New Roman"/>
          <w:sz w:val="24"/>
        </w:rPr>
        <w:t xml:space="preserve"> </w:t>
      </w:r>
      <w:r>
        <w:rPr>
          <w:rFonts w:ascii="Times New Roman" w:hAnsi="Times New Roman"/>
          <w:sz w:val="24"/>
        </w:rPr>
        <w:t>(Erişim tarihi: 15 Mar. 2025).</w:t>
      </w:r>
    </w:p>
    <w:p>
      <w:pPr>
        <w:pStyle w:val="BodyText"/>
        <w:jc w:val="both"/>
      </w:pPr>
      <w:r>
        <w:rPr>
          <w:rFonts w:ascii="Times New Roman" w:hAnsi="Times New Roman"/>
          <w:sz w:val="24"/>
        </w:rPr>
        <w:t>E. A. Jorswieck, S. Tomasin, and A. Sezgin,</w:t>
      </w:r>
      <w:r>
        <w:rPr>
          <w:rFonts w:ascii="Times New Roman" w:hAnsi="Times New Roman"/>
          <w:sz w:val="24"/>
        </w:rPr>
        <w:t xml:space="preserve"> </w:t>
      </w:r>
      <w:r>
        <w:rPr>
          <w:rFonts w:ascii="Times New Roman" w:hAnsi="Times New Roman"/>
          <w:sz w:val="24"/>
        </w:rPr>
        <w:t>“Broadcasting into the uncertainty: Authentication and confidentiality by physical-layer processing,”</w:t>
      </w:r>
      <w:r>
        <w:rPr>
          <w:rFonts w:ascii="Times New Roman" w:hAnsi="Times New Roman"/>
          <w:sz w:val="24"/>
        </w:rPr>
        <w:t xml:space="preserve"> </w:t>
      </w:r>
      <w:r>
        <w:rPr>
          <w:rFonts w:ascii="Times New Roman" w:hAnsi="Times New Roman"/>
          <w:sz w:val="24"/>
        </w:rPr>
        <w:t>Proc. IEEE, vol. 103, no. 10, pp. 1702–1724, 2015.</w:t>
      </w:r>
      <w:r>
        <w:rPr>
          <w:rFonts w:ascii="Times New Roman" w:hAnsi="Times New Roman"/>
          <w:sz w:val="24"/>
        </w:rPr>
        <w:t xml:space="preserve"> </w:t>
      </w:r>
      <w:hyperlink r:id="rId108">
        <w:r>
          <w:rPr>
            <w:rStyle w:val="Hyperlink"/>
          </w:rPr>
          <w:t xml:space="preserve">https://doi.org/10.1109/jproc.2015.2469602</w:t>
        </w:r>
      </w:hyperlink>
    </w:p>
    <w:p>
      <w:pPr>
        <w:pStyle w:val="BodyText"/>
        <w:jc w:val="both"/>
      </w:pPr>
      <w:r>
        <w:rPr>
          <w:rFonts w:ascii="Times New Roman" w:hAnsi="Times New Roman"/>
          <w:sz w:val="24"/>
        </w:rPr>
        <w:t>H. V. Poor and R. F. Schaefer,</w:t>
      </w:r>
      <w:r>
        <w:rPr>
          <w:rFonts w:ascii="Times New Roman" w:hAnsi="Times New Roman"/>
          <w:sz w:val="24"/>
        </w:rPr>
        <w:t xml:space="preserve"> </w:t>
      </w:r>
      <w:r>
        <w:rPr>
          <w:rFonts w:ascii="Times New Roman" w:hAnsi="Times New Roman"/>
          <w:sz w:val="24"/>
        </w:rPr>
        <w:t>“Wireless physical layer security,”</w:t>
      </w:r>
      <w:r>
        <w:rPr>
          <w:rFonts w:ascii="Times New Roman" w:hAnsi="Times New Roman"/>
          <w:sz w:val="24"/>
        </w:rPr>
        <w:t xml:space="preserve"> </w:t>
      </w:r>
      <w:r>
        <w:rPr>
          <w:rFonts w:ascii="Times New Roman" w:hAnsi="Times New Roman"/>
          <w:sz w:val="24"/>
        </w:rPr>
        <w:t>Proc. Natl. Acad. Sci. USA, vol. 114, no. 1, pp. 19–26, 2017.</w:t>
      </w:r>
      <w:r>
        <w:rPr>
          <w:rFonts w:ascii="Times New Roman" w:hAnsi="Times New Roman"/>
          <w:sz w:val="24"/>
        </w:rPr>
        <w:t xml:space="preserve"> </w:t>
      </w:r>
      <w:hyperlink r:id="rId109">
        <w:r>
          <w:rPr>
            <w:rStyle w:val="Hyperlink"/>
          </w:rPr>
          <w:t xml:space="preserve">https://doi.org/10.1073/pnas.1618130114</w:t>
        </w:r>
      </w:hyperlink>
    </w:p>
    <w:p>
      <w:pPr>
        <w:pStyle w:val="BodyText"/>
        <w:jc w:val="both"/>
      </w:pPr>
      <w:r>
        <w:rPr>
          <w:rFonts w:ascii="Times New Roman" w:hAnsi="Times New Roman"/>
          <w:sz w:val="24"/>
        </w:rPr>
        <w:t>A. Mukherjee, S. A. A. Fakoorian, J. Huang, and A. L. Swindlehurst,</w:t>
      </w:r>
      <w:r>
        <w:rPr>
          <w:rFonts w:ascii="Times New Roman" w:hAnsi="Times New Roman"/>
          <w:sz w:val="24"/>
        </w:rPr>
        <w:t xml:space="preserve"> </w:t>
      </w:r>
      <w:r>
        <w:rPr>
          <w:rFonts w:ascii="Times New Roman" w:hAnsi="Times New Roman"/>
          <w:sz w:val="24"/>
        </w:rPr>
        <w:t>“Principles of physical layer security in multiuser wireless networks,”</w:t>
      </w:r>
      <w:r>
        <w:rPr>
          <w:rFonts w:ascii="Times New Roman" w:hAnsi="Times New Roman"/>
          <w:sz w:val="24"/>
        </w:rPr>
        <w:t xml:space="preserve"> </w:t>
      </w:r>
      <w:r>
        <w:rPr>
          <w:rFonts w:ascii="Times New Roman" w:hAnsi="Times New Roman"/>
          <w:sz w:val="24"/>
        </w:rPr>
        <w:t>IEEE Commun. Surv. Tutor., vol. 16, no. 3, pp. 1550–1573, 2014.</w:t>
      </w:r>
      <w:r>
        <w:rPr>
          <w:rFonts w:ascii="Times New Roman" w:hAnsi="Times New Roman"/>
          <w:sz w:val="24"/>
        </w:rPr>
        <w:t xml:space="preserve"> </w:t>
      </w:r>
      <w:hyperlink r:id="rId110">
        <w:r>
          <w:rPr>
            <w:rStyle w:val="Hyperlink"/>
          </w:rPr>
          <w:t xml:space="preserve">https://doi.org/10.1109/surv.2014.012314.00178</w:t>
        </w:r>
      </w:hyperlink>
    </w:p>
    <w:p>
      <w:pPr>
        <w:pStyle w:val="BodyText"/>
        <w:jc w:val="both"/>
      </w:pPr>
      <w:r>
        <w:rPr>
          <w:rFonts w:ascii="Times New Roman" w:hAnsi="Times New Roman"/>
          <w:sz w:val="24"/>
        </w:rPr>
        <w:t>K. Ren, H. Su, and Q. Wang,</w:t>
      </w:r>
      <w:r>
        <w:rPr>
          <w:rFonts w:ascii="Times New Roman" w:hAnsi="Times New Roman"/>
          <w:sz w:val="24"/>
        </w:rPr>
        <w:t xml:space="preserve"> </w:t>
      </w:r>
      <w:r>
        <w:rPr>
          <w:rFonts w:ascii="Times New Roman" w:hAnsi="Times New Roman"/>
          <w:sz w:val="24"/>
        </w:rPr>
        <w:t>“Secret key generation exploiting channel characteristics in wireless communications,”</w:t>
      </w:r>
      <w:r>
        <w:rPr>
          <w:rFonts w:ascii="Times New Roman" w:hAnsi="Times New Roman"/>
          <w:sz w:val="24"/>
        </w:rPr>
        <w:t xml:space="preserve"> </w:t>
      </w:r>
      <w:r>
        <w:rPr>
          <w:rFonts w:ascii="Times New Roman" w:hAnsi="Times New Roman"/>
          <w:sz w:val="24"/>
        </w:rPr>
        <w:t>IEEE Wireless Commun., vol. 18, no. 4, pp. 6–12, 2011.</w:t>
      </w:r>
      <w:r>
        <w:rPr>
          <w:rFonts w:ascii="Times New Roman" w:hAnsi="Times New Roman"/>
          <w:sz w:val="24"/>
        </w:rPr>
        <w:t xml:space="preserve"> </w:t>
      </w:r>
      <w:hyperlink r:id="rId111">
        <w:r>
          <w:rPr>
            <w:rStyle w:val="Hyperlink"/>
          </w:rPr>
          <w:t xml:space="preserve">https://doi.org/10.1109/mwc.2011.5999759</w:t>
        </w:r>
      </w:hyperlink>
    </w:p>
    <w:p>
      <w:pPr>
        <w:pStyle w:val="BodyText"/>
        <w:jc w:val="both"/>
      </w:pPr>
      <w:r>
        <w:rPr>
          <w:rFonts w:ascii="Times New Roman" w:hAnsi="Times New Roman"/>
          <w:sz w:val="24"/>
        </w:rPr>
        <w:t>K. Zeng, D. Wu, A. Chan, and P. Mohapatra,</w:t>
      </w:r>
      <w:r>
        <w:rPr>
          <w:rFonts w:ascii="Times New Roman" w:hAnsi="Times New Roman"/>
          <w:sz w:val="24"/>
        </w:rPr>
        <w:t xml:space="preserve"> </w:t>
      </w:r>
      <w:r>
        <w:rPr>
          <w:rFonts w:ascii="Times New Roman" w:hAnsi="Times New Roman"/>
          <w:sz w:val="24"/>
        </w:rPr>
        <w:t>“Exploiting multiple-antenna diversity for shared secret key generation in wireless networks,”</w:t>
      </w:r>
      <w:r>
        <w:rPr>
          <w:rFonts w:ascii="Times New Roman" w:hAnsi="Times New Roman"/>
          <w:sz w:val="24"/>
        </w:rPr>
        <w:t xml:space="preserve"> </w:t>
      </w:r>
      <w:r>
        <w:rPr>
          <w:rFonts w:ascii="Times New Roman" w:hAnsi="Times New Roman"/>
          <w:sz w:val="24"/>
        </w:rPr>
        <w:t>in Proc. IEEE INFOCOM, 2010, pp. 1–9.</w:t>
      </w:r>
      <w:r>
        <w:rPr>
          <w:rFonts w:ascii="Times New Roman" w:hAnsi="Times New Roman"/>
          <w:sz w:val="24"/>
        </w:rPr>
        <w:t xml:space="preserve"> </w:t>
      </w:r>
      <w:hyperlink r:id="rId112">
        <w:r>
          <w:rPr>
            <w:rStyle w:val="Hyperlink"/>
          </w:rPr>
          <w:t xml:space="preserve">https://doi.org/10.1109/infcom.2010.5462004</w:t>
        </w:r>
      </w:hyperlink>
    </w:p>
    <w:p>
      <w:pPr>
        <w:pStyle w:val="BodyText"/>
        <w:jc w:val="both"/>
      </w:pPr>
      <w:r>
        <w:rPr>
          <w:rFonts w:ascii="Times New Roman" w:hAnsi="Times New Roman"/>
          <w:sz w:val="24"/>
        </w:rPr>
        <w:t>Z. Lin, M. Lin, B. Champagne, W.-P. Zhu, and N. Al-Dhahir,</w:t>
      </w:r>
      <w:r>
        <w:rPr>
          <w:rFonts w:ascii="Times New Roman" w:hAnsi="Times New Roman"/>
          <w:sz w:val="24"/>
        </w:rPr>
        <w:t xml:space="preserve"> </w:t>
      </w:r>
      <w:r>
        <w:rPr>
          <w:rFonts w:ascii="Times New Roman" w:hAnsi="Times New Roman"/>
          <w:sz w:val="24"/>
        </w:rPr>
        <w:t>“Secrecy-energy efficient hybrid beamforming for satellite-terrestrial integrated networks,”</w:t>
      </w:r>
      <w:r>
        <w:rPr>
          <w:rFonts w:ascii="Times New Roman" w:hAnsi="Times New Roman"/>
          <w:sz w:val="24"/>
        </w:rPr>
        <w:t xml:space="preserve"> </w:t>
      </w:r>
      <w:r>
        <w:rPr>
          <w:rFonts w:ascii="Times New Roman" w:hAnsi="Times New Roman"/>
          <w:sz w:val="24"/>
        </w:rPr>
        <w:t>IEEE Trans. Commun., vol. 69, no. 9, pp. 6345–6360, 2021.</w:t>
      </w:r>
      <w:r>
        <w:rPr>
          <w:rFonts w:ascii="Times New Roman" w:hAnsi="Times New Roman"/>
          <w:sz w:val="24"/>
        </w:rPr>
        <w:t xml:space="preserve"> </w:t>
      </w:r>
      <w:hyperlink r:id="rId113">
        <w:r>
          <w:rPr>
            <w:rStyle w:val="Hyperlink"/>
          </w:rPr>
          <w:t xml:space="preserve">https://doi.org/10.1109/tcomm.2021.3088898</w:t>
        </w:r>
      </w:hyperlink>
    </w:p>
    <w:p>
      <w:pPr>
        <w:pStyle w:val="BodyText"/>
        <w:jc w:val="both"/>
      </w:pPr>
      <w:r>
        <w:rPr>
          <w:rFonts w:ascii="Times New Roman" w:hAnsi="Times New Roman"/>
          <w:sz w:val="24"/>
        </w:rPr>
        <w:t>C. Loo,</w:t>
      </w:r>
      <w:r>
        <w:rPr>
          <w:rFonts w:ascii="Times New Roman" w:hAnsi="Times New Roman"/>
          <w:sz w:val="24"/>
        </w:rPr>
        <w:t xml:space="preserve"> </w:t>
      </w:r>
      <w:r>
        <w:rPr>
          <w:rFonts w:ascii="Times New Roman" w:hAnsi="Times New Roman"/>
          <w:sz w:val="24"/>
        </w:rPr>
        <w:t>“A statistical model for a land mobile satellite link,”</w:t>
      </w:r>
      <w:r>
        <w:rPr>
          <w:rFonts w:ascii="Times New Roman" w:hAnsi="Times New Roman"/>
          <w:sz w:val="24"/>
        </w:rPr>
        <w:t xml:space="preserve"> </w:t>
      </w:r>
      <w:r>
        <w:rPr>
          <w:rFonts w:ascii="Times New Roman" w:hAnsi="Times New Roman"/>
          <w:sz w:val="24"/>
        </w:rPr>
        <w:t>IEEE Trans. Veh. Technol., vol. VT-34, no. 3, pp. 122–127, 1985.</w:t>
      </w:r>
      <w:r>
        <w:rPr>
          <w:rFonts w:ascii="Times New Roman" w:hAnsi="Times New Roman"/>
          <w:sz w:val="24"/>
        </w:rPr>
        <w:t xml:space="preserve"> </w:t>
      </w:r>
      <w:hyperlink r:id="rId114">
        <w:r>
          <w:rPr>
            <w:rStyle w:val="Hyperlink"/>
          </w:rPr>
          <w:t xml:space="preserve">https://doi.org/10.1109/t-vt.1985.24048</w:t>
        </w:r>
      </w:hyperlink>
    </w:p>
    <w:p>
      <w:pPr>
        <w:pStyle w:val="BodyText"/>
        <w:jc w:val="both"/>
      </w:pPr>
      <w:r>
        <w:rPr>
          <w:rFonts w:ascii="Times New Roman" w:hAnsi="Times New Roman"/>
          <w:sz w:val="24"/>
        </w:rPr>
        <w:t>F. P. Fontan, M. Vazquez-Castro, C. E. Cabado, J. P. Garcia, and E. Kubista,</w:t>
      </w:r>
      <w:r>
        <w:rPr>
          <w:rFonts w:ascii="Times New Roman" w:hAnsi="Times New Roman"/>
          <w:sz w:val="24"/>
        </w:rPr>
        <w:t xml:space="preserve"> </w:t>
      </w:r>
      <w:r>
        <w:rPr>
          <w:rFonts w:ascii="Times New Roman" w:hAnsi="Times New Roman"/>
          <w:sz w:val="24"/>
        </w:rPr>
        <w:t>“Statistical modeling of the LMS channel,”</w:t>
      </w:r>
      <w:r>
        <w:rPr>
          <w:rFonts w:ascii="Times New Roman" w:hAnsi="Times New Roman"/>
          <w:sz w:val="24"/>
        </w:rPr>
        <w:t xml:space="preserve"> </w:t>
      </w:r>
      <w:r>
        <w:rPr>
          <w:rFonts w:ascii="Times New Roman" w:hAnsi="Times New Roman"/>
          <w:sz w:val="24"/>
        </w:rPr>
        <w:t>IEEE Trans. Veh. Technol., vol. 50, no. 6, pp. 1549–1567, 2001.</w:t>
      </w:r>
      <w:r>
        <w:rPr>
          <w:rFonts w:ascii="Times New Roman" w:hAnsi="Times New Roman"/>
          <w:sz w:val="24"/>
        </w:rPr>
        <w:t xml:space="preserve"> </w:t>
      </w:r>
      <w:hyperlink r:id="rId115">
        <w:r>
          <w:rPr>
            <w:rStyle w:val="Hyperlink"/>
          </w:rPr>
          <w:t xml:space="preserve">https://doi.org/10.1109/25.966585</w:t>
        </w:r>
      </w:hyperlink>
    </w:p>
    <w:p>
      <w:pPr>
        <w:pStyle w:val="BodyText"/>
        <w:jc w:val="both"/>
      </w:pPr>
      <w:r>
        <w:rPr>
          <w:rFonts w:ascii="Times New Roman" w:hAnsi="Times New Roman"/>
          <w:sz w:val="24"/>
        </w:rPr>
        <w:t>S. Jana, S. N. Premnath, M. Clark, S. K. Kasera, N. Patwari, and S. V. Krishnamurthy,</w:t>
      </w:r>
      <w:r>
        <w:rPr>
          <w:rFonts w:ascii="Times New Roman" w:hAnsi="Times New Roman"/>
          <w:sz w:val="24"/>
        </w:rPr>
        <w:t xml:space="preserve"> </w:t>
      </w:r>
      <w:r>
        <w:rPr>
          <w:rFonts w:ascii="Times New Roman" w:hAnsi="Times New Roman"/>
          <w:sz w:val="24"/>
        </w:rPr>
        <w:t>“On the effectiveness of secret key extraction from wireless signal strength in real environments,”</w:t>
      </w:r>
      <w:r>
        <w:rPr>
          <w:rFonts w:ascii="Times New Roman" w:hAnsi="Times New Roman"/>
          <w:sz w:val="24"/>
        </w:rPr>
        <w:t xml:space="preserve"> </w:t>
      </w:r>
      <w:r>
        <w:rPr>
          <w:rFonts w:ascii="Times New Roman" w:hAnsi="Times New Roman"/>
          <w:sz w:val="24"/>
        </w:rPr>
        <w:t>in Proc. ACM MobiCom, 2009, pp. 321–332.</w:t>
      </w:r>
      <w:r>
        <w:rPr>
          <w:rFonts w:ascii="Times New Roman" w:hAnsi="Times New Roman"/>
          <w:sz w:val="24"/>
        </w:rPr>
        <w:t xml:space="preserve"> </w:t>
      </w:r>
      <w:hyperlink r:id="rId116">
        <w:r>
          <w:rPr>
            <w:rStyle w:val="Hyperlink"/>
          </w:rPr>
          <w:t xml:space="preserve">https://doi.org/10.1145/1614320.1614356</w:t>
        </w:r>
      </w:hyperlink>
    </w:p>
    <w:p>
      <w:pPr>
        <w:pStyle w:val="BodyText"/>
        <w:jc w:val="both"/>
      </w:pPr>
      <w:r>
        <w:rPr>
          <w:rFonts w:ascii="Times New Roman" w:hAnsi="Times New Roman"/>
          <w:sz w:val="24"/>
        </w:rPr>
        <w:t>G. Oligeri, S. Sciancalepore, S. Raponi, and R. Di Pietro,</w:t>
      </w:r>
      <w:r>
        <w:rPr>
          <w:rFonts w:ascii="Times New Roman" w:hAnsi="Times New Roman"/>
          <w:sz w:val="24"/>
        </w:rPr>
        <w:t xml:space="preserve"> </w:t>
      </w:r>
      <w:r>
        <w:rPr>
          <w:rFonts w:ascii="Times New Roman" w:hAnsi="Times New Roman"/>
          <w:sz w:val="24"/>
        </w:rPr>
        <w:t>“PAST-AI: Physical-layer authentication of satellite transmitters via deep learning,”</w:t>
      </w:r>
      <w:r>
        <w:rPr>
          <w:rFonts w:ascii="Times New Roman" w:hAnsi="Times New Roman"/>
          <w:sz w:val="24"/>
        </w:rPr>
        <w:t xml:space="preserve"> </w:t>
      </w:r>
      <w:r>
        <w:rPr>
          <w:rFonts w:ascii="Times New Roman" w:hAnsi="Times New Roman"/>
          <w:sz w:val="24"/>
        </w:rPr>
        <w:t>IEEE Trans. Inf. Forensics Security, vol. 18, pp. 274–289, 2023.</w:t>
      </w:r>
      <w:r>
        <w:rPr>
          <w:rFonts w:ascii="Times New Roman" w:hAnsi="Times New Roman"/>
          <w:sz w:val="24"/>
        </w:rPr>
        <w:t xml:space="preserve"> </w:t>
      </w:r>
      <w:hyperlink r:id="rId117">
        <w:r>
          <w:rPr>
            <w:rStyle w:val="Hyperlink"/>
          </w:rPr>
          <w:t xml:space="preserve">https://doi.org/10.1109/TIFS.2022.3219287</w:t>
        </w:r>
      </w:hyperlink>
    </w:p>
    <w:bookmarkEnd w:id="118"/>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6" Type="http://schemas.openxmlformats.org/officeDocument/2006/relationships/image" Target="media/rId36.png"/><Relationship Id="rId42" Type="http://schemas.openxmlformats.org/officeDocument/2006/relationships/image" Target="media/rId42.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66" Type="http://schemas.openxmlformats.org/officeDocument/2006/relationships/image" Target="media/rId66.png"/><Relationship Id="rId70" Type="http://schemas.openxmlformats.org/officeDocument/2006/relationships/image" Target="media/rId70.png"/><Relationship Id="rId75" Type="http://schemas.openxmlformats.org/officeDocument/2006/relationships/image" Target="media/rId75.png"/><Relationship Id="rId99" Type="http://schemas.openxmlformats.org/officeDocument/2006/relationships/hyperlink" Target="https://cdn.tua.gov.tr/60227c3d5f551.pdf" TargetMode="External"/><Relationship Id="rId84" Type="http://schemas.openxmlformats.org/officeDocument/2006/relationships/hyperlink" Target="https://doi.org/10.1002/j.1538-7305.1975.tb02040.x" TargetMode="External"/><Relationship Id="rId92" Type="http://schemas.openxmlformats.org/officeDocument/2006/relationships/hyperlink" Target="https://doi.org/10.1002/sat.1519" TargetMode="External"/><Relationship Id="rId89" Type="http://schemas.openxmlformats.org/officeDocument/2006/relationships/hyperlink" Target="https://doi.org/10.1007/3-540-48285-7_35" TargetMode="External"/><Relationship Id="rId97" Type="http://schemas.openxmlformats.org/officeDocument/2006/relationships/hyperlink" Target="https://doi.org/10.1016/j.comcom.2022.04.027" TargetMode="External"/><Relationship Id="rId88" Type="http://schemas.openxmlformats.org/officeDocument/2006/relationships/hyperlink" Target="https://doi.org/10.1017/cbo9780511977985" TargetMode="External"/><Relationship Id="rId90" Type="http://schemas.openxmlformats.org/officeDocument/2006/relationships/hyperlink" Target="https://doi.org/10.1049/cmu2.12830" TargetMode="External"/><Relationship Id="rId93" Type="http://schemas.openxmlformats.org/officeDocument/2006/relationships/hyperlink" Target="https://doi.org/10.1051/sands/2023021" TargetMode="External"/><Relationship Id="rId109" Type="http://schemas.openxmlformats.org/officeDocument/2006/relationships/hyperlink" Target="https://doi.org/10.1073/pnas.1618130114" TargetMode="External"/><Relationship Id="rId85" Type="http://schemas.openxmlformats.org/officeDocument/2006/relationships/hyperlink" Target="https://doi.org/10.1109/18.256484" TargetMode="External"/><Relationship Id="rId91" Type="http://schemas.openxmlformats.org/officeDocument/2006/relationships/hyperlink" Target="https://doi.org/10.1109/18.476316" TargetMode="External"/><Relationship Id="rId115" Type="http://schemas.openxmlformats.org/officeDocument/2006/relationships/hyperlink" Target="https://doi.org/10.1109/25.966585" TargetMode="External"/><Relationship Id="rId96" Type="http://schemas.openxmlformats.org/officeDocument/2006/relationships/hyperlink" Target="https://doi.org/10.1109/COMST.2016.2598968" TargetMode="External"/><Relationship Id="rId102" Type="http://schemas.openxmlformats.org/officeDocument/2006/relationships/hyperlink" Target="https://doi.org/10.1109/JIOT.2021.3109272" TargetMode="External"/><Relationship Id="rId95" Type="http://schemas.openxmlformats.org/officeDocument/2006/relationships/hyperlink" Target="https://doi.org/10.1109/JRFID.2021.3077756" TargetMode="External"/><Relationship Id="rId117" Type="http://schemas.openxmlformats.org/officeDocument/2006/relationships/hyperlink" Target="https://doi.org/10.1109/TIFS.2022.3219287" TargetMode="External"/><Relationship Id="rId94" Type="http://schemas.openxmlformats.org/officeDocument/2006/relationships/hyperlink" Target="https://doi.org/10.1109/TIFS.2024.3468170" TargetMode="External"/><Relationship Id="rId103" Type="http://schemas.openxmlformats.org/officeDocument/2006/relationships/hyperlink" Target="https://doi.org/10.1109/TVT.2024.3367362" TargetMode="External"/><Relationship Id="rId112" Type="http://schemas.openxmlformats.org/officeDocument/2006/relationships/hyperlink" Target="https://doi.org/10.1109/infcom.2010.5462004" TargetMode="External"/><Relationship Id="rId104" Type="http://schemas.openxmlformats.org/officeDocument/2006/relationships/hyperlink" Target="https://doi.org/10.1109/isit.2006.261991" TargetMode="External"/><Relationship Id="rId108" Type="http://schemas.openxmlformats.org/officeDocument/2006/relationships/hyperlink" Target="https://doi.org/10.1109/jproc.2015.2469602" TargetMode="External"/><Relationship Id="rId111" Type="http://schemas.openxmlformats.org/officeDocument/2006/relationships/hyperlink" Target="https://doi.org/10.1109/mwc.2011.5999759" TargetMode="External"/><Relationship Id="rId110" Type="http://schemas.openxmlformats.org/officeDocument/2006/relationships/hyperlink" Target="https://doi.org/10.1109/surv.2014.012314.00178" TargetMode="External"/><Relationship Id="rId114" Type="http://schemas.openxmlformats.org/officeDocument/2006/relationships/hyperlink" Target="https://doi.org/10.1109/t-vt.1985.24048" TargetMode="External"/><Relationship Id="rId113" Type="http://schemas.openxmlformats.org/officeDocument/2006/relationships/hyperlink" Target="https://doi.org/10.1109/tcomm.2021.3088898" TargetMode="External"/><Relationship Id="rId87" Type="http://schemas.openxmlformats.org/officeDocument/2006/relationships/hyperlink" Target="https://doi.org/10.1109/tifs.2010.2043187" TargetMode="External"/><Relationship Id="rId105" Type="http://schemas.openxmlformats.org/officeDocument/2006/relationships/hyperlink" Target="https://doi.org/10.1109/tit.2015.2471179" TargetMode="External"/><Relationship Id="rId86" Type="http://schemas.openxmlformats.org/officeDocument/2006/relationships/hyperlink" Target="https://doi.org/10.1145/1409944.1409960" TargetMode="External"/><Relationship Id="rId116" Type="http://schemas.openxmlformats.org/officeDocument/2006/relationships/hyperlink" Target="https://doi.org/10.1145/1614320.1614356" TargetMode="External"/><Relationship Id="rId100" Type="http://schemas.openxmlformats.org/officeDocument/2006/relationships/hyperlink" Target="https://doi.org/10.6028/NIST.FIPS.203" TargetMode="External"/><Relationship Id="rId101" Type="http://schemas.openxmlformats.org/officeDocument/2006/relationships/hyperlink" Target="https://doi.org/10.6028/NIST.SP.800-22r1a" TargetMode="External"/><Relationship Id="rId83" Type="http://schemas.openxmlformats.org/officeDocument/2006/relationships/hyperlink" Target="https://github.com/onderozturk/leo-pkg-hybrid" TargetMode="External"/><Relationship Id="rId33" Type="http://schemas.openxmlformats.org/officeDocument/2006/relationships/hyperlink" Target="https://github.com/onderozturk/leo-pkg-hybrid]" TargetMode="External"/><Relationship Id="rId98" Type="http://schemas.openxmlformats.org/officeDocument/2006/relationships/hyperlink" Target="https://www.3gpp.org/dynareport/33700-28.htm" TargetMode="External"/><Relationship Id="rId107" Type="http://schemas.openxmlformats.org/officeDocument/2006/relationships/hyperlink" Target="https://www.itu.int/rec/R-REC-P.618-13-201712-I/en" TargetMode="External"/><Relationship Id="rId106" Type="http://schemas.openxmlformats.org/officeDocument/2006/relationships/hyperlink" Target="https://www.itu.int/rec/R-REC-P.681-11-201908-I/en" TargetMode="External"/></Relationships>
</file>

<file path=word/_rels/footnotes.xml.rels><?xml version='1.0' encoding='UTF-8' standalone='yes'?>
<Relationships xmlns="http://schemas.openxmlformats.org/package/2006/relationships"><Relationship Id="rId99" Type="http://schemas.openxmlformats.org/officeDocument/2006/relationships/hyperlink" Target="https://cdn.tua.gov.tr/60227c3d5f551.pdf" TargetMode="External"/><Relationship Id="rId84" Type="http://schemas.openxmlformats.org/officeDocument/2006/relationships/hyperlink" Target="https://doi.org/10.1002/j.1538-7305.1975.tb02040.x" TargetMode="External"/><Relationship Id="rId92" Type="http://schemas.openxmlformats.org/officeDocument/2006/relationships/hyperlink" Target="https://doi.org/10.1002/sat.1519" TargetMode="External"/><Relationship Id="rId89" Type="http://schemas.openxmlformats.org/officeDocument/2006/relationships/hyperlink" Target="https://doi.org/10.1007/3-540-48285-7_35" TargetMode="External"/><Relationship Id="rId97" Type="http://schemas.openxmlformats.org/officeDocument/2006/relationships/hyperlink" Target="https://doi.org/10.1016/j.comcom.2022.04.027" TargetMode="External"/><Relationship Id="rId88" Type="http://schemas.openxmlformats.org/officeDocument/2006/relationships/hyperlink" Target="https://doi.org/10.1017/cbo9780511977985" TargetMode="External"/><Relationship Id="rId90" Type="http://schemas.openxmlformats.org/officeDocument/2006/relationships/hyperlink" Target="https://doi.org/10.1049/cmu2.12830" TargetMode="External"/><Relationship Id="rId93" Type="http://schemas.openxmlformats.org/officeDocument/2006/relationships/hyperlink" Target="https://doi.org/10.1051/sands/2023021" TargetMode="External"/><Relationship Id="rId109" Type="http://schemas.openxmlformats.org/officeDocument/2006/relationships/hyperlink" Target="https://doi.org/10.1073/pnas.1618130114" TargetMode="External"/><Relationship Id="rId85" Type="http://schemas.openxmlformats.org/officeDocument/2006/relationships/hyperlink" Target="https://doi.org/10.1109/18.256484" TargetMode="External"/><Relationship Id="rId91" Type="http://schemas.openxmlformats.org/officeDocument/2006/relationships/hyperlink" Target="https://doi.org/10.1109/18.476316" TargetMode="External"/><Relationship Id="rId115" Type="http://schemas.openxmlformats.org/officeDocument/2006/relationships/hyperlink" Target="https://doi.org/10.1109/25.966585" TargetMode="External"/><Relationship Id="rId96" Type="http://schemas.openxmlformats.org/officeDocument/2006/relationships/hyperlink" Target="https://doi.org/10.1109/COMST.2016.2598968" TargetMode="External"/><Relationship Id="rId102" Type="http://schemas.openxmlformats.org/officeDocument/2006/relationships/hyperlink" Target="https://doi.org/10.1109/JIOT.2021.3109272" TargetMode="External"/><Relationship Id="rId95" Type="http://schemas.openxmlformats.org/officeDocument/2006/relationships/hyperlink" Target="https://doi.org/10.1109/JRFID.2021.3077756" TargetMode="External"/><Relationship Id="rId117" Type="http://schemas.openxmlformats.org/officeDocument/2006/relationships/hyperlink" Target="https://doi.org/10.1109/TIFS.2022.3219287" TargetMode="External"/><Relationship Id="rId94" Type="http://schemas.openxmlformats.org/officeDocument/2006/relationships/hyperlink" Target="https://doi.org/10.1109/TIFS.2024.3468170" TargetMode="External"/><Relationship Id="rId103" Type="http://schemas.openxmlformats.org/officeDocument/2006/relationships/hyperlink" Target="https://doi.org/10.1109/TVT.2024.3367362" TargetMode="External"/><Relationship Id="rId112" Type="http://schemas.openxmlformats.org/officeDocument/2006/relationships/hyperlink" Target="https://doi.org/10.1109/infcom.2010.5462004" TargetMode="External"/><Relationship Id="rId104" Type="http://schemas.openxmlformats.org/officeDocument/2006/relationships/hyperlink" Target="https://doi.org/10.1109/isit.2006.261991" TargetMode="External"/><Relationship Id="rId108" Type="http://schemas.openxmlformats.org/officeDocument/2006/relationships/hyperlink" Target="https://doi.org/10.1109/jproc.2015.2469602" TargetMode="External"/><Relationship Id="rId111" Type="http://schemas.openxmlformats.org/officeDocument/2006/relationships/hyperlink" Target="https://doi.org/10.1109/mwc.2011.5999759" TargetMode="External"/><Relationship Id="rId110" Type="http://schemas.openxmlformats.org/officeDocument/2006/relationships/hyperlink" Target="https://doi.org/10.1109/surv.2014.012314.00178" TargetMode="External"/><Relationship Id="rId114" Type="http://schemas.openxmlformats.org/officeDocument/2006/relationships/hyperlink" Target="https://doi.org/10.1109/t-vt.1985.24048" TargetMode="External"/><Relationship Id="rId113" Type="http://schemas.openxmlformats.org/officeDocument/2006/relationships/hyperlink" Target="https://doi.org/10.1109/tcomm.2021.3088898" TargetMode="External"/><Relationship Id="rId87" Type="http://schemas.openxmlformats.org/officeDocument/2006/relationships/hyperlink" Target="https://doi.org/10.1109/tifs.2010.2043187" TargetMode="External"/><Relationship Id="rId105" Type="http://schemas.openxmlformats.org/officeDocument/2006/relationships/hyperlink" Target="https://doi.org/10.1109/tit.2015.2471179" TargetMode="External"/><Relationship Id="rId86" Type="http://schemas.openxmlformats.org/officeDocument/2006/relationships/hyperlink" Target="https://doi.org/10.1145/1409944.1409960" TargetMode="External"/><Relationship Id="rId116" Type="http://schemas.openxmlformats.org/officeDocument/2006/relationships/hyperlink" Target="https://doi.org/10.1145/1614320.1614356" TargetMode="External"/><Relationship Id="rId100" Type="http://schemas.openxmlformats.org/officeDocument/2006/relationships/hyperlink" Target="https://doi.org/10.6028/NIST.FIPS.203" TargetMode="External"/><Relationship Id="rId101" Type="http://schemas.openxmlformats.org/officeDocument/2006/relationships/hyperlink" Target="https://doi.org/10.6028/NIST.SP.800-22r1a" TargetMode="External"/><Relationship Id="rId83" Type="http://schemas.openxmlformats.org/officeDocument/2006/relationships/hyperlink" Target="https://github.com/onderozturk/leo-pkg-hybrid" TargetMode="External"/><Relationship Id="rId33" Type="http://schemas.openxmlformats.org/officeDocument/2006/relationships/hyperlink" Target="https://github.com/onderozturk/leo-pkg-hybrid]" TargetMode="External"/><Relationship Id="rId98" Type="http://schemas.openxmlformats.org/officeDocument/2006/relationships/hyperlink" Target="https://www.3gpp.org/dynareport/33700-28.htm" TargetMode="External"/><Relationship Id="rId107" Type="http://schemas.openxmlformats.org/officeDocument/2006/relationships/hyperlink" Target="https://www.itu.int/rec/R-REC-P.618-13-201712-I/en" TargetMode="External"/><Relationship Id="rId106" Type="http://schemas.openxmlformats.org/officeDocument/2006/relationships/hyperlink" Target="https://www.itu.int/rec/R-REC-P.681-11-201908-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 Uydu-Zemin İstasyonu İletişiminde Yavaş-Öznitelik Tabanlı Fiziksel Katman Anahtar Üretimi: Yayılım Gecikmesi Farkındalıklı Hibrit Güvenlik Modeli ve Eavesdropper Senaryoları</dc:title>
  <dc:creator/>
  <cp:keywords/>
  <dcterms:created xsi:type="dcterms:W3CDTF">2026-04-08T09:10:43Z</dcterms:created>
  <dcterms:modified xsi:type="dcterms:W3CDTF">2026-04-08T09:10:43Z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Alçak Dünya Yörüngesi (LEO) uydu ağlarında kanal tutarlılık süresi (T_c 12.7 μs), çift yönlü yayılım gecikmesinden (_RT 3.4 ms) çok kısa kaldığı için klasik karşılıklılık (reciprocity) varsayımıyla fiziksel katman anahtar üretimi (PKG) doğrudan işlememektedir. Bu sorunu aşmak üzere çalışmada, FGN-100 uydu parametreleri esas alınarak genlik zarfı ve Doppler oranı gibi yavaş değişen kanal özniteliklerinin otoregresif (AR, Autoregressive) tahminle harmanlandığı bir PKG mimarisi geliştirilmiştir. Elde edilen PHY-Key önce altı geçişli Cascade uzlaştırma ve SHA-256 gizlilik güçlendirmesinden geçirilmekte, ardından HMAC ile güncellenen bir ana anahtarla XOR’lanarak oturum anahtarına dönüştürülmektedir. ITU-R P.681 Loo modeline dayalı sentetik benzetimlerde 20 dB üzeri SNR’de anahtar uyuşmazlık oranı (KDR) %1’in altına inmiş, anahtar üretim hızı (KGR) yaklaşık 0.018 bpcu (bit/kanal kullanımı) olarak ölçülmüştür. Oturum anahtarları NIST SP 800-22 frekans, runs ve blok-frekans testlerinde %98’i aşan geçme oranına ulaşmıştır; bu testler kriptografik güvenliği tek başına ispatlamamakla beraber rasgelelik kalitesini teyit etmektedir. Ek olarak farklı Eve senaryolarında yürütülen ROC analizi sentetik veride yüksek ayrışma vermiş, düşük elevasyon ile 0.5 λ yakınlığın en riskli bileşim olduğu görülmüştür.</vt:lpwstr>
  </property>
</Properties>
</file>