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7BFF" w14:textId="77777777" w:rsidR="00B55C86" w:rsidRDefault="00B55C86"/>
    <w:p w14:paraId="1D7DB9A4" w14:textId="6B5BE44F" w:rsidR="00E84536" w:rsidRDefault="002C1CE5">
      <w:pPr>
        <w:rPr>
          <w:lang w:val="en-GB"/>
        </w:rPr>
      </w:pPr>
      <w:r>
        <w:rPr>
          <w:lang w:val="en-GB"/>
        </w:rPr>
        <w:t xml:space="preserve">Item </w:t>
      </w:r>
      <w:r w:rsidR="0091787B">
        <w:rPr>
          <w:lang w:val="en-GB"/>
        </w:rPr>
        <w:t>2</w:t>
      </w:r>
      <w:r w:rsidR="00E84536" w:rsidRPr="00E84536">
        <w:rPr>
          <w:lang w:val="en-GB"/>
        </w:rPr>
        <w:t xml:space="preserve">.  </w:t>
      </w:r>
      <w:r w:rsidR="000B08AB">
        <w:rPr>
          <w:lang w:val="en-GB"/>
        </w:rPr>
        <w:t xml:space="preserve"> </w:t>
      </w:r>
      <w:r w:rsidR="009C3823">
        <w:rPr>
          <w:lang w:val="en-GB"/>
        </w:rPr>
        <w:t xml:space="preserve">Proposal </w:t>
      </w:r>
      <w:r w:rsidR="00E84536" w:rsidRPr="00E84536">
        <w:rPr>
          <w:lang w:val="en-GB"/>
        </w:rPr>
        <w:t>to</w:t>
      </w:r>
      <w:r w:rsidR="00E84536">
        <w:rPr>
          <w:lang w:val="en-GB"/>
        </w:rPr>
        <w:t xml:space="preserve"> </w:t>
      </w:r>
      <w:r w:rsidR="00E84536" w:rsidRPr="00E84536">
        <w:rPr>
          <w:lang w:val="en-GB"/>
        </w:rPr>
        <w:t xml:space="preserve">bring OOTS </w:t>
      </w:r>
      <w:r w:rsidR="009C3823">
        <w:rPr>
          <w:lang w:val="en-GB"/>
        </w:rPr>
        <w:t xml:space="preserve">and </w:t>
      </w:r>
      <w:proofErr w:type="spellStart"/>
      <w:r w:rsidR="00E84536">
        <w:rPr>
          <w:lang w:val="en-GB"/>
        </w:rPr>
        <w:t>Emrex</w:t>
      </w:r>
      <w:proofErr w:type="spellEnd"/>
      <w:r w:rsidR="00E84536">
        <w:rPr>
          <w:lang w:val="en-GB"/>
        </w:rPr>
        <w:t xml:space="preserve"> </w:t>
      </w:r>
      <w:r w:rsidR="009C3823">
        <w:rPr>
          <w:lang w:val="en-GB"/>
        </w:rPr>
        <w:t>closer</w:t>
      </w:r>
      <w:r w:rsidR="00E84536">
        <w:rPr>
          <w:lang w:val="en-GB"/>
        </w:rPr>
        <w:t>(draft)</w:t>
      </w:r>
    </w:p>
    <w:p w14:paraId="349ED747" w14:textId="2841909B" w:rsidR="00F13FC5" w:rsidRDefault="00F13FC5">
      <w:pPr>
        <w:rPr>
          <w:lang w:val="en-GB"/>
        </w:rPr>
      </w:pPr>
      <w:r>
        <w:rPr>
          <w:lang w:val="en-GB"/>
        </w:rPr>
        <w:t>May 10</w:t>
      </w:r>
      <w:r w:rsidRPr="00F13FC5">
        <w:rPr>
          <w:vertAlign w:val="superscript"/>
          <w:lang w:val="en-GB"/>
        </w:rPr>
        <w:t>th</w:t>
      </w:r>
      <w:r>
        <w:rPr>
          <w:lang w:val="en-GB"/>
        </w:rPr>
        <w:t xml:space="preserve"> 2023</w:t>
      </w:r>
    </w:p>
    <w:p w14:paraId="424C55DE" w14:textId="77777777" w:rsidR="00F13FC5" w:rsidRPr="00E84536" w:rsidRDefault="00F13FC5">
      <w:pPr>
        <w:rPr>
          <w:lang w:val="en-GB"/>
        </w:rPr>
      </w:pPr>
    </w:p>
    <w:p w14:paraId="0B66F6EB" w14:textId="4FB492BE" w:rsidR="00E84536" w:rsidRDefault="00E84536">
      <w:pPr>
        <w:rPr>
          <w:lang w:val="en-GB"/>
        </w:rPr>
      </w:pPr>
      <w:r>
        <w:rPr>
          <w:lang w:val="en-GB"/>
        </w:rPr>
        <w:t>The</w:t>
      </w:r>
      <w:r w:rsidR="0091787B">
        <w:rPr>
          <w:lang w:val="en-GB"/>
        </w:rPr>
        <w:t xml:space="preserve"> latest</w:t>
      </w:r>
      <w:r>
        <w:rPr>
          <w:lang w:val="en-GB"/>
        </w:rPr>
        <w:t xml:space="preserve"> high level architecture (HLA) the Once Only Technical </w:t>
      </w:r>
      <w:proofErr w:type="spellStart"/>
      <w:r>
        <w:rPr>
          <w:lang w:val="en-GB"/>
        </w:rPr>
        <w:t>Systeme</w:t>
      </w:r>
      <w:proofErr w:type="spellEnd"/>
      <w:r>
        <w:rPr>
          <w:lang w:val="en-GB"/>
        </w:rPr>
        <w:t xml:space="preserve"> (OOTS) can be found </w:t>
      </w:r>
      <w:r w:rsidR="0091787B">
        <w:rPr>
          <w:lang w:val="en-GB"/>
        </w:rPr>
        <w:t xml:space="preserve">in chapter 1 </w:t>
      </w:r>
      <w:r>
        <w:rPr>
          <w:lang w:val="en-GB"/>
        </w:rPr>
        <w:t>here</w:t>
      </w:r>
      <w:r w:rsidR="0091787B">
        <w:rPr>
          <w:lang w:val="en-GB"/>
        </w:rPr>
        <w:t xml:space="preserve">: </w:t>
      </w:r>
      <w:hyperlink r:id="rId8" w:history="1">
        <w:proofErr w:type="spellStart"/>
        <w:r w:rsidR="0091787B">
          <w:rPr>
            <w:rStyle w:val="Hyperlink"/>
            <w:lang w:val="en-GB"/>
          </w:rPr>
          <w:t>OOTS+Technical+Design+Documents</w:t>
        </w:r>
        <w:proofErr w:type="spellEnd"/>
        <w:r w:rsidR="0091787B">
          <w:rPr>
            <w:rStyle w:val="Hyperlink"/>
            <w:lang w:val="en-GB"/>
          </w:rPr>
          <w:t>+-+Q1+2023</w:t>
        </w:r>
      </w:hyperlink>
      <w:r w:rsidR="0091787B">
        <w:rPr>
          <w:lang w:val="en-GB"/>
        </w:rPr>
        <w:t xml:space="preserve">.  </w:t>
      </w:r>
      <w:r>
        <w:rPr>
          <w:lang w:val="en-GB"/>
        </w:rPr>
        <w:t xml:space="preserve">At a glance the exchange patterns are not that different.  And with some effort the resemblance can be even bigger, which will benefit everyone and certainly </w:t>
      </w:r>
      <w:proofErr w:type="spellStart"/>
      <w:r>
        <w:rPr>
          <w:lang w:val="en-GB"/>
        </w:rPr>
        <w:t>Emrex</w:t>
      </w:r>
      <w:proofErr w:type="spellEnd"/>
      <w:r>
        <w:rPr>
          <w:lang w:val="en-GB"/>
        </w:rPr>
        <w:t xml:space="preserve">. Therefore this is a proposal from </w:t>
      </w:r>
      <w:proofErr w:type="spellStart"/>
      <w:r>
        <w:rPr>
          <w:lang w:val="en-GB"/>
        </w:rPr>
        <w:t>Emrex</w:t>
      </w:r>
      <w:proofErr w:type="spellEnd"/>
      <w:r>
        <w:rPr>
          <w:lang w:val="en-GB"/>
        </w:rPr>
        <w:t xml:space="preserve"> addressed at the EU-directorate Digit to change the HLA</w:t>
      </w:r>
      <w:r w:rsidR="000B08AB">
        <w:rPr>
          <w:lang w:val="en-GB"/>
        </w:rPr>
        <w:t xml:space="preserve"> regarding loop 1</w:t>
      </w:r>
      <w:r>
        <w:rPr>
          <w:lang w:val="en-GB"/>
        </w:rPr>
        <w:t>.</w:t>
      </w:r>
    </w:p>
    <w:p w14:paraId="75472AF6" w14:textId="144EC5D6" w:rsidR="001C5EF3" w:rsidRDefault="001C5EF3">
      <w:pPr>
        <w:rPr>
          <w:lang w:val="en-GB"/>
        </w:rPr>
      </w:pPr>
      <w:r>
        <w:rPr>
          <w:lang w:val="en-GB"/>
        </w:rPr>
        <w:t xml:space="preserve">Central in the </w:t>
      </w:r>
      <w:r w:rsidR="00E84536">
        <w:rPr>
          <w:lang w:val="en-GB"/>
        </w:rPr>
        <w:t xml:space="preserve">HLA  </w:t>
      </w:r>
      <w:r>
        <w:rPr>
          <w:lang w:val="en-GB"/>
        </w:rPr>
        <w:t xml:space="preserve">is </w:t>
      </w:r>
      <w:r w:rsidR="00E84536">
        <w:rPr>
          <w:lang w:val="en-GB"/>
        </w:rPr>
        <w:t>an exchange pattern</w:t>
      </w:r>
      <w:r w:rsidR="00785BF5">
        <w:rPr>
          <w:lang w:val="en-GB"/>
        </w:rPr>
        <w:t xml:space="preserve"> with </w:t>
      </w:r>
      <w:r>
        <w:rPr>
          <w:lang w:val="en-GB"/>
        </w:rPr>
        <w:t xml:space="preserve"> </w:t>
      </w:r>
      <w:r w:rsidR="009C5E6A">
        <w:rPr>
          <w:lang w:val="en-GB"/>
        </w:rPr>
        <w:t>‘</w:t>
      </w:r>
      <w:r>
        <w:rPr>
          <w:lang w:val="en-GB"/>
        </w:rPr>
        <w:t xml:space="preserve">two loops’.  However </w:t>
      </w:r>
      <w:r w:rsidR="00785BF5">
        <w:rPr>
          <w:lang w:val="en-GB"/>
        </w:rPr>
        <w:t xml:space="preserve">it is </w:t>
      </w:r>
      <w:r>
        <w:rPr>
          <w:lang w:val="en-GB"/>
        </w:rPr>
        <w:t>actually three:</w:t>
      </w:r>
    </w:p>
    <w:tbl>
      <w:tblPr>
        <w:tblStyle w:val="Tabelraster"/>
        <w:tblW w:w="0" w:type="auto"/>
        <w:tblLook w:val="04A0" w:firstRow="1" w:lastRow="0" w:firstColumn="1" w:lastColumn="0" w:noHBand="0" w:noVBand="1"/>
      </w:tblPr>
      <w:tblGrid>
        <w:gridCol w:w="1087"/>
        <w:gridCol w:w="2618"/>
        <w:gridCol w:w="1921"/>
        <w:gridCol w:w="1816"/>
        <w:gridCol w:w="1574"/>
      </w:tblGrid>
      <w:tr w:rsidR="001C5EF3" w:rsidRPr="001C5EF3" w14:paraId="17E7B6AD" w14:textId="4E30CEFF" w:rsidTr="001C5EF3">
        <w:tc>
          <w:tcPr>
            <w:tcW w:w="1087" w:type="dxa"/>
          </w:tcPr>
          <w:p w14:paraId="3A0F2539" w14:textId="227CB4B2" w:rsidR="001C5EF3" w:rsidRPr="001C5EF3" w:rsidRDefault="001C5EF3">
            <w:pPr>
              <w:rPr>
                <w:b/>
                <w:bCs/>
                <w:lang w:val="en-GB"/>
              </w:rPr>
            </w:pPr>
            <w:r w:rsidRPr="001C5EF3">
              <w:rPr>
                <w:b/>
                <w:bCs/>
                <w:lang w:val="en-GB"/>
              </w:rPr>
              <w:t>OOTS loop</w:t>
            </w:r>
          </w:p>
        </w:tc>
        <w:tc>
          <w:tcPr>
            <w:tcW w:w="2618" w:type="dxa"/>
          </w:tcPr>
          <w:p w14:paraId="7213D552" w14:textId="14E04C32" w:rsidR="001C5EF3" w:rsidRPr="001C5EF3" w:rsidRDefault="001C5EF3">
            <w:pPr>
              <w:rPr>
                <w:b/>
                <w:bCs/>
                <w:lang w:val="en-GB"/>
              </w:rPr>
            </w:pPr>
            <w:r w:rsidRPr="001C5EF3">
              <w:rPr>
                <w:b/>
                <w:bCs/>
                <w:lang w:val="en-GB"/>
              </w:rPr>
              <w:t xml:space="preserve">What </w:t>
            </w:r>
            <w:r>
              <w:rPr>
                <w:b/>
                <w:bCs/>
                <w:lang w:val="en-GB"/>
              </w:rPr>
              <w:t>does it do?</w:t>
            </w:r>
          </w:p>
        </w:tc>
        <w:tc>
          <w:tcPr>
            <w:tcW w:w="1921" w:type="dxa"/>
          </w:tcPr>
          <w:p w14:paraId="7DEB8DEA" w14:textId="21F0D035" w:rsidR="001C5EF3" w:rsidRPr="001C5EF3" w:rsidRDefault="001C5EF3">
            <w:pPr>
              <w:rPr>
                <w:b/>
                <w:bCs/>
                <w:lang w:val="en-GB"/>
              </w:rPr>
            </w:pPr>
            <w:r w:rsidRPr="001C5EF3">
              <w:rPr>
                <w:b/>
                <w:bCs/>
                <w:lang w:val="en-GB"/>
              </w:rPr>
              <w:t>Source</w:t>
            </w:r>
          </w:p>
        </w:tc>
        <w:tc>
          <w:tcPr>
            <w:tcW w:w="1816" w:type="dxa"/>
          </w:tcPr>
          <w:p w14:paraId="50B05633" w14:textId="5331BA1B" w:rsidR="001C5EF3" w:rsidRPr="001C5EF3" w:rsidRDefault="001C5EF3">
            <w:pPr>
              <w:rPr>
                <w:b/>
                <w:bCs/>
                <w:lang w:val="en-GB"/>
              </w:rPr>
            </w:pPr>
            <w:r w:rsidRPr="001C5EF3">
              <w:rPr>
                <w:b/>
                <w:bCs/>
                <w:lang w:val="en-GB"/>
              </w:rPr>
              <w:t>Who</w:t>
            </w:r>
            <w:r>
              <w:rPr>
                <w:b/>
                <w:bCs/>
                <w:lang w:val="en-GB"/>
              </w:rPr>
              <w:t xml:space="preserve"> services</w:t>
            </w:r>
            <w:r w:rsidRPr="001C5EF3">
              <w:rPr>
                <w:b/>
                <w:bCs/>
                <w:lang w:val="en-GB"/>
              </w:rPr>
              <w:t xml:space="preserve"> it</w:t>
            </w:r>
            <w:r>
              <w:rPr>
                <w:b/>
                <w:bCs/>
                <w:lang w:val="en-GB"/>
              </w:rPr>
              <w:t>?</w:t>
            </w:r>
          </w:p>
        </w:tc>
        <w:tc>
          <w:tcPr>
            <w:tcW w:w="1574" w:type="dxa"/>
          </w:tcPr>
          <w:p w14:paraId="4181F948" w14:textId="302DC46F" w:rsidR="001C5EF3" w:rsidRPr="001C5EF3" w:rsidRDefault="00F9447A">
            <w:pPr>
              <w:rPr>
                <w:b/>
                <w:bCs/>
                <w:lang w:val="en-GB"/>
              </w:rPr>
            </w:pPr>
            <w:r>
              <w:rPr>
                <w:b/>
                <w:bCs/>
                <w:lang w:val="en-GB"/>
              </w:rPr>
              <w:t>OOTS protocol</w:t>
            </w:r>
          </w:p>
        </w:tc>
      </w:tr>
      <w:tr w:rsidR="001C5EF3" w14:paraId="14C28324" w14:textId="32452788" w:rsidTr="001C5EF3">
        <w:tc>
          <w:tcPr>
            <w:tcW w:w="1087" w:type="dxa"/>
          </w:tcPr>
          <w:p w14:paraId="2F57BDA6" w14:textId="5524A03E" w:rsidR="001C5EF3" w:rsidRDefault="001C5EF3">
            <w:pPr>
              <w:rPr>
                <w:lang w:val="en-GB"/>
              </w:rPr>
            </w:pPr>
            <w:r>
              <w:rPr>
                <w:lang w:val="en-GB"/>
              </w:rPr>
              <w:t>0</w:t>
            </w:r>
          </w:p>
        </w:tc>
        <w:tc>
          <w:tcPr>
            <w:tcW w:w="2618" w:type="dxa"/>
          </w:tcPr>
          <w:p w14:paraId="541368FD" w14:textId="54E6FFFE" w:rsidR="001C5EF3" w:rsidRDefault="001C5EF3">
            <w:pPr>
              <w:rPr>
                <w:lang w:val="en-GB"/>
              </w:rPr>
            </w:pPr>
            <w:r>
              <w:rPr>
                <w:lang w:val="en-GB"/>
              </w:rPr>
              <w:t xml:space="preserve">Search and find </w:t>
            </w:r>
            <w:proofErr w:type="spellStart"/>
            <w:r>
              <w:rPr>
                <w:lang w:val="en-GB"/>
              </w:rPr>
              <w:t>Dataservice</w:t>
            </w:r>
            <w:proofErr w:type="spellEnd"/>
          </w:p>
        </w:tc>
        <w:tc>
          <w:tcPr>
            <w:tcW w:w="1921" w:type="dxa"/>
          </w:tcPr>
          <w:p w14:paraId="07AF8A08" w14:textId="471DFE76" w:rsidR="001C5EF3" w:rsidRDefault="001C5EF3">
            <w:pPr>
              <w:rPr>
                <w:lang w:val="en-GB"/>
              </w:rPr>
            </w:pPr>
            <w:proofErr w:type="spellStart"/>
            <w:r>
              <w:rPr>
                <w:lang w:val="en-GB"/>
              </w:rPr>
              <w:t>Dataservice</w:t>
            </w:r>
            <w:proofErr w:type="spellEnd"/>
            <w:r>
              <w:rPr>
                <w:lang w:val="en-GB"/>
              </w:rPr>
              <w:t xml:space="preserve"> Directory (DSD)</w:t>
            </w:r>
          </w:p>
        </w:tc>
        <w:tc>
          <w:tcPr>
            <w:tcW w:w="1816" w:type="dxa"/>
          </w:tcPr>
          <w:p w14:paraId="744EF965" w14:textId="6834A800" w:rsidR="001C5EF3" w:rsidRDefault="001C5EF3">
            <w:pPr>
              <w:rPr>
                <w:lang w:val="en-GB"/>
              </w:rPr>
            </w:pPr>
            <w:r>
              <w:rPr>
                <w:lang w:val="en-GB"/>
              </w:rPr>
              <w:t>EU</w:t>
            </w:r>
          </w:p>
        </w:tc>
        <w:tc>
          <w:tcPr>
            <w:tcW w:w="1574" w:type="dxa"/>
          </w:tcPr>
          <w:p w14:paraId="220A6739" w14:textId="721CB026" w:rsidR="001C5EF3" w:rsidRDefault="001C5EF3">
            <w:pPr>
              <w:rPr>
                <w:lang w:val="en-GB"/>
              </w:rPr>
            </w:pPr>
            <w:r>
              <w:rPr>
                <w:lang w:val="en-GB"/>
              </w:rPr>
              <w:t>E-delivery-API</w:t>
            </w:r>
          </w:p>
        </w:tc>
      </w:tr>
      <w:tr w:rsidR="001C5EF3" w14:paraId="165009AA" w14:textId="0426AEE2" w:rsidTr="001C5EF3">
        <w:tc>
          <w:tcPr>
            <w:tcW w:w="1087" w:type="dxa"/>
          </w:tcPr>
          <w:p w14:paraId="052DC1D7" w14:textId="01D0E748" w:rsidR="001C5EF3" w:rsidRDefault="001C5EF3">
            <w:pPr>
              <w:rPr>
                <w:lang w:val="en-GB"/>
              </w:rPr>
            </w:pPr>
            <w:r>
              <w:rPr>
                <w:lang w:val="en-GB"/>
              </w:rPr>
              <w:t>1</w:t>
            </w:r>
          </w:p>
        </w:tc>
        <w:tc>
          <w:tcPr>
            <w:tcW w:w="2618" w:type="dxa"/>
          </w:tcPr>
          <w:p w14:paraId="47720CB4" w14:textId="7F5F1DD3" w:rsidR="001C5EF3" w:rsidRDefault="001C5EF3">
            <w:pPr>
              <w:rPr>
                <w:lang w:val="en-GB"/>
              </w:rPr>
            </w:pPr>
            <w:r>
              <w:rPr>
                <w:lang w:val="en-GB"/>
              </w:rPr>
              <w:t xml:space="preserve">Search and find </w:t>
            </w:r>
            <w:proofErr w:type="spellStart"/>
            <w:r>
              <w:rPr>
                <w:lang w:val="en-GB"/>
              </w:rPr>
              <w:t>Dataprovider</w:t>
            </w:r>
            <w:proofErr w:type="spellEnd"/>
          </w:p>
        </w:tc>
        <w:tc>
          <w:tcPr>
            <w:tcW w:w="1921" w:type="dxa"/>
          </w:tcPr>
          <w:p w14:paraId="7D5E26AF" w14:textId="72DEBCE8" w:rsidR="001C5EF3" w:rsidRDefault="00ED596F">
            <w:pPr>
              <w:rPr>
                <w:lang w:val="en-GB"/>
              </w:rPr>
            </w:pPr>
            <w:r>
              <w:rPr>
                <w:lang w:val="en-GB"/>
              </w:rPr>
              <w:t xml:space="preserve">Regional </w:t>
            </w:r>
            <w:r w:rsidR="001C5EF3">
              <w:rPr>
                <w:lang w:val="en-GB"/>
              </w:rPr>
              <w:t>registry</w:t>
            </w:r>
          </w:p>
        </w:tc>
        <w:tc>
          <w:tcPr>
            <w:tcW w:w="1816" w:type="dxa"/>
          </w:tcPr>
          <w:p w14:paraId="1FFF0ADA" w14:textId="5F0D9A51" w:rsidR="001C5EF3" w:rsidRDefault="001C5EF3">
            <w:pPr>
              <w:rPr>
                <w:lang w:val="en-GB"/>
              </w:rPr>
            </w:pPr>
            <w:r>
              <w:rPr>
                <w:lang w:val="en-GB"/>
              </w:rPr>
              <w:t>Member state</w:t>
            </w:r>
          </w:p>
        </w:tc>
        <w:tc>
          <w:tcPr>
            <w:tcW w:w="1574" w:type="dxa"/>
          </w:tcPr>
          <w:p w14:paraId="5B0FB7EA" w14:textId="6CD222CB" w:rsidR="001C5EF3" w:rsidRDefault="001C5EF3">
            <w:pPr>
              <w:rPr>
                <w:lang w:val="en-GB"/>
              </w:rPr>
            </w:pPr>
            <w:r>
              <w:rPr>
                <w:lang w:val="en-GB"/>
              </w:rPr>
              <w:t>E-delivery</w:t>
            </w:r>
            <w:r w:rsidR="00087C6E">
              <w:rPr>
                <w:lang w:val="en-GB"/>
              </w:rPr>
              <w:t>-</w:t>
            </w:r>
            <w:r>
              <w:rPr>
                <w:lang w:val="en-GB"/>
              </w:rPr>
              <w:t>AS4</w:t>
            </w:r>
          </w:p>
        </w:tc>
      </w:tr>
      <w:tr w:rsidR="001C5EF3" w14:paraId="64F53AEA" w14:textId="2F16471D" w:rsidTr="001C5EF3">
        <w:tc>
          <w:tcPr>
            <w:tcW w:w="1087" w:type="dxa"/>
          </w:tcPr>
          <w:p w14:paraId="7547CB72" w14:textId="74B787DB" w:rsidR="001C5EF3" w:rsidRDefault="001C5EF3">
            <w:pPr>
              <w:rPr>
                <w:lang w:val="en-GB"/>
              </w:rPr>
            </w:pPr>
            <w:r>
              <w:rPr>
                <w:lang w:val="en-GB"/>
              </w:rPr>
              <w:t>2</w:t>
            </w:r>
          </w:p>
        </w:tc>
        <w:tc>
          <w:tcPr>
            <w:tcW w:w="2618" w:type="dxa"/>
          </w:tcPr>
          <w:p w14:paraId="5E54C82D" w14:textId="284CCE44" w:rsidR="001C5EF3" w:rsidRDefault="001C5EF3">
            <w:pPr>
              <w:rPr>
                <w:lang w:val="en-GB"/>
              </w:rPr>
            </w:pPr>
            <w:proofErr w:type="spellStart"/>
            <w:r>
              <w:rPr>
                <w:lang w:val="en-GB"/>
              </w:rPr>
              <w:t>Preview&amp;consent</w:t>
            </w:r>
            <w:proofErr w:type="spellEnd"/>
            <w:r>
              <w:rPr>
                <w:lang w:val="en-GB"/>
              </w:rPr>
              <w:t xml:space="preserve"> </w:t>
            </w:r>
            <w:r w:rsidR="00BF25A1">
              <w:rPr>
                <w:lang w:val="en-GB"/>
              </w:rPr>
              <w:t>evidence</w:t>
            </w:r>
          </w:p>
        </w:tc>
        <w:tc>
          <w:tcPr>
            <w:tcW w:w="1921" w:type="dxa"/>
          </w:tcPr>
          <w:p w14:paraId="7590589C" w14:textId="667F9B94" w:rsidR="001C5EF3" w:rsidRDefault="00B847AF">
            <w:pPr>
              <w:rPr>
                <w:lang w:val="en-GB"/>
              </w:rPr>
            </w:pPr>
            <w:r>
              <w:rPr>
                <w:lang w:val="en-GB"/>
              </w:rPr>
              <w:t xml:space="preserve">Provider </w:t>
            </w:r>
            <w:r w:rsidR="00BF25A1">
              <w:rPr>
                <w:lang w:val="en-GB"/>
              </w:rPr>
              <w:t>registry</w:t>
            </w:r>
          </w:p>
        </w:tc>
        <w:tc>
          <w:tcPr>
            <w:tcW w:w="1816" w:type="dxa"/>
          </w:tcPr>
          <w:p w14:paraId="3DA458F3" w14:textId="23756501" w:rsidR="001C5EF3" w:rsidRDefault="00B847AF">
            <w:pPr>
              <w:rPr>
                <w:lang w:val="en-GB"/>
              </w:rPr>
            </w:pPr>
            <w:r>
              <w:rPr>
                <w:lang w:val="en-GB"/>
              </w:rPr>
              <w:t>Evidence p</w:t>
            </w:r>
            <w:r>
              <w:rPr>
                <w:lang w:val="en-GB"/>
              </w:rPr>
              <w:t>rovider</w:t>
            </w:r>
          </w:p>
        </w:tc>
        <w:tc>
          <w:tcPr>
            <w:tcW w:w="1574" w:type="dxa"/>
          </w:tcPr>
          <w:p w14:paraId="04B2F669" w14:textId="5E404967" w:rsidR="001C5EF3" w:rsidRDefault="00B847AF">
            <w:pPr>
              <w:rPr>
                <w:lang w:val="en-GB"/>
              </w:rPr>
            </w:pPr>
            <w:r>
              <w:rPr>
                <w:lang w:val="en-GB"/>
              </w:rPr>
              <w:t>E-delivery</w:t>
            </w:r>
            <w:r w:rsidR="00087C6E">
              <w:rPr>
                <w:lang w:val="en-GB"/>
              </w:rPr>
              <w:t>-</w:t>
            </w:r>
            <w:r>
              <w:rPr>
                <w:lang w:val="en-GB"/>
              </w:rPr>
              <w:t>AS4</w:t>
            </w:r>
          </w:p>
        </w:tc>
      </w:tr>
    </w:tbl>
    <w:p w14:paraId="27EA3656" w14:textId="77777777" w:rsidR="001C5EF3" w:rsidRDefault="001C5EF3">
      <w:pPr>
        <w:rPr>
          <w:lang w:val="en-GB"/>
        </w:rPr>
      </w:pPr>
    </w:p>
    <w:p w14:paraId="6104E6EF" w14:textId="786A3B13" w:rsidR="007B2C2E" w:rsidRDefault="005E07B7">
      <w:pPr>
        <w:rPr>
          <w:lang w:val="en-GB"/>
        </w:rPr>
      </w:pPr>
      <w:r>
        <w:rPr>
          <w:lang w:val="en-GB"/>
        </w:rPr>
        <w:t>Loop ‘0’ is a REST-</w:t>
      </w:r>
      <w:proofErr w:type="spellStart"/>
      <w:r>
        <w:rPr>
          <w:lang w:val="en-GB"/>
        </w:rPr>
        <w:t>api</w:t>
      </w:r>
      <w:proofErr w:type="spellEnd"/>
      <w:r>
        <w:rPr>
          <w:lang w:val="en-GB"/>
        </w:rPr>
        <w:t xml:space="preserve"> to find the OOTS-</w:t>
      </w:r>
      <w:proofErr w:type="spellStart"/>
      <w:r>
        <w:rPr>
          <w:lang w:val="en-GB"/>
        </w:rPr>
        <w:t>dataservices</w:t>
      </w:r>
      <w:proofErr w:type="spellEnd"/>
      <w:r>
        <w:rPr>
          <w:lang w:val="en-GB"/>
        </w:rPr>
        <w:t xml:space="preserve">.  </w:t>
      </w:r>
      <w:r w:rsidR="008B4F91">
        <w:rPr>
          <w:lang w:val="en-GB"/>
        </w:rPr>
        <w:t xml:space="preserve">Loop 1 has been designed to return evidence providers for instance </w:t>
      </w:r>
      <w:r w:rsidR="00087C6E">
        <w:rPr>
          <w:lang w:val="en-GB"/>
        </w:rPr>
        <w:t>population administrations</w:t>
      </w:r>
      <w:r w:rsidR="008B4F91">
        <w:rPr>
          <w:lang w:val="en-GB"/>
        </w:rPr>
        <w:t xml:space="preserve"> and </w:t>
      </w:r>
      <w:r w:rsidR="00087C6E">
        <w:rPr>
          <w:lang w:val="en-GB"/>
        </w:rPr>
        <w:t>tax authorities.</w:t>
      </w:r>
      <w:r w:rsidR="008B4F91">
        <w:rPr>
          <w:lang w:val="en-GB"/>
        </w:rPr>
        <w:t xml:space="preserve"> </w:t>
      </w:r>
      <w:r>
        <w:rPr>
          <w:lang w:val="en-GB"/>
        </w:rPr>
        <w:t>F</w:t>
      </w:r>
      <w:r w:rsidR="00087C6E">
        <w:rPr>
          <w:lang w:val="en-GB"/>
        </w:rPr>
        <w:t xml:space="preserve">or every </w:t>
      </w:r>
      <w:r w:rsidR="00ED596F">
        <w:rPr>
          <w:lang w:val="en-GB"/>
        </w:rPr>
        <w:t xml:space="preserve">regional </w:t>
      </w:r>
      <w:proofErr w:type="spellStart"/>
      <w:r>
        <w:rPr>
          <w:lang w:val="en-GB"/>
        </w:rPr>
        <w:t>dataservice</w:t>
      </w:r>
      <w:proofErr w:type="spellEnd"/>
      <w:r>
        <w:rPr>
          <w:lang w:val="en-GB"/>
        </w:rPr>
        <w:t xml:space="preserve"> </w:t>
      </w:r>
      <w:r w:rsidR="00087C6E">
        <w:rPr>
          <w:lang w:val="en-GB"/>
        </w:rPr>
        <w:t xml:space="preserve">there will be </w:t>
      </w:r>
      <w:r>
        <w:rPr>
          <w:lang w:val="en-GB"/>
        </w:rPr>
        <w:t xml:space="preserve">more or less </w:t>
      </w:r>
      <w:r w:rsidR="00087C6E">
        <w:rPr>
          <w:lang w:val="en-GB"/>
        </w:rPr>
        <w:t>one provider for every type of evidence</w:t>
      </w:r>
      <w:r w:rsidR="007B2C2E">
        <w:rPr>
          <w:lang w:val="en-GB"/>
        </w:rPr>
        <w:t xml:space="preserve">. </w:t>
      </w:r>
      <w:r w:rsidR="00ED596F">
        <w:rPr>
          <w:lang w:val="en-GB"/>
        </w:rPr>
        <w:t xml:space="preserve"> Loop 2 </w:t>
      </w:r>
      <w:r>
        <w:rPr>
          <w:lang w:val="en-GB"/>
        </w:rPr>
        <w:t>is a request -</w:t>
      </w:r>
      <w:r w:rsidR="008925AF">
        <w:rPr>
          <w:lang w:val="en-GB"/>
        </w:rPr>
        <w:t xml:space="preserve"> </w:t>
      </w:r>
      <w:r>
        <w:rPr>
          <w:lang w:val="en-GB"/>
        </w:rPr>
        <w:t>re</w:t>
      </w:r>
      <w:r w:rsidR="007B2C2E">
        <w:rPr>
          <w:lang w:val="en-GB"/>
        </w:rPr>
        <w:t>s</w:t>
      </w:r>
      <w:r>
        <w:rPr>
          <w:lang w:val="en-GB"/>
        </w:rPr>
        <w:t xml:space="preserve">ponse for evidence. It includes </w:t>
      </w:r>
      <w:r w:rsidR="00ED596F">
        <w:rPr>
          <w:lang w:val="en-GB"/>
        </w:rPr>
        <w:t xml:space="preserve">the shift of user focus to the </w:t>
      </w:r>
      <w:proofErr w:type="spellStart"/>
      <w:r w:rsidR="00ED596F">
        <w:rPr>
          <w:lang w:val="en-GB"/>
        </w:rPr>
        <w:t>webapplication</w:t>
      </w:r>
      <w:proofErr w:type="spellEnd"/>
      <w:r w:rsidR="00ED596F">
        <w:rPr>
          <w:lang w:val="en-GB"/>
        </w:rPr>
        <w:t xml:space="preserve"> of the </w:t>
      </w:r>
      <w:r>
        <w:rPr>
          <w:lang w:val="en-GB"/>
        </w:rPr>
        <w:t xml:space="preserve">evidence </w:t>
      </w:r>
      <w:r w:rsidR="00ED596F">
        <w:rPr>
          <w:lang w:val="en-GB"/>
        </w:rPr>
        <w:t>provider for preview and consent and afterwards a shift back</w:t>
      </w:r>
      <w:r>
        <w:rPr>
          <w:lang w:val="en-GB"/>
        </w:rPr>
        <w:t xml:space="preserve"> to the evidence consumer</w:t>
      </w:r>
      <w:r w:rsidR="007B2C2E" w:rsidRPr="007B2C2E">
        <w:rPr>
          <w:rStyle w:val="Voetnootmarkering"/>
          <w:lang w:val="en-GB"/>
        </w:rPr>
        <w:t xml:space="preserve"> </w:t>
      </w:r>
      <w:r w:rsidR="007B2C2E">
        <w:rPr>
          <w:rStyle w:val="Voetnootmarkering"/>
          <w:lang w:val="en-GB"/>
        </w:rPr>
        <w:footnoteReference w:id="1"/>
      </w:r>
      <w:r w:rsidR="007B2C2E">
        <w:rPr>
          <w:lang w:val="en-GB"/>
        </w:rPr>
        <w:t>.</w:t>
      </w:r>
    </w:p>
    <w:p w14:paraId="329109F2" w14:textId="77A6E6FD" w:rsidR="008B4F91" w:rsidRDefault="008C0DDD">
      <w:pPr>
        <w:rPr>
          <w:lang w:val="en-GB"/>
        </w:rPr>
      </w:pPr>
      <w:r>
        <w:rPr>
          <w:lang w:val="en-GB"/>
        </w:rPr>
        <w:t xml:space="preserve">Both </w:t>
      </w:r>
      <w:r w:rsidR="008925AF">
        <w:rPr>
          <w:lang w:val="en-GB"/>
        </w:rPr>
        <w:t xml:space="preserve">OOTS and </w:t>
      </w:r>
      <w:proofErr w:type="spellStart"/>
      <w:r w:rsidR="008925AF">
        <w:rPr>
          <w:lang w:val="en-GB"/>
        </w:rPr>
        <w:t>Emrex</w:t>
      </w:r>
      <w:proofErr w:type="spellEnd"/>
      <w:r w:rsidR="008925AF">
        <w:rPr>
          <w:lang w:val="en-GB"/>
        </w:rPr>
        <w:t xml:space="preserve"> </w:t>
      </w:r>
      <w:r>
        <w:rPr>
          <w:lang w:val="en-GB"/>
        </w:rPr>
        <w:t xml:space="preserve">have services </w:t>
      </w:r>
      <w:r w:rsidR="008925AF">
        <w:rPr>
          <w:lang w:val="en-GB"/>
        </w:rPr>
        <w:t xml:space="preserve">to find providers: </w:t>
      </w:r>
      <w:r w:rsidR="00ED596F">
        <w:rPr>
          <w:lang w:val="en-GB"/>
        </w:rPr>
        <w:br/>
      </w:r>
    </w:p>
    <w:tbl>
      <w:tblPr>
        <w:tblStyle w:val="Tabelraster"/>
        <w:tblW w:w="0" w:type="auto"/>
        <w:tblLook w:val="04A0" w:firstRow="1" w:lastRow="0" w:firstColumn="1" w:lastColumn="0" w:noHBand="0" w:noVBand="1"/>
      </w:tblPr>
      <w:tblGrid>
        <w:gridCol w:w="1087"/>
        <w:gridCol w:w="2618"/>
        <w:gridCol w:w="1921"/>
        <w:gridCol w:w="1816"/>
        <w:gridCol w:w="1574"/>
      </w:tblGrid>
      <w:tr w:rsidR="00087C6E" w:rsidRPr="001C5EF3" w14:paraId="726DF7F1" w14:textId="77777777" w:rsidTr="00F77F73">
        <w:tc>
          <w:tcPr>
            <w:tcW w:w="1087" w:type="dxa"/>
          </w:tcPr>
          <w:p w14:paraId="1198DDF2" w14:textId="77777777" w:rsidR="00087C6E" w:rsidRPr="001C5EF3" w:rsidRDefault="00087C6E" w:rsidP="00F77F73">
            <w:pPr>
              <w:rPr>
                <w:b/>
                <w:bCs/>
                <w:lang w:val="en-GB"/>
              </w:rPr>
            </w:pPr>
            <w:r w:rsidRPr="001C5EF3">
              <w:rPr>
                <w:b/>
                <w:bCs/>
                <w:lang w:val="en-GB"/>
              </w:rPr>
              <w:t>OOTS loop</w:t>
            </w:r>
          </w:p>
        </w:tc>
        <w:tc>
          <w:tcPr>
            <w:tcW w:w="2618" w:type="dxa"/>
          </w:tcPr>
          <w:p w14:paraId="308743C3" w14:textId="77777777" w:rsidR="00087C6E" w:rsidRPr="001C5EF3" w:rsidRDefault="00087C6E" w:rsidP="00F77F73">
            <w:pPr>
              <w:rPr>
                <w:b/>
                <w:bCs/>
                <w:lang w:val="en-GB"/>
              </w:rPr>
            </w:pPr>
            <w:r w:rsidRPr="001C5EF3">
              <w:rPr>
                <w:b/>
                <w:bCs/>
                <w:lang w:val="en-GB"/>
              </w:rPr>
              <w:t xml:space="preserve">What </w:t>
            </w:r>
            <w:r>
              <w:rPr>
                <w:b/>
                <w:bCs/>
                <w:lang w:val="en-GB"/>
              </w:rPr>
              <w:t>does it do?</w:t>
            </w:r>
          </w:p>
        </w:tc>
        <w:tc>
          <w:tcPr>
            <w:tcW w:w="1921" w:type="dxa"/>
          </w:tcPr>
          <w:p w14:paraId="503F682E" w14:textId="77777777" w:rsidR="00087C6E" w:rsidRPr="001C5EF3" w:rsidRDefault="00087C6E" w:rsidP="00F77F73">
            <w:pPr>
              <w:rPr>
                <w:b/>
                <w:bCs/>
                <w:lang w:val="en-GB"/>
              </w:rPr>
            </w:pPr>
            <w:r w:rsidRPr="001C5EF3">
              <w:rPr>
                <w:b/>
                <w:bCs/>
                <w:lang w:val="en-GB"/>
              </w:rPr>
              <w:t>Source</w:t>
            </w:r>
          </w:p>
        </w:tc>
        <w:tc>
          <w:tcPr>
            <w:tcW w:w="1816" w:type="dxa"/>
          </w:tcPr>
          <w:p w14:paraId="2B8C8C79" w14:textId="77777777" w:rsidR="00087C6E" w:rsidRPr="001C5EF3" w:rsidRDefault="00087C6E" w:rsidP="00F77F73">
            <w:pPr>
              <w:rPr>
                <w:b/>
                <w:bCs/>
                <w:lang w:val="en-GB"/>
              </w:rPr>
            </w:pPr>
            <w:r w:rsidRPr="001C5EF3">
              <w:rPr>
                <w:b/>
                <w:bCs/>
                <w:lang w:val="en-GB"/>
              </w:rPr>
              <w:t>Who</w:t>
            </w:r>
            <w:r>
              <w:rPr>
                <w:b/>
                <w:bCs/>
                <w:lang w:val="en-GB"/>
              </w:rPr>
              <w:t xml:space="preserve"> services</w:t>
            </w:r>
            <w:r w:rsidRPr="001C5EF3">
              <w:rPr>
                <w:b/>
                <w:bCs/>
                <w:lang w:val="en-GB"/>
              </w:rPr>
              <w:t xml:space="preserve"> it</w:t>
            </w:r>
            <w:r>
              <w:rPr>
                <w:b/>
                <w:bCs/>
                <w:lang w:val="en-GB"/>
              </w:rPr>
              <w:t>?</w:t>
            </w:r>
          </w:p>
        </w:tc>
        <w:tc>
          <w:tcPr>
            <w:tcW w:w="1574" w:type="dxa"/>
          </w:tcPr>
          <w:p w14:paraId="49F5B6AD" w14:textId="5BF4D38E" w:rsidR="00087C6E" w:rsidRPr="001C5EF3" w:rsidRDefault="00087C6E" w:rsidP="00F77F73">
            <w:pPr>
              <w:rPr>
                <w:b/>
                <w:bCs/>
                <w:lang w:val="en-GB"/>
              </w:rPr>
            </w:pPr>
            <w:r>
              <w:rPr>
                <w:b/>
                <w:bCs/>
                <w:lang w:val="en-GB"/>
              </w:rPr>
              <w:t xml:space="preserve">OOTS </w:t>
            </w:r>
            <w:r w:rsidR="00F9447A">
              <w:rPr>
                <w:b/>
                <w:bCs/>
                <w:lang w:val="en-GB"/>
              </w:rPr>
              <w:t>protocol</w:t>
            </w:r>
          </w:p>
        </w:tc>
      </w:tr>
      <w:tr w:rsidR="00087C6E" w14:paraId="4B952C71" w14:textId="77777777" w:rsidTr="00F77F73">
        <w:tc>
          <w:tcPr>
            <w:tcW w:w="1087" w:type="dxa"/>
          </w:tcPr>
          <w:p w14:paraId="7FCDC45E" w14:textId="77777777" w:rsidR="00087C6E" w:rsidRDefault="00087C6E" w:rsidP="00F77F73">
            <w:pPr>
              <w:rPr>
                <w:lang w:val="en-GB"/>
              </w:rPr>
            </w:pPr>
            <w:r>
              <w:rPr>
                <w:lang w:val="en-GB"/>
              </w:rPr>
              <w:t>0</w:t>
            </w:r>
          </w:p>
        </w:tc>
        <w:tc>
          <w:tcPr>
            <w:tcW w:w="2618" w:type="dxa"/>
          </w:tcPr>
          <w:p w14:paraId="13F3590A" w14:textId="73C4CAB7" w:rsidR="00087C6E" w:rsidRDefault="00087C6E" w:rsidP="00F77F73">
            <w:pPr>
              <w:rPr>
                <w:lang w:val="en-GB"/>
              </w:rPr>
            </w:pPr>
            <w:r>
              <w:rPr>
                <w:lang w:val="en-GB"/>
              </w:rPr>
              <w:t xml:space="preserve">Search and find </w:t>
            </w:r>
            <w:proofErr w:type="spellStart"/>
            <w:r w:rsidR="00EE2F9B">
              <w:rPr>
                <w:lang w:val="en-GB"/>
              </w:rPr>
              <w:t>d</w:t>
            </w:r>
            <w:r>
              <w:rPr>
                <w:lang w:val="en-GB"/>
              </w:rPr>
              <w:t>ataservice</w:t>
            </w:r>
            <w:proofErr w:type="spellEnd"/>
          </w:p>
        </w:tc>
        <w:tc>
          <w:tcPr>
            <w:tcW w:w="1921" w:type="dxa"/>
          </w:tcPr>
          <w:p w14:paraId="79AB9717" w14:textId="77777777" w:rsidR="00087C6E" w:rsidRDefault="00087C6E" w:rsidP="00F77F73">
            <w:pPr>
              <w:rPr>
                <w:lang w:val="en-GB"/>
              </w:rPr>
            </w:pPr>
            <w:proofErr w:type="spellStart"/>
            <w:r>
              <w:rPr>
                <w:lang w:val="en-GB"/>
              </w:rPr>
              <w:t>Dataservice</w:t>
            </w:r>
            <w:proofErr w:type="spellEnd"/>
            <w:r>
              <w:rPr>
                <w:lang w:val="en-GB"/>
              </w:rPr>
              <w:t xml:space="preserve"> Directory (DSD)</w:t>
            </w:r>
          </w:p>
        </w:tc>
        <w:tc>
          <w:tcPr>
            <w:tcW w:w="1816" w:type="dxa"/>
          </w:tcPr>
          <w:p w14:paraId="46D051FA" w14:textId="77777777" w:rsidR="00087C6E" w:rsidRDefault="00087C6E" w:rsidP="00F77F73">
            <w:pPr>
              <w:rPr>
                <w:lang w:val="en-GB"/>
              </w:rPr>
            </w:pPr>
            <w:r>
              <w:rPr>
                <w:lang w:val="en-GB"/>
              </w:rPr>
              <w:t>EU</w:t>
            </w:r>
          </w:p>
        </w:tc>
        <w:tc>
          <w:tcPr>
            <w:tcW w:w="1574" w:type="dxa"/>
          </w:tcPr>
          <w:p w14:paraId="40E5D124" w14:textId="77777777" w:rsidR="00087C6E" w:rsidRDefault="00087C6E" w:rsidP="00F77F73">
            <w:pPr>
              <w:rPr>
                <w:lang w:val="en-GB"/>
              </w:rPr>
            </w:pPr>
            <w:r>
              <w:rPr>
                <w:lang w:val="en-GB"/>
              </w:rPr>
              <w:t>E-delivery-API</w:t>
            </w:r>
          </w:p>
        </w:tc>
      </w:tr>
      <w:tr w:rsidR="00087C6E" w14:paraId="33BB8348" w14:textId="77777777" w:rsidTr="00F77F73">
        <w:tc>
          <w:tcPr>
            <w:tcW w:w="1087" w:type="dxa"/>
          </w:tcPr>
          <w:p w14:paraId="34D6C723" w14:textId="77777777" w:rsidR="00087C6E" w:rsidRDefault="00087C6E" w:rsidP="00F77F73">
            <w:pPr>
              <w:rPr>
                <w:lang w:val="en-GB"/>
              </w:rPr>
            </w:pPr>
            <w:r>
              <w:rPr>
                <w:lang w:val="en-GB"/>
              </w:rPr>
              <w:t>1a</w:t>
            </w:r>
          </w:p>
        </w:tc>
        <w:tc>
          <w:tcPr>
            <w:tcW w:w="2618" w:type="dxa"/>
          </w:tcPr>
          <w:p w14:paraId="2EA26C9F" w14:textId="7D3270AA" w:rsidR="00087C6E" w:rsidRDefault="00087C6E" w:rsidP="00F77F73">
            <w:pPr>
              <w:rPr>
                <w:lang w:val="en-GB"/>
              </w:rPr>
            </w:pPr>
            <w:r>
              <w:rPr>
                <w:lang w:val="en-GB"/>
              </w:rPr>
              <w:t xml:space="preserve">Search and find </w:t>
            </w:r>
            <w:proofErr w:type="spellStart"/>
            <w:r w:rsidR="00EE2F9B">
              <w:rPr>
                <w:lang w:val="en-GB"/>
              </w:rPr>
              <w:t>d</w:t>
            </w:r>
            <w:r>
              <w:rPr>
                <w:lang w:val="en-GB"/>
              </w:rPr>
              <w:t>ataprovider</w:t>
            </w:r>
            <w:proofErr w:type="spellEnd"/>
          </w:p>
        </w:tc>
        <w:tc>
          <w:tcPr>
            <w:tcW w:w="1921" w:type="dxa"/>
          </w:tcPr>
          <w:p w14:paraId="282DE09C" w14:textId="77777777" w:rsidR="00087C6E" w:rsidRDefault="00087C6E" w:rsidP="00F77F73">
            <w:pPr>
              <w:rPr>
                <w:lang w:val="en-GB"/>
              </w:rPr>
            </w:pPr>
            <w:r>
              <w:rPr>
                <w:lang w:val="en-GB"/>
              </w:rPr>
              <w:t>Regional registry</w:t>
            </w:r>
          </w:p>
        </w:tc>
        <w:tc>
          <w:tcPr>
            <w:tcW w:w="1816" w:type="dxa"/>
          </w:tcPr>
          <w:p w14:paraId="030E9A24" w14:textId="77777777" w:rsidR="00087C6E" w:rsidRDefault="00087C6E" w:rsidP="00F77F73">
            <w:pPr>
              <w:rPr>
                <w:lang w:val="en-GB"/>
              </w:rPr>
            </w:pPr>
            <w:r>
              <w:rPr>
                <w:lang w:val="en-GB"/>
              </w:rPr>
              <w:t>Member state</w:t>
            </w:r>
          </w:p>
        </w:tc>
        <w:tc>
          <w:tcPr>
            <w:tcW w:w="1574" w:type="dxa"/>
          </w:tcPr>
          <w:p w14:paraId="623C05E8" w14:textId="77777777" w:rsidR="00087C6E" w:rsidRDefault="00087C6E" w:rsidP="00F77F73">
            <w:pPr>
              <w:rPr>
                <w:lang w:val="en-GB"/>
              </w:rPr>
            </w:pPr>
            <w:r>
              <w:rPr>
                <w:lang w:val="en-GB"/>
              </w:rPr>
              <w:t>E-delivery AS4</w:t>
            </w:r>
          </w:p>
        </w:tc>
      </w:tr>
      <w:tr w:rsidR="00087C6E" w14:paraId="19F5381A" w14:textId="77777777" w:rsidTr="00F77F73">
        <w:tc>
          <w:tcPr>
            <w:tcW w:w="1087" w:type="dxa"/>
          </w:tcPr>
          <w:p w14:paraId="3BA81E26" w14:textId="77777777" w:rsidR="00087C6E" w:rsidRDefault="00087C6E" w:rsidP="00F77F73">
            <w:pPr>
              <w:rPr>
                <w:lang w:val="en-GB"/>
              </w:rPr>
            </w:pPr>
            <w:r>
              <w:rPr>
                <w:lang w:val="en-GB"/>
              </w:rPr>
              <w:t>1b</w:t>
            </w:r>
          </w:p>
        </w:tc>
        <w:tc>
          <w:tcPr>
            <w:tcW w:w="2618" w:type="dxa"/>
          </w:tcPr>
          <w:p w14:paraId="3B996C1A" w14:textId="47F2AE1C" w:rsidR="00087C6E" w:rsidRDefault="00087C6E" w:rsidP="00F77F73">
            <w:pPr>
              <w:rPr>
                <w:lang w:val="en-GB"/>
              </w:rPr>
            </w:pPr>
            <w:r>
              <w:rPr>
                <w:lang w:val="en-GB"/>
              </w:rPr>
              <w:t xml:space="preserve">Search and find </w:t>
            </w:r>
            <w:proofErr w:type="spellStart"/>
            <w:r w:rsidR="00EE2F9B">
              <w:rPr>
                <w:lang w:val="en-GB"/>
              </w:rPr>
              <w:t>d</w:t>
            </w:r>
            <w:r>
              <w:rPr>
                <w:lang w:val="en-GB"/>
              </w:rPr>
              <w:t>ataprovider</w:t>
            </w:r>
            <w:proofErr w:type="spellEnd"/>
          </w:p>
        </w:tc>
        <w:tc>
          <w:tcPr>
            <w:tcW w:w="1921" w:type="dxa"/>
          </w:tcPr>
          <w:p w14:paraId="07D4E230" w14:textId="13A41D5C" w:rsidR="00087C6E" w:rsidRDefault="00087C6E" w:rsidP="00F77F73">
            <w:pPr>
              <w:rPr>
                <w:lang w:val="en-GB"/>
              </w:rPr>
            </w:pPr>
            <w:r>
              <w:rPr>
                <w:lang w:val="en-GB"/>
              </w:rPr>
              <w:t xml:space="preserve">Sectoral registry </w:t>
            </w:r>
            <w:r w:rsidR="00E77F7C">
              <w:rPr>
                <w:lang w:val="en-GB"/>
              </w:rPr>
              <w:t xml:space="preserve">  (</w:t>
            </w:r>
            <w:r w:rsidR="00F9447A">
              <w:rPr>
                <w:lang w:val="en-GB"/>
              </w:rPr>
              <w:t xml:space="preserve">like </w:t>
            </w:r>
            <w:proofErr w:type="spellStart"/>
            <w:r>
              <w:rPr>
                <w:lang w:val="en-GB"/>
              </w:rPr>
              <w:t>Emreg</w:t>
            </w:r>
            <w:proofErr w:type="spellEnd"/>
            <w:r w:rsidR="00E77F7C">
              <w:rPr>
                <w:lang w:val="en-GB"/>
              </w:rPr>
              <w:t>)</w:t>
            </w:r>
          </w:p>
        </w:tc>
        <w:tc>
          <w:tcPr>
            <w:tcW w:w="1816" w:type="dxa"/>
          </w:tcPr>
          <w:p w14:paraId="0CF5FC85" w14:textId="32302F81" w:rsidR="00087C6E" w:rsidRDefault="00087C6E" w:rsidP="00F77F73">
            <w:pPr>
              <w:rPr>
                <w:lang w:val="en-GB"/>
              </w:rPr>
            </w:pPr>
            <w:proofErr w:type="spellStart"/>
            <w:r>
              <w:rPr>
                <w:lang w:val="en-GB"/>
              </w:rPr>
              <w:t>Emrex</w:t>
            </w:r>
            <w:proofErr w:type="spellEnd"/>
          </w:p>
        </w:tc>
        <w:tc>
          <w:tcPr>
            <w:tcW w:w="1574" w:type="dxa"/>
          </w:tcPr>
          <w:p w14:paraId="53E52CD1" w14:textId="77777777" w:rsidR="00087C6E" w:rsidRDefault="00087C6E" w:rsidP="00F77F73">
            <w:pPr>
              <w:rPr>
                <w:lang w:val="en-GB"/>
              </w:rPr>
            </w:pPr>
            <w:r>
              <w:rPr>
                <w:lang w:val="en-GB"/>
              </w:rPr>
              <w:t>API</w:t>
            </w:r>
          </w:p>
        </w:tc>
      </w:tr>
      <w:tr w:rsidR="00087C6E" w14:paraId="10DF1C44" w14:textId="77777777" w:rsidTr="00F77F73">
        <w:tc>
          <w:tcPr>
            <w:tcW w:w="1087" w:type="dxa"/>
          </w:tcPr>
          <w:p w14:paraId="6F75FFAE" w14:textId="77777777" w:rsidR="00087C6E" w:rsidRDefault="00087C6E" w:rsidP="00F77F73">
            <w:pPr>
              <w:rPr>
                <w:lang w:val="en-GB"/>
              </w:rPr>
            </w:pPr>
            <w:r>
              <w:rPr>
                <w:lang w:val="en-GB"/>
              </w:rPr>
              <w:t>2</w:t>
            </w:r>
          </w:p>
        </w:tc>
        <w:tc>
          <w:tcPr>
            <w:tcW w:w="2618" w:type="dxa"/>
          </w:tcPr>
          <w:p w14:paraId="1CDEA5EE" w14:textId="77777777" w:rsidR="00087C6E" w:rsidRDefault="00087C6E" w:rsidP="00F77F73">
            <w:pPr>
              <w:rPr>
                <w:lang w:val="en-GB"/>
              </w:rPr>
            </w:pPr>
            <w:proofErr w:type="spellStart"/>
            <w:r>
              <w:rPr>
                <w:lang w:val="en-GB"/>
              </w:rPr>
              <w:t>Preview&amp;consent</w:t>
            </w:r>
            <w:proofErr w:type="spellEnd"/>
            <w:r>
              <w:rPr>
                <w:lang w:val="en-GB"/>
              </w:rPr>
              <w:t xml:space="preserve"> evidence</w:t>
            </w:r>
          </w:p>
        </w:tc>
        <w:tc>
          <w:tcPr>
            <w:tcW w:w="1921" w:type="dxa"/>
          </w:tcPr>
          <w:p w14:paraId="24906EB5" w14:textId="77777777" w:rsidR="00087C6E" w:rsidRDefault="00087C6E" w:rsidP="00F77F73">
            <w:pPr>
              <w:rPr>
                <w:lang w:val="en-GB"/>
              </w:rPr>
            </w:pPr>
            <w:r>
              <w:rPr>
                <w:lang w:val="en-GB"/>
              </w:rPr>
              <w:t>Provider registry</w:t>
            </w:r>
          </w:p>
        </w:tc>
        <w:tc>
          <w:tcPr>
            <w:tcW w:w="1816" w:type="dxa"/>
          </w:tcPr>
          <w:p w14:paraId="53F3E806" w14:textId="77777777" w:rsidR="00087C6E" w:rsidRDefault="00087C6E" w:rsidP="00F77F73">
            <w:pPr>
              <w:rPr>
                <w:lang w:val="en-GB"/>
              </w:rPr>
            </w:pPr>
            <w:r>
              <w:rPr>
                <w:lang w:val="en-GB"/>
              </w:rPr>
              <w:t>Evidence provider</w:t>
            </w:r>
          </w:p>
        </w:tc>
        <w:tc>
          <w:tcPr>
            <w:tcW w:w="1574" w:type="dxa"/>
          </w:tcPr>
          <w:p w14:paraId="4F1918F4" w14:textId="77777777" w:rsidR="00087C6E" w:rsidRDefault="00087C6E" w:rsidP="00F77F73">
            <w:pPr>
              <w:rPr>
                <w:lang w:val="en-GB"/>
              </w:rPr>
            </w:pPr>
            <w:r>
              <w:rPr>
                <w:lang w:val="en-GB"/>
              </w:rPr>
              <w:t>E-delivery AS4</w:t>
            </w:r>
          </w:p>
        </w:tc>
      </w:tr>
    </w:tbl>
    <w:p w14:paraId="2E3449FE" w14:textId="77777777" w:rsidR="001C5EF3" w:rsidRDefault="001C5EF3">
      <w:pPr>
        <w:rPr>
          <w:lang w:val="en-GB"/>
        </w:rPr>
      </w:pPr>
    </w:p>
    <w:p w14:paraId="64006E35" w14:textId="476352BD" w:rsidR="00E77F7C" w:rsidRPr="00E77F7C" w:rsidRDefault="00EE2F9B" w:rsidP="00E77F7C">
      <w:pPr>
        <w:rPr>
          <w:lang w:val="en-GB"/>
        </w:rPr>
      </w:pPr>
      <w:r>
        <w:rPr>
          <w:lang w:val="en-GB"/>
        </w:rPr>
        <w:lastRenderedPageBreak/>
        <w:t>Sectoral and regional registries have the same purpose, to search and find the provider(s) where</w:t>
      </w:r>
      <w:r>
        <w:rPr>
          <w:lang w:val="en-GB"/>
        </w:rPr>
        <w:t xml:space="preserve"> </w:t>
      </w:r>
      <w:r>
        <w:rPr>
          <w:lang w:val="en-GB"/>
        </w:rPr>
        <w:t>evidence can be obtained.</w:t>
      </w:r>
      <w:r>
        <w:rPr>
          <w:lang w:val="en-GB"/>
        </w:rPr>
        <w:t xml:space="preserve">  </w:t>
      </w:r>
      <w:r w:rsidR="008B4F91">
        <w:rPr>
          <w:lang w:val="en-GB"/>
        </w:rPr>
        <w:t xml:space="preserve">The results from </w:t>
      </w:r>
      <w:r>
        <w:rPr>
          <w:lang w:val="en-GB"/>
        </w:rPr>
        <w:t xml:space="preserve">loop </w:t>
      </w:r>
      <w:r w:rsidR="008B4F91">
        <w:rPr>
          <w:lang w:val="en-GB"/>
        </w:rPr>
        <w:t xml:space="preserve">1a will be limited to </w:t>
      </w:r>
      <w:r>
        <w:rPr>
          <w:lang w:val="en-GB"/>
        </w:rPr>
        <w:t xml:space="preserve">a </w:t>
      </w:r>
      <w:r w:rsidR="009122C5">
        <w:rPr>
          <w:lang w:val="en-GB"/>
        </w:rPr>
        <w:t xml:space="preserve">region </w:t>
      </w:r>
      <w:r w:rsidR="00F9447A">
        <w:rPr>
          <w:lang w:val="en-GB"/>
        </w:rPr>
        <w:t xml:space="preserve">(all evidence types) </w:t>
      </w:r>
      <w:r w:rsidR="00ED596F">
        <w:rPr>
          <w:lang w:val="en-GB"/>
        </w:rPr>
        <w:t xml:space="preserve">and result from loop 1b to </w:t>
      </w:r>
      <w:r>
        <w:rPr>
          <w:lang w:val="en-GB"/>
        </w:rPr>
        <w:t xml:space="preserve">educational evidence </w:t>
      </w:r>
      <w:r w:rsidR="00F9447A">
        <w:rPr>
          <w:lang w:val="en-GB"/>
        </w:rPr>
        <w:t>(all regions</w:t>
      </w:r>
      <w:r w:rsidR="008C0DDD">
        <w:rPr>
          <w:lang w:val="en-GB"/>
        </w:rPr>
        <w:t>, a few</w:t>
      </w:r>
      <w:r w:rsidR="009122C5">
        <w:rPr>
          <w:lang w:val="en-GB"/>
        </w:rPr>
        <w:t xml:space="preserve"> </w:t>
      </w:r>
      <w:r w:rsidR="008C0DDD">
        <w:rPr>
          <w:lang w:val="en-GB"/>
        </w:rPr>
        <w:t>types</w:t>
      </w:r>
      <w:r w:rsidR="00F9447A">
        <w:rPr>
          <w:lang w:val="en-GB"/>
        </w:rPr>
        <w:t>)</w:t>
      </w:r>
      <w:r w:rsidR="00ED596F">
        <w:rPr>
          <w:lang w:val="en-GB"/>
        </w:rPr>
        <w:t>.</w:t>
      </w:r>
      <w:r>
        <w:rPr>
          <w:lang w:val="en-GB"/>
        </w:rPr>
        <w:t xml:space="preserve"> </w:t>
      </w:r>
    </w:p>
    <w:p w14:paraId="0F4094F4" w14:textId="77777777" w:rsidR="00F9447A" w:rsidRDefault="00F9447A">
      <w:pPr>
        <w:rPr>
          <w:lang w:val="en-GB"/>
        </w:rPr>
      </w:pPr>
      <w:r>
        <w:rPr>
          <w:lang w:val="en-GB"/>
        </w:rPr>
        <w:br w:type="page"/>
      </w:r>
    </w:p>
    <w:p w14:paraId="40F19D82" w14:textId="26122AAA" w:rsidR="00EE2F9B" w:rsidRPr="004C31E5" w:rsidRDefault="000B08AB" w:rsidP="004C31E5">
      <w:pPr>
        <w:rPr>
          <w:lang w:val="en-GB"/>
        </w:rPr>
      </w:pPr>
      <w:r>
        <w:rPr>
          <w:lang w:val="en-GB"/>
        </w:rPr>
        <w:lastRenderedPageBreak/>
        <w:t xml:space="preserve">The </w:t>
      </w:r>
      <w:r w:rsidR="00F9447A">
        <w:rPr>
          <w:lang w:val="en-GB"/>
        </w:rPr>
        <w:t>exchange protocols for each loop</w:t>
      </w:r>
      <w:r>
        <w:rPr>
          <w:lang w:val="en-GB"/>
        </w:rPr>
        <w:t xml:space="preserve"> differ</w:t>
      </w:r>
      <w:r w:rsidR="00F9447A">
        <w:rPr>
          <w:lang w:val="en-GB"/>
        </w:rPr>
        <w:t xml:space="preserve">. </w:t>
      </w:r>
      <w:r w:rsidR="000869BE">
        <w:rPr>
          <w:lang w:val="en-GB"/>
        </w:rPr>
        <w:t xml:space="preserve"> </w:t>
      </w:r>
      <w:r w:rsidR="00F9447A" w:rsidRPr="004C31E5">
        <w:rPr>
          <w:lang w:val="en-GB"/>
        </w:rPr>
        <w:t>Loop 0</w:t>
      </w:r>
      <w:r w:rsidR="008C0DDD">
        <w:rPr>
          <w:lang w:val="en-GB"/>
        </w:rPr>
        <w:t xml:space="preserve"> accesses </w:t>
      </w:r>
      <w:r w:rsidR="000869BE">
        <w:rPr>
          <w:lang w:val="en-GB"/>
        </w:rPr>
        <w:t xml:space="preserve"> a registry at EU-level.  It is not </w:t>
      </w:r>
      <w:r w:rsidR="008C0DDD">
        <w:rPr>
          <w:lang w:val="en-GB"/>
        </w:rPr>
        <w:t xml:space="preserve">considered </w:t>
      </w:r>
      <w:r w:rsidR="004C31E5">
        <w:rPr>
          <w:lang w:val="en-GB"/>
        </w:rPr>
        <w:t xml:space="preserve">a </w:t>
      </w:r>
      <w:r w:rsidR="004C31E5" w:rsidRPr="004C31E5">
        <w:rPr>
          <w:lang w:val="en-GB"/>
        </w:rPr>
        <w:t>border</w:t>
      </w:r>
      <w:r w:rsidR="000869BE">
        <w:rPr>
          <w:lang w:val="en-GB"/>
        </w:rPr>
        <w:t xml:space="preserve"> </w:t>
      </w:r>
      <w:r w:rsidR="008C0DDD">
        <w:rPr>
          <w:lang w:val="en-GB"/>
        </w:rPr>
        <w:t xml:space="preserve">crossing </w:t>
      </w:r>
      <w:r w:rsidR="004C31E5" w:rsidRPr="004C31E5">
        <w:rPr>
          <w:lang w:val="en-GB"/>
        </w:rPr>
        <w:t xml:space="preserve">and </w:t>
      </w:r>
      <w:r w:rsidR="004C31E5">
        <w:rPr>
          <w:lang w:val="en-GB"/>
        </w:rPr>
        <w:t xml:space="preserve">is designed </w:t>
      </w:r>
      <w:r w:rsidR="008C0DDD">
        <w:rPr>
          <w:lang w:val="en-GB"/>
        </w:rPr>
        <w:t xml:space="preserve">with </w:t>
      </w:r>
      <w:r w:rsidR="004C31E5" w:rsidRPr="004C31E5">
        <w:rPr>
          <w:lang w:val="en-GB"/>
        </w:rPr>
        <w:t>a R</w:t>
      </w:r>
      <w:r w:rsidR="00F9447A" w:rsidRPr="004C31E5">
        <w:rPr>
          <w:lang w:val="en-GB"/>
        </w:rPr>
        <w:t>EST-API protocol</w:t>
      </w:r>
      <w:r w:rsidR="004C31E5" w:rsidRPr="004C31E5">
        <w:rPr>
          <w:lang w:val="en-GB"/>
        </w:rPr>
        <w:t xml:space="preserve"> conforming to a European standard (</w:t>
      </w:r>
      <w:r w:rsidR="004C31E5">
        <w:rPr>
          <w:lang w:val="en-GB"/>
        </w:rPr>
        <w:t>see</w:t>
      </w:r>
      <w:r w:rsidR="004C31E5" w:rsidRPr="004C31E5">
        <w:rPr>
          <w:lang w:val="en-GB"/>
        </w:rPr>
        <w:t>….)</w:t>
      </w:r>
      <w:r w:rsidR="004C31E5">
        <w:rPr>
          <w:lang w:val="en-GB"/>
        </w:rPr>
        <w:t xml:space="preserve">. </w:t>
      </w:r>
      <w:r w:rsidR="008C0DDD">
        <w:rPr>
          <w:lang w:val="en-GB"/>
        </w:rPr>
        <w:t xml:space="preserve"> </w:t>
      </w:r>
      <w:r w:rsidR="004C31E5">
        <w:rPr>
          <w:lang w:val="en-GB"/>
        </w:rPr>
        <w:t xml:space="preserve">Loop 1a and 2 do cross a border. Therefore the HLA states that they cross the border using another European standard, EbMS3/AS4.  </w:t>
      </w:r>
      <w:r w:rsidR="008C0DDD">
        <w:rPr>
          <w:lang w:val="en-GB"/>
        </w:rPr>
        <w:t xml:space="preserve">Loop 1b </w:t>
      </w:r>
      <w:r>
        <w:rPr>
          <w:lang w:val="en-GB"/>
        </w:rPr>
        <w:t xml:space="preserve">on the other hand </w:t>
      </w:r>
      <w:r w:rsidR="004C31E5">
        <w:rPr>
          <w:lang w:val="en-GB"/>
        </w:rPr>
        <w:t xml:space="preserve">also </w:t>
      </w:r>
      <w:r w:rsidR="000869BE">
        <w:rPr>
          <w:lang w:val="en-GB"/>
        </w:rPr>
        <w:t xml:space="preserve">addresses a registry </w:t>
      </w:r>
      <w:r w:rsidR="004C31E5">
        <w:rPr>
          <w:lang w:val="en-GB"/>
        </w:rPr>
        <w:t>at EU-level</w:t>
      </w:r>
      <w:r w:rsidR="00DA7458">
        <w:rPr>
          <w:lang w:val="en-GB"/>
        </w:rPr>
        <w:t xml:space="preserve">, </w:t>
      </w:r>
      <w:r>
        <w:rPr>
          <w:lang w:val="en-GB"/>
        </w:rPr>
        <w:t xml:space="preserve"> although limited in evidence types</w:t>
      </w:r>
      <w:r w:rsidR="008C0DDD">
        <w:rPr>
          <w:lang w:val="en-GB"/>
        </w:rPr>
        <w:t xml:space="preserve">. </w:t>
      </w:r>
      <w:r w:rsidR="004C31E5">
        <w:rPr>
          <w:lang w:val="en-GB"/>
        </w:rPr>
        <w:t xml:space="preserve"> </w:t>
      </w:r>
    </w:p>
    <w:p w14:paraId="1D36C41C" w14:textId="6B6D721B" w:rsidR="004C31E5" w:rsidRDefault="000869BE" w:rsidP="00EE2F9B">
      <w:pPr>
        <w:rPr>
          <w:lang w:val="en-GB"/>
        </w:rPr>
      </w:pPr>
      <w:r>
        <w:rPr>
          <w:lang w:val="en-GB"/>
        </w:rPr>
        <w:t>Since regional and sectoral registries have are functionally equivalent</w:t>
      </w:r>
      <w:r w:rsidR="003250DB">
        <w:rPr>
          <w:lang w:val="en-GB"/>
        </w:rPr>
        <w:t xml:space="preserve"> </w:t>
      </w:r>
      <w:proofErr w:type="spellStart"/>
      <w:r w:rsidR="003250DB">
        <w:rPr>
          <w:lang w:val="en-GB"/>
        </w:rPr>
        <w:t>Emrex</w:t>
      </w:r>
      <w:proofErr w:type="spellEnd"/>
      <w:r w:rsidR="003250DB">
        <w:rPr>
          <w:lang w:val="en-GB"/>
        </w:rPr>
        <w:t xml:space="preserve"> proposes </w:t>
      </w:r>
      <w:r w:rsidR="008C0DDD">
        <w:rPr>
          <w:lang w:val="en-GB"/>
        </w:rPr>
        <w:t xml:space="preserve">to  </w:t>
      </w:r>
      <w:r w:rsidR="008C0DDD">
        <w:rPr>
          <w:lang w:val="en-GB"/>
        </w:rPr>
        <w:t>harmoniz</w:t>
      </w:r>
      <w:r w:rsidR="008C0DDD">
        <w:rPr>
          <w:lang w:val="en-GB"/>
        </w:rPr>
        <w:t>e</w:t>
      </w:r>
      <w:r w:rsidR="008C0DDD">
        <w:rPr>
          <w:lang w:val="en-GB"/>
        </w:rPr>
        <w:t xml:space="preserve"> the </w:t>
      </w:r>
      <w:r w:rsidR="00645BE2">
        <w:rPr>
          <w:lang w:val="en-GB"/>
        </w:rPr>
        <w:t xml:space="preserve">technical protocol </w:t>
      </w:r>
      <w:r w:rsidR="008C0DDD">
        <w:rPr>
          <w:lang w:val="en-GB"/>
        </w:rPr>
        <w:t xml:space="preserve">to </w:t>
      </w:r>
      <w:r w:rsidR="008C0DDD">
        <w:rPr>
          <w:lang w:val="en-GB"/>
        </w:rPr>
        <w:t xml:space="preserve">search and </w:t>
      </w:r>
      <w:r w:rsidR="008C0DDD">
        <w:rPr>
          <w:lang w:val="en-GB"/>
        </w:rPr>
        <w:t>find providers</w:t>
      </w:r>
      <w:r w:rsidR="003250DB">
        <w:rPr>
          <w:lang w:val="en-GB"/>
        </w:rPr>
        <w:t>:</w:t>
      </w:r>
      <w:r>
        <w:rPr>
          <w:lang w:val="en-GB"/>
        </w:rPr>
        <w:t xml:space="preserve"> </w:t>
      </w:r>
    </w:p>
    <w:tbl>
      <w:tblPr>
        <w:tblStyle w:val="Tabelraster"/>
        <w:tblW w:w="0" w:type="auto"/>
        <w:tblLook w:val="04A0" w:firstRow="1" w:lastRow="0" w:firstColumn="1" w:lastColumn="0" w:noHBand="0" w:noVBand="1"/>
      </w:tblPr>
      <w:tblGrid>
        <w:gridCol w:w="1087"/>
        <w:gridCol w:w="2618"/>
        <w:gridCol w:w="1921"/>
        <w:gridCol w:w="1816"/>
        <w:gridCol w:w="1574"/>
      </w:tblGrid>
      <w:tr w:rsidR="000869BE" w:rsidRPr="001C5EF3" w14:paraId="1E536FCA" w14:textId="77777777" w:rsidTr="00F77F73">
        <w:tc>
          <w:tcPr>
            <w:tcW w:w="1087" w:type="dxa"/>
          </w:tcPr>
          <w:p w14:paraId="47A20157" w14:textId="77777777" w:rsidR="000869BE" w:rsidRPr="001C5EF3" w:rsidRDefault="000869BE" w:rsidP="00F77F73">
            <w:pPr>
              <w:rPr>
                <w:b/>
                <w:bCs/>
                <w:lang w:val="en-GB"/>
              </w:rPr>
            </w:pPr>
            <w:r w:rsidRPr="001C5EF3">
              <w:rPr>
                <w:b/>
                <w:bCs/>
                <w:lang w:val="en-GB"/>
              </w:rPr>
              <w:t>OOTS loop</w:t>
            </w:r>
          </w:p>
        </w:tc>
        <w:tc>
          <w:tcPr>
            <w:tcW w:w="2618" w:type="dxa"/>
          </w:tcPr>
          <w:p w14:paraId="2D1A3548" w14:textId="77777777" w:rsidR="000869BE" w:rsidRPr="001C5EF3" w:rsidRDefault="000869BE" w:rsidP="00F77F73">
            <w:pPr>
              <w:rPr>
                <w:b/>
                <w:bCs/>
                <w:lang w:val="en-GB"/>
              </w:rPr>
            </w:pPr>
            <w:r w:rsidRPr="001C5EF3">
              <w:rPr>
                <w:b/>
                <w:bCs/>
                <w:lang w:val="en-GB"/>
              </w:rPr>
              <w:t xml:space="preserve">What </w:t>
            </w:r>
            <w:r>
              <w:rPr>
                <w:b/>
                <w:bCs/>
                <w:lang w:val="en-GB"/>
              </w:rPr>
              <w:t>does it do?</w:t>
            </w:r>
          </w:p>
        </w:tc>
        <w:tc>
          <w:tcPr>
            <w:tcW w:w="1921" w:type="dxa"/>
          </w:tcPr>
          <w:p w14:paraId="617ADA5B" w14:textId="77777777" w:rsidR="000869BE" w:rsidRPr="001C5EF3" w:rsidRDefault="000869BE" w:rsidP="00F77F73">
            <w:pPr>
              <w:rPr>
                <w:b/>
                <w:bCs/>
                <w:lang w:val="en-GB"/>
              </w:rPr>
            </w:pPr>
            <w:r w:rsidRPr="001C5EF3">
              <w:rPr>
                <w:b/>
                <w:bCs/>
                <w:lang w:val="en-GB"/>
              </w:rPr>
              <w:t>Source</w:t>
            </w:r>
          </w:p>
        </w:tc>
        <w:tc>
          <w:tcPr>
            <w:tcW w:w="1816" w:type="dxa"/>
          </w:tcPr>
          <w:p w14:paraId="4117AEAC" w14:textId="77777777" w:rsidR="000869BE" w:rsidRPr="001C5EF3" w:rsidRDefault="000869BE" w:rsidP="00F77F73">
            <w:pPr>
              <w:rPr>
                <w:b/>
                <w:bCs/>
                <w:lang w:val="en-GB"/>
              </w:rPr>
            </w:pPr>
            <w:r w:rsidRPr="001C5EF3">
              <w:rPr>
                <w:b/>
                <w:bCs/>
                <w:lang w:val="en-GB"/>
              </w:rPr>
              <w:t>Who</w:t>
            </w:r>
            <w:r>
              <w:rPr>
                <w:b/>
                <w:bCs/>
                <w:lang w:val="en-GB"/>
              </w:rPr>
              <w:t xml:space="preserve"> services</w:t>
            </w:r>
            <w:r w:rsidRPr="001C5EF3">
              <w:rPr>
                <w:b/>
                <w:bCs/>
                <w:lang w:val="en-GB"/>
              </w:rPr>
              <w:t xml:space="preserve"> it</w:t>
            </w:r>
            <w:r>
              <w:rPr>
                <w:b/>
                <w:bCs/>
                <w:lang w:val="en-GB"/>
              </w:rPr>
              <w:t>?</w:t>
            </w:r>
          </w:p>
        </w:tc>
        <w:tc>
          <w:tcPr>
            <w:tcW w:w="1574" w:type="dxa"/>
          </w:tcPr>
          <w:p w14:paraId="4494DF9D" w14:textId="77777777" w:rsidR="000869BE" w:rsidRPr="001C5EF3" w:rsidRDefault="000869BE" w:rsidP="00F77F73">
            <w:pPr>
              <w:rPr>
                <w:b/>
                <w:bCs/>
                <w:lang w:val="en-GB"/>
              </w:rPr>
            </w:pPr>
            <w:r>
              <w:rPr>
                <w:b/>
                <w:bCs/>
                <w:lang w:val="en-GB"/>
              </w:rPr>
              <w:t>OOTS protocol</w:t>
            </w:r>
          </w:p>
        </w:tc>
      </w:tr>
      <w:tr w:rsidR="000869BE" w14:paraId="76D4FE0E" w14:textId="77777777" w:rsidTr="00F77F73">
        <w:tc>
          <w:tcPr>
            <w:tcW w:w="1087" w:type="dxa"/>
          </w:tcPr>
          <w:p w14:paraId="01F4657D" w14:textId="77777777" w:rsidR="000869BE" w:rsidRDefault="000869BE" w:rsidP="00F77F73">
            <w:pPr>
              <w:rPr>
                <w:lang w:val="en-GB"/>
              </w:rPr>
            </w:pPr>
            <w:r>
              <w:rPr>
                <w:lang w:val="en-GB"/>
              </w:rPr>
              <w:t>0</w:t>
            </w:r>
          </w:p>
        </w:tc>
        <w:tc>
          <w:tcPr>
            <w:tcW w:w="2618" w:type="dxa"/>
          </w:tcPr>
          <w:p w14:paraId="17E61C5E" w14:textId="77777777" w:rsidR="000869BE" w:rsidRDefault="000869BE" w:rsidP="00F77F73">
            <w:pPr>
              <w:rPr>
                <w:lang w:val="en-GB"/>
              </w:rPr>
            </w:pPr>
            <w:r>
              <w:rPr>
                <w:lang w:val="en-GB"/>
              </w:rPr>
              <w:t xml:space="preserve">Search and find </w:t>
            </w:r>
            <w:proofErr w:type="spellStart"/>
            <w:r>
              <w:rPr>
                <w:lang w:val="en-GB"/>
              </w:rPr>
              <w:t>dataservice</w:t>
            </w:r>
            <w:proofErr w:type="spellEnd"/>
          </w:p>
        </w:tc>
        <w:tc>
          <w:tcPr>
            <w:tcW w:w="1921" w:type="dxa"/>
          </w:tcPr>
          <w:p w14:paraId="71DAFF37" w14:textId="77777777" w:rsidR="000869BE" w:rsidRDefault="000869BE" w:rsidP="00F77F73">
            <w:pPr>
              <w:rPr>
                <w:lang w:val="en-GB"/>
              </w:rPr>
            </w:pPr>
            <w:proofErr w:type="spellStart"/>
            <w:r>
              <w:rPr>
                <w:lang w:val="en-GB"/>
              </w:rPr>
              <w:t>Dataservice</w:t>
            </w:r>
            <w:proofErr w:type="spellEnd"/>
            <w:r>
              <w:rPr>
                <w:lang w:val="en-GB"/>
              </w:rPr>
              <w:t xml:space="preserve"> Directory (DSD)</w:t>
            </w:r>
          </w:p>
        </w:tc>
        <w:tc>
          <w:tcPr>
            <w:tcW w:w="1816" w:type="dxa"/>
          </w:tcPr>
          <w:p w14:paraId="797DD33E" w14:textId="77777777" w:rsidR="000869BE" w:rsidRDefault="000869BE" w:rsidP="00F77F73">
            <w:pPr>
              <w:rPr>
                <w:lang w:val="en-GB"/>
              </w:rPr>
            </w:pPr>
            <w:r>
              <w:rPr>
                <w:lang w:val="en-GB"/>
              </w:rPr>
              <w:t>EU</w:t>
            </w:r>
          </w:p>
        </w:tc>
        <w:tc>
          <w:tcPr>
            <w:tcW w:w="1574" w:type="dxa"/>
          </w:tcPr>
          <w:p w14:paraId="6B1DF1E0" w14:textId="77777777" w:rsidR="000869BE" w:rsidRDefault="000869BE" w:rsidP="00F77F73">
            <w:pPr>
              <w:rPr>
                <w:lang w:val="en-GB"/>
              </w:rPr>
            </w:pPr>
            <w:r>
              <w:rPr>
                <w:lang w:val="en-GB"/>
              </w:rPr>
              <w:t>E-delivery-API</w:t>
            </w:r>
          </w:p>
        </w:tc>
      </w:tr>
      <w:tr w:rsidR="000869BE" w14:paraId="68389BF0" w14:textId="77777777" w:rsidTr="00F77F73">
        <w:tc>
          <w:tcPr>
            <w:tcW w:w="1087" w:type="dxa"/>
          </w:tcPr>
          <w:p w14:paraId="64235DA3" w14:textId="77777777" w:rsidR="000869BE" w:rsidRDefault="000869BE" w:rsidP="000869BE">
            <w:pPr>
              <w:rPr>
                <w:lang w:val="en-GB"/>
              </w:rPr>
            </w:pPr>
            <w:r>
              <w:rPr>
                <w:lang w:val="en-GB"/>
              </w:rPr>
              <w:t>1a</w:t>
            </w:r>
          </w:p>
        </w:tc>
        <w:tc>
          <w:tcPr>
            <w:tcW w:w="2618" w:type="dxa"/>
          </w:tcPr>
          <w:p w14:paraId="3BCC2E7A" w14:textId="77777777" w:rsidR="000869BE" w:rsidRDefault="000869BE" w:rsidP="000869BE">
            <w:pPr>
              <w:rPr>
                <w:lang w:val="en-GB"/>
              </w:rPr>
            </w:pPr>
            <w:r>
              <w:rPr>
                <w:lang w:val="en-GB"/>
              </w:rPr>
              <w:t xml:space="preserve">Search and find </w:t>
            </w:r>
            <w:proofErr w:type="spellStart"/>
            <w:r>
              <w:rPr>
                <w:lang w:val="en-GB"/>
              </w:rPr>
              <w:t>dataprovider</w:t>
            </w:r>
            <w:proofErr w:type="spellEnd"/>
          </w:p>
        </w:tc>
        <w:tc>
          <w:tcPr>
            <w:tcW w:w="1921" w:type="dxa"/>
          </w:tcPr>
          <w:p w14:paraId="231FC641" w14:textId="77777777" w:rsidR="000869BE" w:rsidRDefault="000869BE" w:rsidP="000869BE">
            <w:pPr>
              <w:rPr>
                <w:lang w:val="en-GB"/>
              </w:rPr>
            </w:pPr>
            <w:r>
              <w:rPr>
                <w:lang w:val="en-GB"/>
              </w:rPr>
              <w:t>Regional registry</w:t>
            </w:r>
          </w:p>
        </w:tc>
        <w:tc>
          <w:tcPr>
            <w:tcW w:w="1816" w:type="dxa"/>
          </w:tcPr>
          <w:p w14:paraId="15056D7A" w14:textId="77777777" w:rsidR="000869BE" w:rsidRDefault="000869BE" w:rsidP="000869BE">
            <w:pPr>
              <w:rPr>
                <w:lang w:val="en-GB"/>
              </w:rPr>
            </w:pPr>
            <w:r>
              <w:rPr>
                <w:lang w:val="en-GB"/>
              </w:rPr>
              <w:t>Member state</w:t>
            </w:r>
          </w:p>
        </w:tc>
        <w:tc>
          <w:tcPr>
            <w:tcW w:w="1574" w:type="dxa"/>
          </w:tcPr>
          <w:p w14:paraId="0C45AE33" w14:textId="36B360D9" w:rsidR="000869BE" w:rsidRDefault="000869BE" w:rsidP="000869BE">
            <w:pPr>
              <w:rPr>
                <w:lang w:val="en-GB"/>
              </w:rPr>
            </w:pPr>
            <w:r w:rsidRPr="00F60B47">
              <w:rPr>
                <w:lang w:val="en-GB"/>
              </w:rPr>
              <w:t>E-delivery-API</w:t>
            </w:r>
          </w:p>
        </w:tc>
      </w:tr>
      <w:tr w:rsidR="000869BE" w14:paraId="4FC46F65" w14:textId="77777777" w:rsidTr="00F77F73">
        <w:tc>
          <w:tcPr>
            <w:tcW w:w="1087" w:type="dxa"/>
          </w:tcPr>
          <w:p w14:paraId="5EC335FB" w14:textId="77777777" w:rsidR="000869BE" w:rsidRDefault="000869BE" w:rsidP="000869BE">
            <w:pPr>
              <w:rPr>
                <w:lang w:val="en-GB"/>
              </w:rPr>
            </w:pPr>
            <w:r>
              <w:rPr>
                <w:lang w:val="en-GB"/>
              </w:rPr>
              <w:t>1b</w:t>
            </w:r>
          </w:p>
        </w:tc>
        <w:tc>
          <w:tcPr>
            <w:tcW w:w="2618" w:type="dxa"/>
          </w:tcPr>
          <w:p w14:paraId="01FAB854" w14:textId="77777777" w:rsidR="000869BE" w:rsidRDefault="000869BE" w:rsidP="000869BE">
            <w:pPr>
              <w:rPr>
                <w:lang w:val="en-GB"/>
              </w:rPr>
            </w:pPr>
            <w:r>
              <w:rPr>
                <w:lang w:val="en-GB"/>
              </w:rPr>
              <w:t xml:space="preserve">Search and find </w:t>
            </w:r>
            <w:proofErr w:type="spellStart"/>
            <w:r>
              <w:rPr>
                <w:lang w:val="en-GB"/>
              </w:rPr>
              <w:t>dataprovider</w:t>
            </w:r>
            <w:proofErr w:type="spellEnd"/>
          </w:p>
        </w:tc>
        <w:tc>
          <w:tcPr>
            <w:tcW w:w="1921" w:type="dxa"/>
          </w:tcPr>
          <w:p w14:paraId="0A7E0F56" w14:textId="77777777" w:rsidR="000869BE" w:rsidRDefault="000869BE" w:rsidP="000869BE">
            <w:pPr>
              <w:rPr>
                <w:lang w:val="en-GB"/>
              </w:rPr>
            </w:pPr>
            <w:r>
              <w:rPr>
                <w:lang w:val="en-GB"/>
              </w:rPr>
              <w:t xml:space="preserve">Sectoral registry   (like </w:t>
            </w:r>
            <w:proofErr w:type="spellStart"/>
            <w:r>
              <w:rPr>
                <w:lang w:val="en-GB"/>
              </w:rPr>
              <w:t>Emreg</w:t>
            </w:r>
            <w:proofErr w:type="spellEnd"/>
            <w:r>
              <w:rPr>
                <w:lang w:val="en-GB"/>
              </w:rPr>
              <w:t>)</w:t>
            </w:r>
          </w:p>
        </w:tc>
        <w:tc>
          <w:tcPr>
            <w:tcW w:w="1816" w:type="dxa"/>
          </w:tcPr>
          <w:p w14:paraId="211F1F27" w14:textId="43CABAE3" w:rsidR="000869BE" w:rsidRDefault="000869BE" w:rsidP="000869BE">
            <w:pPr>
              <w:rPr>
                <w:lang w:val="en-GB"/>
              </w:rPr>
            </w:pPr>
            <w:proofErr w:type="spellStart"/>
            <w:r>
              <w:rPr>
                <w:lang w:val="en-GB"/>
              </w:rPr>
              <w:t>Emrex</w:t>
            </w:r>
            <w:proofErr w:type="spellEnd"/>
          </w:p>
        </w:tc>
        <w:tc>
          <w:tcPr>
            <w:tcW w:w="1574" w:type="dxa"/>
          </w:tcPr>
          <w:p w14:paraId="41FADB86" w14:textId="38B64DDD" w:rsidR="000869BE" w:rsidRDefault="000869BE" w:rsidP="000869BE">
            <w:pPr>
              <w:rPr>
                <w:lang w:val="en-GB"/>
              </w:rPr>
            </w:pPr>
            <w:r w:rsidRPr="00F60B47">
              <w:rPr>
                <w:lang w:val="en-GB"/>
              </w:rPr>
              <w:t>E-delivery-API</w:t>
            </w:r>
          </w:p>
        </w:tc>
      </w:tr>
      <w:tr w:rsidR="000869BE" w14:paraId="5183FE92" w14:textId="77777777" w:rsidTr="00F77F73">
        <w:tc>
          <w:tcPr>
            <w:tcW w:w="1087" w:type="dxa"/>
          </w:tcPr>
          <w:p w14:paraId="3DF25167" w14:textId="77777777" w:rsidR="000869BE" w:rsidRDefault="000869BE" w:rsidP="00F77F73">
            <w:pPr>
              <w:rPr>
                <w:lang w:val="en-GB"/>
              </w:rPr>
            </w:pPr>
            <w:r>
              <w:rPr>
                <w:lang w:val="en-GB"/>
              </w:rPr>
              <w:t>2</w:t>
            </w:r>
          </w:p>
        </w:tc>
        <w:tc>
          <w:tcPr>
            <w:tcW w:w="2618" w:type="dxa"/>
          </w:tcPr>
          <w:p w14:paraId="1429C2D9" w14:textId="77777777" w:rsidR="000869BE" w:rsidRDefault="000869BE" w:rsidP="00F77F73">
            <w:pPr>
              <w:rPr>
                <w:lang w:val="en-GB"/>
              </w:rPr>
            </w:pPr>
            <w:proofErr w:type="spellStart"/>
            <w:r>
              <w:rPr>
                <w:lang w:val="en-GB"/>
              </w:rPr>
              <w:t>Preview&amp;consent</w:t>
            </w:r>
            <w:proofErr w:type="spellEnd"/>
            <w:r>
              <w:rPr>
                <w:lang w:val="en-GB"/>
              </w:rPr>
              <w:t xml:space="preserve"> evidence</w:t>
            </w:r>
          </w:p>
        </w:tc>
        <w:tc>
          <w:tcPr>
            <w:tcW w:w="1921" w:type="dxa"/>
          </w:tcPr>
          <w:p w14:paraId="2124BDED" w14:textId="77777777" w:rsidR="000869BE" w:rsidRDefault="000869BE" w:rsidP="00F77F73">
            <w:pPr>
              <w:rPr>
                <w:lang w:val="en-GB"/>
              </w:rPr>
            </w:pPr>
            <w:r>
              <w:rPr>
                <w:lang w:val="en-GB"/>
              </w:rPr>
              <w:t>Provider registry</w:t>
            </w:r>
          </w:p>
        </w:tc>
        <w:tc>
          <w:tcPr>
            <w:tcW w:w="1816" w:type="dxa"/>
          </w:tcPr>
          <w:p w14:paraId="1996DE54" w14:textId="77777777" w:rsidR="000869BE" w:rsidRDefault="000869BE" w:rsidP="00F77F73">
            <w:pPr>
              <w:rPr>
                <w:lang w:val="en-GB"/>
              </w:rPr>
            </w:pPr>
            <w:r>
              <w:rPr>
                <w:lang w:val="en-GB"/>
              </w:rPr>
              <w:t>Evidence provider</w:t>
            </w:r>
          </w:p>
        </w:tc>
        <w:tc>
          <w:tcPr>
            <w:tcW w:w="1574" w:type="dxa"/>
          </w:tcPr>
          <w:p w14:paraId="4BDBFCF4" w14:textId="77777777" w:rsidR="000869BE" w:rsidRDefault="000869BE" w:rsidP="00F77F73">
            <w:pPr>
              <w:rPr>
                <w:lang w:val="en-GB"/>
              </w:rPr>
            </w:pPr>
            <w:r>
              <w:rPr>
                <w:lang w:val="en-GB"/>
              </w:rPr>
              <w:t>E-delivery AS4</w:t>
            </w:r>
          </w:p>
        </w:tc>
      </w:tr>
    </w:tbl>
    <w:p w14:paraId="7F90D41F" w14:textId="77777777" w:rsidR="00E77F7C" w:rsidRDefault="00E77F7C" w:rsidP="00E77F7C">
      <w:pPr>
        <w:rPr>
          <w:lang w:val="en-GB"/>
        </w:rPr>
      </w:pPr>
    </w:p>
    <w:p w14:paraId="78234D34" w14:textId="33B71B65" w:rsidR="00A55664" w:rsidRDefault="006F4832" w:rsidP="00E77F7C">
      <w:pPr>
        <w:rPr>
          <w:lang w:val="en-GB"/>
        </w:rPr>
      </w:pPr>
      <w:r>
        <w:rPr>
          <w:lang w:val="en-GB"/>
        </w:rPr>
        <w:t xml:space="preserve">This proposal is </w:t>
      </w:r>
      <w:r w:rsidR="00E07F05">
        <w:rPr>
          <w:lang w:val="en-GB"/>
        </w:rPr>
        <w:t xml:space="preserve">about defining an exchange pattern for regional and sectoral registries. This would be a collective agreement or standard </w:t>
      </w:r>
      <w:r w:rsidR="00E07F05">
        <w:rPr>
          <w:lang w:val="en-GB"/>
        </w:rPr>
        <w:t>including input- and output parameters</w:t>
      </w:r>
      <w:r w:rsidR="00E07F05">
        <w:rPr>
          <w:lang w:val="en-GB"/>
        </w:rPr>
        <w:t>, to be individually implemented</w:t>
      </w:r>
      <w:r w:rsidR="00A55664">
        <w:rPr>
          <w:lang w:val="en-GB"/>
        </w:rPr>
        <w:t xml:space="preserve"> by the different registries.</w:t>
      </w:r>
      <w:r w:rsidR="009C3823">
        <w:rPr>
          <w:lang w:val="en-GB"/>
        </w:rPr>
        <w:t xml:space="preserve"> That looks simple enough.</w:t>
      </w:r>
    </w:p>
    <w:p w14:paraId="5C3156FB" w14:textId="77777777" w:rsidR="00A55664" w:rsidRDefault="00A55664" w:rsidP="00E77F7C">
      <w:pPr>
        <w:rPr>
          <w:lang w:val="en-GB"/>
        </w:rPr>
      </w:pPr>
    </w:p>
    <w:p w14:paraId="1E893EE2" w14:textId="77777777" w:rsidR="00E07F05" w:rsidRDefault="00E07F05" w:rsidP="00E77F7C">
      <w:pPr>
        <w:rPr>
          <w:lang w:val="en-GB"/>
        </w:rPr>
      </w:pPr>
    </w:p>
    <w:p w14:paraId="5DECC95D" w14:textId="7226A68A" w:rsidR="00E84536" w:rsidRDefault="00E84536">
      <w:pPr>
        <w:rPr>
          <w:lang w:val="en-GB"/>
        </w:rPr>
      </w:pPr>
    </w:p>
    <w:p w14:paraId="764667CD" w14:textId="77777777" w:rsidR="00E84536" w:rsidRDefault="00E84536">
      <w:pPr>
        <w:rPr>
          <w:lang w:val="en-GB"/>
        </w:rPr>
      </w:pPr>
    </w:p>
    <w:p w14:paraId="12EE73CC" w14:textId="77777777" w:rsidR="00E84536" w:rsidRDefault="00E84536">
      <w:pPr>
        <w:rPr>
          <w:lang w:val="en-GB"/>
        </w:rPr>
      </w:pPr>
    </w:p>
    <w:p w14:paraId="1F012540" w14:textId="77777777" w:rsidR="00E84536" w:rsidRDefault="00E84536">
      <w:pPr>
        <w:rPr>
          <w:lang w:val="en-GB"/>
        </w:rPr>
      </w:pPr>
    </w:p>
    <w:p w14:paraId="24323DA2" w14:textId="77777777" w:rsidR="00E84536" w:rsidRDefault="00E84536">
      <w:pPr>
        <w:rPr>
          <w:lang w:val="en-GB"/>
        </w:rPr>
      </w:pPr>
    </w:p>
    <w:p w14:paraId="7D411B1A" w14:textId="77777777" w:rsidR="00E84536" w:rsidRDefault="00E84536">
      <w:pPr>
        <w:pBdr>
          <w:bottom w:val="single" w:sz="6" w:space="1" w:color="auto"/>
        </w:pBdr>
        <w:rPr>
          <w:lang w:val="en-GB"/>
        </w:rPr>
      </w:pPr>
    </w:p>
    <w:p w14:paraId="2AB42F31" w14:textId="77777777" w:rsidR="008925AF" w:rsidRDefault="008925AF">
      <w:pPr>
        <w:rPr>
          <w:lang w:val="en-GB"/>
        </w:rPr>
      </w:pPr>
    </w:p>
    <w:p w14:paraId="47CCBD29" w14:textId="77777777" w:rsidR="008925AF" w:rsidRDefault="008925AF" w:rsidP="008925AF">
      <w:pPr>
        <w:rPr>
          <w:lang w:val="en-GB"/>
        </w:rPr>
      </w:pPr>
      <w:r>
        <w:rPr>
          <w:lang w:val="en-GB"/>
        </w:rPr>
        <w:t xml:space="preserve">The public procedure “enrolment tertiary education” is one of the procedures in de SDG-regulation. It should follow OOTS and its loops for obtaining evidence from another country. But the numbers are different. There are about 3,000 institutions in the EU for higher education needing evidence from about 30,000 institutions including secondary and vocational. </w:t>
      </w:r>
    </w:p>
    <w:p w14:paraId="0D3866CF" w14:textId="77777777" w:rsidR="008925AF" w:rsidRDefault="008925AF">
      <w:pPr>
        <w:rPr>
          <w:lang w:val="en-GB"/>
        </w:rPr>
      </w:pPr>
    </w:p>
    <w:p w14:paraId="1C4D4168" w14:textId="77777777" w:rsidR="00E84536" w:rsidRPr="00E84536" w:rsidRDefault="00E84536">
      <w:pPr>
        <w:rPr>
          <w:lang w:val="en-GB"/>
        </w:rPr>
      </w:pPr>
    </w:p>
    <w:sectPr w:rsidR="00E84536" w:rsidRPr="00E845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167C1" w14:textId="77777777" w:rsidR="00CD5A84" w:rsidRDefault="00CD5A84" w:rsidP="0073083E">
      <w:pPr>
        <w:spacing w:after="0" w:line="240" w:lineRule="auto"/>
      </w:pPr>
      <w:r>
        <w:separator/>
      </w:r>
    </w:p>
  </w:endnote>
  <w:endnote w:type="continuationSeparator" w:id="0">
    <w:p w14:paraId="5A88C408" w14:textId="77777777" w:rsidR="00CD5A84" w:rsidRDefault="00CD5A84" w:rsidP="00730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CBFF2" w14:textId="77777777" w:rsidR="00CD5A84" w:rsidRDefault="00CD5A84" w:rsidP="0073083E">
      <w:pPr>
        <w:spacing w:after="0" w:line="240" w:lineRule="auto"/>
      </w:pPr>
      <w:r>
        <w:separator/>
      </w:r>
    </w:p>
  </w:footnote>
  <w:footnote w:type="continuationSeparator" w:id="0">
    <w:p w14:paraId="2D76E7BF" w14:textId="77777777" w:rsidR="00CD5A84" w:rsidRDefault="00CD5A84" w:rsidP="0073083E">
      <w:pPr>
        <w:spacing w:after="0" w:line="240" w:lineRule="auto"/>
      </w:pPr>
      <w:r>
        <w:continuationSeparator/>
      </w:r>
    </w:p>
  </w:footnote>
  <w:footnote w:id="1">
    <w:p w14:paraId="73C74537" w14:textId="77777777" w:rsidR="007B2C2E" w:rsidRPr="0073083E" w:rsidRDefault="007B2C2E" w:rsidP="007B2C2E">
      <w:pPr>
        <w:rPr>
          <w:lang w:val="en-GB"/>
        </w:rPr>
      </w:pPr>
      <w:r>
        <w:rPr>
          <w:rStyle w:val="Voetnootmarkering"/>
        </w:rPr>
        <w:footnoteRef/>
      </w:r>
      <w:r w:rsidRPr="0073083E">
        <w:rPr>
          <w:lang w:val="en-GB"/>
        </w:rPr>
        <w:t xml:space="preserve"> </w:t>
      </w:r>
      <w:r>
        <w:rPr>
          <w:lang w:val="en-GB"/>
        </w:rPr>
        <w:t>Member states might follow an approach where loop 1 and loop 2 are combined and all evidence is provided by a the member state.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2F7"/>
    <w:multiLevelType w:val="hybridMultilevel"/>
    <w:tmpl w:val="39EED7DE"/>
    <w:lvl w:ilvl="0" w:tplc="BEFAFB2A">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8D04F02"/>
    <w:multiLevelType w:val="hybridMultilevel"/>
    <w:tmpl w:val="D23AB2D0"/>
    <w:lvl w:ilvl="0" w:tplc="26C23782">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64535E7"/>
    <w:multiLevelType w:val="hybridMultilevel"/>
    <w:tmpl w:val="995009B4"/>
    <w:lvl w:ilvl="0" w:tplc="F724E65A">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7278305">
    <w:abstractNumId w:val="1"/>
  </w:num>
  <w:num w:numId="2" w16cid:durableId="668601037">
    <w:abstractNumId w:val="2"/>
  </w:num>
  <w:num w:numId="3" w16cid:durableId="179197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36"/>
    <w:rsid w:val="00026FF8"/>
    <w:rsid w:val="000869BE"/>
    <w:rsid w:val="00087C6E"/>
    <w:rsid w:val="000B08AB"/>
    <w:rsid w:val="001C5EF3"/>
    <w:rsid w:val="002C1CE5"/>
    <w:rsid w:val="003250DB"/>
    <w:rsid w:val="0048402E"/>
    <w:rsid w:val="004C31E5"/>
    <w:rsid w:val="004E724C"/>
    <w:rsid w:val="00587F46"/>
    <w:rsid w:val="005E07B7"/>
    <w:rsid w:val="00645BE2"/>
    <w:rsid w:val="00673CC2"/>
    <w:rsid w:val="006F4832"/>
    <w:rsid w:val="0073083E"/>
    <w:rsid w:val="00785BF5"/>
    <w:rsid w:val="007B2C2E"/>
    <w:rsid w:val="00812E04"/>
    <w:rsid w:val="008925AF"/>
    <w:rsid w:val="008B4F91"/>
    <w:rsid w:val="008C0DDD"/>
    <w:rsid w:val="009122C5"/>
    <w:rsid w:val="0091787B"/>
    <w:rsid w:val="009C3823"/>
    <w:rsid w:val="009C5E6A"/>
    <w:rsid w:val="00A55664"/>
    <w:rsid w:val="00B55C86"/>
    <w:rsid w:val="00B847AF"/>
    <w:rsid w:val="00BF25A1"/>
    <w:rsid w:val="00CD5A84"/>
    <w:rsid w:val="00DA7458"/>
    <w:rsid w:val="00DC6577"/>
    <w:rsid w:val="00E07F05"/>
    <w:rsid w:val="00E77F7C"/>
    <w:rsid w:val="00E84536"/>
    <w:rsid w:val="00ED596F"/>
    <w:rsid w:val="00EE2F9B"/>
    <w:rsid w:val="00F13FC5"/>
    <w:rsid w:val="00F944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ECE7"/>
  <w15:chartTrackingRefBased/>
  <w15:docId w15:val="{730631FE-39D6-452C-8BD4-5FB17C55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C5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C5E6A"/>
    <w:pPr>
      <w:ind w:left="720"/>
      <w:contextualSpacing/>
    </w:pPr>
  </w:style>
  <w:style w:type="paragraph" w:styleId="Voetnoottekst">
    <w:name w:val="footnote text"/>
    <w:basedOn w:val="Standaard"/>
    <w:link w:val="VoetnoottekstChar"/>
    <w:uiPriority w:val="99"/>
    <w:semiHidden/>
    <w:unhideWhenUsed/>
    <w:rsid w:val="0073083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3083E"/>
    <w:rPr>
      <w:sz w:val="20"/>
      <w:szCs w:val="20"/>
    </w:rPr>
  </w:style>
  <w:style w:type="character" w:styleId="Voetnootmarkering">
    <w:name w:val="footnote reference"/>
    <w:basedOn w:val="Standaardalinea-lettertype"/>
    <w:uiPriority w:val="99"/>
    <w:semiHidden/>
    <w:unhideWhenUsed/>
    <w:rsid w:val="0073083E"/>
    <w:rPr>
      <w:vertAlign w:val="superscript"/>
    </w:rPr>
  </w:style>
  <w:style w:type="character" w:styleId="Hyperlink">
    <w:name w:val="Hyperlink"/>
    <w:basedOn w:val="Standaardalinea-lettertype"/>
    <w:uiPriority w:val="99"/>
    <w:unhideWhenUsed/>
    <w:rsid w:val="0091787B"/>
    <w:rPr>
      <w:color w:val="0563C1" w:themeColor="hyperlink"/>
      <w:u w:val="single"/>
    </w:rPr>
  </w:style>
  <w:style w:type="character" w:styleId="Onopgelostemelding">
    <w:name w:val="Unresolved Mention"/>
    <w:basedOn w:val="Standaardalinea-lettertype"/>
    <w:uiPriority w:val="99"/>
    <w:semiHidden/>
    <w:unhideWhenUsed/>
    <w:rsid w:val="00917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digital-building-blocks/wikis/display/TDD/OOTS+Technical+Design+Documents+-+Q1+202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0BA0F-3B8C-4113-AB1F-82651284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3248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Groot Roessink</dc:creator>
  <cp:keywords/>
  <dc:description/>
  <cp:lastModifiedBy>Gerald Groot Roessink</cp:lastModifiedBy>
  <cp:revision>17</cp:revision>
  <dcterms:created xsi:type="dcterms:W3CDTF">2023-05-06T13:18:00Z</dcterms:created>
  <dcterms:modified xsi:type="dcterms:W3CDTF">2023-05-10T06:05:00Z</dcterms:modified>
</cp:coreProperties>
</file>