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02752D" w:rsidR="000C2809" w:rsidRDefault="0B121B5D">
      <w:r>
        <w:t>+</w:t>
      </w:r>
    </w:p>
    <w:p w14:paraId="3DC338A2" w14:textId="77777777" w:rsidR="00532DB2" w:rsidRDefault="00532DB2" w:rsidP="00532DB2">
      <w:pPr>
        <w:pStyle w:val="Titel"/>
      </w:pPr>
      <w:r>
        <w:t>EMREX Bridge Flow</w:t>
      </w:r>
    </w:p>
    <w:p w14:paraId="0A37501D" w14:textId="77777777" w:rsidR="00532DB2" w:rsidRDefault="00532DB2" w:rsidP="00532DB2"/>
    <w:p w14:paraId="5DAB6C7B" w14:textId="77777777" w:rsidR="00532DB2" w:rsidRDefault="00D12495" w:rsidP="00532DB2">
      <w:r>
        <w:rPr>
          <w:noProof/>
        </w:rPr>
        <w:drawing>
          <wp:inline distT="0" distB="0" distL="0" distR="0" wp14:anchorId="0710FFF5" wp14:editId="07777777">
            <wp:extent cx="5943600" cy="483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re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532DB2" w:rsidRDefault="00532DB2" w:rsidP="00532DB2"/>
    <w:tbl>
      <w:tblPr>
        <w:tblStyle w:val="Gemiddeldraster2-accent1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4068"/>
      </w:tblGrid>
      <w:tr w:rsidR="00532DB2" w:rsidRPr="00532DB2" w14:paraId="68E4918C" w14:textId="77777777" w:rsidTr="61CB4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8" w:type="dxa"/>
          </w:tcPr>
          <w:p w14:paraId="74231C31" w14:textId="77777777" w:rsidR="00532DB2" w:rsidRPr="00532DB2" w:rsidRDefault="00532DB2" w:rsidP="00532DB2">
            <w:pPr>
              <w:rPr>
                <w:sz w:val="20"/>
                <w:szCs w:val="20"/>
              </w:rPr>
            </w:pPr>
            <w:r w:rsidRPr="00532DB2">
              <w:rPr>
                <w:sz w:val="20"/>
                <w:szCs w:val="20"/>
              </w:rPr>
              <w:t>Step</w:t>
            </w:r>
          </w:p>
        </w:tc>
        <w:tc>
          <w:tcPr>
            <w:tcW w:w="4410" w:type="dxa"/>
          </w:tcPr>
          <w:p w14:paraId="31FF54C8" w14:textId="77777777" w:rsidR="00532DB2" w:rsidRPr="00532DB2" w:rsidRDefault="00532DB2" w:rsidP="00532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2DB2">
              <w:rPr>
                <w:sz w:val="20"/>
                <w:szCs w:val="20"/>
              </w:rPr>
              <w:t>Description</w:t>
            </w:r>
          </w:p>
        </w:tc>
        <w:tc>
          <w:tcPr>
            <w:tcW w:w="4068" w:type="dxa"/>
          </w:tcPr>
          <w:p w14:paraId="25546E3C" w14:textId="77777777" w:rsidR="00532DB2" w:rsidRPr="00532DB2" w:rsidRDefault="00532DB2" w:rsidP="00532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2DB2">
              <w:rPr>
                <w:sz w:val="20"/>
                <w:szCs w:val="20"/>
              </w:rPr>
              <w:t>Notes</w:t>
            </w:r>
          </w:p>
        </w:tc>
      </w:tr>
      <w:tr w:rsidR="00532DB2" w:rsidRPr="00532DB2" w14:paraId="58E5C9A9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49841BE" w14:textId="77777777" w:rsidR="00532DB2" w:rsidRPr="00532DB2" w:rsidRDefault="00532DB2" w:rsidP="00532DB2">
            <w:pPr>
              <w:rPr>
                <w:sz w:val="20"/>
                <w:szCs w:val="20"/>
              </w:rPr>
            </w:pPr>
            <w:r w:rsidRPr="00532DB2">
              <w:rPr>
                <w:sz w:val="20"/>
                <w:szCs w:val="20"/>
              </w:rPr>
              <w:t>1</w:t>
            </w:r>
          </w:p>
        </w:tc>
        <w:tc>
          <w:tcPr>
            <w:tcW w:w="4410" w:type="dxa"/>
          </w:tcPr>
          <w:p w14:paraId="779A0ABA" w14:textId="77777777" w:rsidR="00532DB2" w:rsidRPr="00532DB2" w:rsidRDefault="00532DB2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diagram omits the description of the steps prior to requesting evidences, in particular the interaction with the Evidence Broker and Data Service Directory and selection of Data Service. </w:t>
            </w:r>
          </w:p>
        </w:tc>
        <w:tc>
          <w:tcPr>
            <w:tcW w:w="4068" w:type="dxa"/>
          </w:tcPr>
          <w:p w14:paraId="722DC34C" w14:textId="77777777" w:rsidR="00532DB2" w:rsidRPr="00532DB2" w:rsidRDefault="00532DB2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Data Service provided indirectly by EMREX, the DSD will hold a registration of the bridge such that requests are delivered there.</w:t>
            </w:r>
          </w:p>
        </w:tc>
      </w:tr>
      <w:tr w:rsidR="00532DB2" w:rsidRPr="00532DB2" w14:paraId="30D12BA5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8F999B5" w14:textId="77777777" w:rsidR="00532DB2" w:rsidRPr="00532DB2" w:rsidRDefault="00996731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10" w:type="dxa"/>
          </w:tcPr>
          <w:p w14:paraId="3B154431" w14:textId="77777777" w:rsidR="00996731" w:rsidRDefault="00532DB2" w:rsidP="00996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 the regular OOTS protocol, an evidence request is sent by the portal</w:t>
            </w:r>
            <w:r w:rsidR="00996731">
              <w:rPr>
                <w:sz w:val="20"/>
                <w:szCs w:val="20"/>
              </w:rPr>
              <w:t xml:space="preserve">. </w:t>
            </w:r>
          </w:p>
          <w:p w14:paraId="6A05A809" w14:textId="77777777" w:rsidR="00532DB2" w:rsidRPr="00532DB2" w:rsidRDefault="00532DB2" w:rsidP="00996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68" w:type="dxa"/>
          </w:tcPr>
          <w:p w14:paraId="5A39BBE3" w14:textId="77777777" w:rsidR="00532DB2" w:rsidRPr="00532DB2" w:rsidRDefault="00532DB2" w:rsidP="0013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96731" w:rsidRPr="00532DB2" w14:paraId="6DD372F2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AD2B540" w14:textId="77777777" w:rsidR="00996731" w:rsidRDefault="00137BB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</w:t>
            </w:r>
          </w:p>
        </w:tc>
        <w:tc>
          <w:tcPr>
            <w:tcW w:w="4410" w:type="dxa"/>
          </w:tcPr>
          <w:p w14:paraId="4C60EA8A" w14:textId="77777777" w:rsidR="00996731" w:rsidRDefault="5E55AECF" w:rsidP="0013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1CB4E53">
              <w:rPr>
                <w:sz w:val="20"/>
                <w:szCs w:val="20"/>
              </w:rPr>
              <w:t xml:space="preserve">The </w:t>
            </w:r>
            <w:commentRangeStart w:id="0"/>
            <w:r w:rsidRPr="61CB4E53">
              <w:rPr>
                <w:sz w:val="20"/>
                <w:szCs w:val="20"/>
              </w:rPr>
              <w:t>OOTS portal</w:t>
            </w:r>
            <w:commentRangeEnd w:id="0"/>
            <w:r w:rsidR="00996731">
              <w:commentReference w:id="0"/>
            </w:r>
            <w:r w:rsidRPr="61CB4E53">
              <w:rPr>
                <w:sz w:val="20"/>
                <w:szCs w:val="20"/>
              </w:rPr>
              <w:t xml:space="preserve"> </w:t>
            </w:r>
            <w:commentRangeStart w:id="1"/>
            <w:r w:rsidR="5087CA28" w:rsidRPr="61CB4E53">
              <w:rPr>
                <w:sz w:val="20"/>
                <w:szCs w:val="20"/>
              </w:rPr>
              <w:t>sets up and creates</w:t>
            </w:r>
            <w:r w:rsidRPr="61CB4E53">
              <w:rPr>
                <w:sz w:val="20"/>
                <w:szCs w:val="20"/>
              </w:rPr>
              <w:t xml:space="preserve"> a link</w:t>
            </w:r>
            <w:commentRangeEnd w:id="1"/>
            <w:r w:rsidR="00996731">
              <w:commentReference w:id="1"/>
            </w:r>
            <w:r w:rsidRPr="61CB4E53">
              <w:rPr>
                <w:sz w:val="20"/>
                <w:szCs w:val="20"/>
              </w:rPr>
              <w:t xml:space="preserve"> to the user, inviting her to move to a location from which she can interact with EMREX providers.</w:t>
            </w:r>
          </w:p>
          <w:p w14:paraId="4404DBFF" w14:textId="77777777" w:rsidR="00137BBC" w:rsidRDefault="00137BBC" w:rsidP="0013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link will be personalized and session specific. It is linked to the requested evidence type and identity attributes of the user for validation.</w:t>
            </w:r>
          </w:p>
        </w:tc>
        <w:tc>
          <w:tcPr>
            <w:tcW w:w="4068" w:type="dxa"/>
          </w:tcPr>
          <w:p w14:paraId="61936924" w14:textId="77777777" w:rsidR="00996731" w:rsidRDefault="00137BBC" w:rsidP="00996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and preview space could be a single component for simplicity.</w:t>
            </w:r>
          </w:p>
          <w:p w14:paraId="41C8F396" w14:textId="77777777" w:rsidR="00137BBC" w:rsidRDefault="00137BBC" w:rsidP="00996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96731" w:rsidRPr="00532DB2" w14:paraId="737DEE94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9B4EA11" w14:textId="77777777" w:rsidR="00996731" w:rsidRDefault="00137BB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10" w:type="dxa"/>
          </w:tcPr>
          <w:p w14:paraId="30B08D43" w14:textId="77777777" w:rsidR="00996731" w:rsidRDefault="00137BBC" w:rsidP="00996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created link is sent to the portal to invite the user to navigate to the bridge.</w:t>
            </w:r>
          </w:p>
        </w:tc>
        <w:tc>
          <w:tcPr>
            <w:tcW w:w="4068" w:type="dxa"/>
          </w:tcPr>
          <w:p w14:paraId="35474B29" w14:textId="77777777" w:rsidR="00996731" w:rsidRPr="00532DB2" w:rsidRDefault="00137BBC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completes the first OOTS request-response loop.</w:t>
            </w:r>
          </w:p>
        </w:tc>
      </w:tr>
      <w:tr w:rsidR="00137BBC" w:rsidRPr="00532DB2" w14:paraId="5D906C1A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EA638F1" w14:textId="77777777" w:rsidR="00137BBC" w:rsidRDefault="00137BB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7-8</w:t>
            </w:r>
          </w:p>
        </w:tc>
        <w:tc>
          <w:tcPr>
            <w:tcW w:w="4410" w:type="dxa"/>
          </w:tcPr>
          <w:p w14:paraId="08C37DD2" w14:textId="77777777" w:rsidR="00137BBC" w:rsidRDefault="00137BBC" w:rsidP="00137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user accepts the invitation, in parallel she is redirected using the provided link and the second loop starts. </w:t>
            </w:r>
          </w:p>
        </w:tc>
        <w:tc>
          <w:tcPr>
            <w:tcW w:w="4068" w:type="dxa"/>
          </w:tcPr>
          <w:p w14:paraId="72A3D3EC" w14:textId="77777777" w:rsidR="00137BBC" w:rsidRPr="00532DB2" w:rsidRDefault="00137BBC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37BBC" w:rsidRPr="00532DB2" w14:paraId="328BBCEB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B2B7304" w14:textId="77777777" w:rsidR="00137BBC" w:rsidRDefault="00137BB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10" w:type="dxa"/>
          </w:tcPr>
          <w:p w14:paraId="600DF34A" w14:textId="77777777" w:rsidR="00137BBC" w:rsidRDefault="00137BBC" w:rsidP="0013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0A535D6">
              <w:rPr>
                <w:sz w:val="20"/>
                <w:szCs w:val="20"/>
              </w:rPr>
              <w:t xml:space="preserve">The second request loop is sent to the bridge as an </w:t>
            </w:r>
            <w:commentRangeStart w:id="2"/>
            <w:proofErr w:type="spellStart"/>
            <w:r w:rsidRPr="50A535D6">
              <w:rPr>
                <w:sz w:val="20"/>
                <w:szCs w:val="20"/>
              </w:rPr>
              <w:t>eDelivery</w:t>
            </w:r>
            <w:proofErr w:type="spellEnd"/>
            <w:r w:rsidRPr="50A535D6">
              <w:rPr>
                <w:sz w:val="20"/>
                <w:szCs w:val="20"/>
              </w:rPr>
              <w:t xml:space="preserve"> </w:t>
            </w:r>
            <w:commentRangeEnd w:id="2"/>
            <w:r>
              <w:commentReference w:id="2"/>
            </w:r>
            <w:r w:rsidRPr="50A535D6">
              <w:rPr>
                <w:sz w:val="20"/>
                <w:szCs w:val="20"/>
              </w:rPr>
              <w:t xml:space="preserve">request.  It includes the unique preview link so that it can be correlated to user activity on the OOTS preview space. </w:t>
            </w:r>
          </w:p>
          <w:p w14:paraId="7D800037" w14:textId="77777777" w:rsidR="00137BBC" w:rsidRDefault="00137BBC" w:rsidP="0013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also includes a return URL allowing the user to return to the Procedure Portal.</w:t>
            </w:r>
          </w:p>
        </w:tc>
        <w:tc>
          <w:tcPr>
            <w:tcW w:w="4068" w:type="dxa"/>
          </w:tcPr>
          <w:p w14:paraId="4CF17D09" w14:textId="77777777" w:rsidR="00137BBC" w:rsidRPr="00532DB2" w:rsidRDefault="00137BBC" w:rsidP="00137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response will be returned to the portal as a response to this request.</w:t>
            </w:r>
          </w:p>
        </w:tc>
      </w:tr>
      <w:tr w:rsidR="00C47F7C" w:rsidRPr="00532DB2" w14:paraId="4C0E9F2A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8B7620D" w14:textId="77777777" w:rsidR="00C47F7C" w:rsidRDefault="00C47F7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10,11</w:t>
            </w:r>
          </w:p>
        </w:tc>
        <w:tc>
          <w:tcPr>
            <w:tcW w:w="4410" w:type="dxa"/>
          </w:tcPr>
          <w:p w14:paraId="03C03EF9" w14:textId="77777777" w:rsidR="00C47F7C" w:rsidRDefault="00C47F7C" w:rsidP="00C4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parallel, the user follows the presented link. For the link, the OOTS preview space can prepare preview.  </w:t>
            </w:r>
          </w:p>
        </w:tc>
        <w:tc>
          <w:tcPr>
            <w:tcW w:w="4068" w:type="dxa"/>
          </w:tcPr>
          <w:p w14:paraId="2F048FB4" w14:textId="77777777" w:rsidR="00C47F7C" w:rsidRDefault="00C47F7C" w:rsidP="00C4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link provides session information and the identity and requested evidence type data.</w:t>
            </w:r>
          </w:p>
          <w:p w14:paraId="0D0B940D" w14:textId="77777777" w:rsidR="00C47F7C" w:rsidRDefault="00C47F7C" w:rsidP="00C4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32DB2" w:rsidRPr="00532DB2" w14:paraId="43F637BA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4CC21AD" w14:textId="77777777" w:rsidR="00532DB2" w:rsidRPr="00532DB2" w:rsidRDefault="00C47F7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12-13</w:t>
            </w:r>
          </w:p>
        </w:tc>
        <w:tc>
          <w:tcPr>
            <w:tcW w:w="4410" w:type="dxa"/>
          </w:tcPr>
          <w:p w14:paraId="47F18DEB" w14:textId="77777777" w:rsidR="00532DB2" w:rsidRPr="00532DB2" w:rsidRDefault="00C47F7C" w:rsidP="00C4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can help the user make use of the EMREX directory feature to select a specific EMREX evidence provider.</w:t>
            </w:r>
          </w:p>
        </w:tc>
        <w:tc>
          <w:tcPr>
            <w:tcW w:w="4068" w:type="dxa"/>
          </w:tcPr>
          <w:p w14:paraId="2E90E055" w14:textId="77777777" w:rsidR="00532DB2" w:rsidRDefault="22AE6B2F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commentRangeStart w:id="3"/>
            <w:r w:rsidRPr="61CB4E53">
              <w:rPr>
                <w:sz w:val="20"/>
                <w:szCs w:val="20"/>
              </w:rPr>
              <w:t>A single OOTS preview space can serve multiple EMREX providers. For example, there could be one OOTS EMREX bridge per MS that service multiple universities.</w:t>
            </w:r>
            <w:commentRangeEnd w:id="3"/>
            <w:r w:rsidR="00C47F7C">
              <w:commentReference w:id="3"/>
            </w:r>
          </w:p>
          <w:p w14:paraId="6B5F80E3" w14:textId="77777777" w:rsidR="00C47F7C" w:rsidRPr="00532DB2" w:rsidRDefault="00C47F7C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purpose is not so much to actually preview, as that is done at the EMREX provider side, but the intercept the user’s navigation between the OOTS and EMREX worlds.</w:t>
            </w:r>
          </w:p>
        </w:tc>
      </w:tr>
      <w:tr w:rsidR="00532DB2" w:rsidRPr="00532DB2" w14:paraId="15044D54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AA1AE34" w14:textId="77777777" w:rsidR="00532DB2" w:rsidRPr="00532DB2" w:rsidRDefault="00C47F7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14-15</w:t>
            </w:r>
          </w:p>
        </w:tc>
        <w:tc>
          <w:tcPr>
            <w:tcW w:w="4410" w:type="dxa"/>
          </w:tcPr>
          <w:p w14:paraId="34F0D20C" w14:textId="77777777" w:rsidR="00532DB2" w:rsidRPr="00532DB2" w:rsidRDefault="00C47F7C" w:rsidP="00C47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user input, she can be redirected to the selected EMREX evidence provider.  This link also contains return URL, but it is a different one that redirects the user to the OOTS preview space. </w:t>
            </w:r>
          </w:p>
        </w:tc>
        <w:tc>
          <w:tcPr>
            <w:tcW w:w="4068" w:type="dxa"/>
          </w:tcPr>
          <w:p w14:paraId="19FA0810" w14:textId="77777777" w:rsidR="00532DB2" w:rsidRPr="00532DB2" w:rsidRDefault="0008204F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link also needs to be unique and correlated with the session state.</w:t>
            </w:r>
          </w:p>
        </w:tc>
      </w:tr>
      <w:tr w:rsidR="00532DB2" w:rsidRPr="00532DB2" w14:paraId="2CDD0BC3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2B354FD" w14:textId="77777777" w:rsidR="00532DB2" w:rsidRPr="00532DB2" w:rsidRDefault="00C47F7C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16-18</w:t>
            </w:r>
          </w:p>
        </w:tc>
        <w:tc>
          <w:tcPr>
            <w:tcW w:w="4410" w:type="dxa"/>
          </w:tcPr>
          <w:p w14:paraId="516C275E" w14:textId="77777777" w:rsidR="00532DB2" w:rsidRPr="00532DB2" w:rsidRDefault="00C47F7C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completes the server side interaction with EMREX.</w:t>
            </w:r>
          </w:p>
        </w:tc>
        <w:tc>
          <w:tcPr>
            <w:tcW w:w="4068" w:type="dxa"/>
          </w:tcPr>
          <w:p w14:paraId="13342F61" w14:textId="77777777" w:rsidR="00532DB2" w:rsidRPr="00532DB2" w:rsidRDefault="00C47F7C" w:rsidP="00C47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regular EMREX processing, it requires the user to re-authenticate, select, preview, approve etc. </w:t>
            </w:r>
          </w:p>
        </w:tc>
      </w:tr>
      <w:tr w:rsidR="00532DB2" w:rsidRPr="00532DB2" w14:paraId="619B070A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ED0D4A8" w14:textId="77777777" w:rsidR="00532DB2" w:rsidRPr="00532DB2" w:rsidRDefault="0008204F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19-20</w:t>
            </w:r>
          </w:p>
        </w:tc>
        <w:tc>
          <w:tcPr>
            <w:tcW w:w="4410" w:type="dxa"/>
          </w:tcPr>
          <w:p w14:paraId="14399562" w14:textId="77777777" w:rsidR="00532DB2" w:rsidRPr="00532DB2" w:rsidRDefault="0008204F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the user has completed her activity at the provider, she follows the presented link. </w:t>
            </w:r>
          </w:p>
        </w:tc>
        <w:tc>
          <w:tcPr>
            <w:tcW w:w="4068" w:type="dxa"/>
          </w:tcPr>
          <w:p w14:paraId="2618DE1B" w14:textId="77777777" w:rsidR="00532DB2" w:rsidRPr="00532DB2" w:rsidRDefault="0008204F" w:rsidP="0008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EMREX, the selected payload is packaged with the user as she moves to the specified return address. EMREX does not have a separate messaging channel.</w:t>
            </w:r>
          </w:p>
        </w:tc>
      </w:tr>
      <w:tr w:rsidR="00532DB2" w:rsidRPr="00532DB2" w14:paraId="55A49744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B568215" w14:textId="77777777" w:rsidR="00532DB2" w:rsidRPr="00532DB2" w:rsidRDefault="0008204F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0" w:type="dxa"/>
          </w:tcPr>
          <w:p w14:paraId="67570298" w14:textId="77777777" w:rsidR="00532DB2" w:rsidRDefault="0008204F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revisits the OOTS preview space. </w:t>
            </w:r>
          </w:p>
          <w:p w14:paraId="392643DA" w14:textId="77777777" w:rsidR="0008204F" w:rsidRPr="00532DB2" w:rsidRDefault="0008204F" w:rsidP="0008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visit has as main purpose to separate the user from the EMREX payload, as these two will return separate to the Procedure Portal</w:t>
            </w:r>
          </w:p>
        </w:tc>
        <w:tc>
          <w:tcPr>
            <w:tcW w:w="4068" w:type="dxa"/>
          </w:tcPr>
          <w:p w14:paraId="302D06C3" w14:textId="77777777" w:rsidR="00532DB2" w:rsidRPr="00532DB2" w:rsidRDefault="0008204F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actual second preview as this has been done at step 18.</w:t>
            </w:r>
          </w:p>
        </w:tc>
      </w:tr>
      <w:tr w:rsidR="00532DB2" w:rsidRPr="00532DB2" w14:paraId="714FC2DC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4C26413" w14:textId="77777777" w:rsidR="00532DB2" w:rsidRPr="00532DB2" w:rsidRDefault="0008204F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10" w:type="dxa"/>
          </w:tcPr>
          <w:p w14:paraId="78A87272" w14:textId="77777777" w:rsidR="00532DB2" w:rsidRPr="00532DB2" w:rsidRDefault="0008204F" w:rsidP="0008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stored correlation data, the original user identity data and session information is retrieved.  We also get the Procedure Portal return URL so we can forward the user.</w:t>
            </w:r>
          </w:p>
        </w:tc>
        <w:tc>
          <w:tcPr>
            <w:tcW w:w="4068" w:type="dxa"/>
          </w:tcPr>
          <w:p w14:paraId="6C283EBB" w14:textId="77777777" w:rsidR="00532DB2" w:rsidRDefault="0008204F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Procedure Portal link was stored at step (10).</w:t>
            </w:r>
          </w:p>
          <w:p w14:paraId="2F6DD318" w14:textId="77777777" w:rsidR="00D12495" w:rsidRPr="00532DB2" w:rsidRDefault="00D12495" w:rsidP="0053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ELMO </w:t>
            </w:r>
          </w:p>
        </w:tc>
      </w:tr>
      <w:tr w:rsidR="00532DB2" w:rsidRPr="00532DB2" w14:paraId="6775ECE2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2E4F76D" w14:textId="77777777" w:rsidR="00532DB2" w:rsidRPr="00532DB2" w:rsidRDefault="0008204F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10" w:type="dxa"/>
          </w:tcPr>
          <w:p w14:paraId="3F1A2565" w14:textId="77777777" w:rsidR="00532DB2" w:rsidRPr="00532DB2" w:rsidRDefault="0008204F" w:rsidP="0008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0A535D6">
              <w:rPr>
                <w:sz w:val="20"/>
                <w:szCs w:val="20"/>
              </w:rPr>
              <w:t xml:space="preserve">From the EMREX response, we get the identity data for the user. This needs to match the original identity attributes. </w:t>
            </w:r>
            <w:commentRangeStart w:id="4"/>
            <w:r w:rsidRPr="50A535D6">
              <w:rPr>
                <w:sz w:val="20"/>
                <w:szCs w:val="20"/>
              </w:rPr>
              <w:t>Also, there must have been a second request (step 9) to which it can create an evidence response.</w:t>
            </w:r>
            <w:commentRangeEnd w:id="4"/>
            <w:r>
              <w:commentReference w:id="4"/>
            </w:r>
          </w:p>
        </w:tc>
        <w:tc>
          <w:tcPr>
            <w:tcW w:w="4068" w:type="dxa"/>
          </w:tcPr>
          <w:p w14:paraId="6D492A10" w14:textId="77777777" w:rsidR="00532DB2" w:rsidRDefault="0008204F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0A535D6">
              <w:rPr>
                <w:sz w:val="20"/>
                <w:szCs w:val="20"/>
              </w:rPr>
              <w:t xml:space="preserve">The EMREX provider could not do this as it did not have the evidence request. </w:t>
            </w:r>
          </w:p>
          <w:p w14:paraId="7900AA77" w14:textId="77777777" w:rsidR="0008204F" w:rsidRPr="00532DB2" w:rsidRDefault="0008204F" w:rsidP="0008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original identity attributes were stored at steps at steps 4 and 9.</w:t>
            </w:r>
          </w:p>
        </w:tc>
      </w:tr>
      <w:tr w:rsidR="00532DB2" w:rsidRPr="00532DB2" w14:paraId="1F79F641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D8EB8EE" w14:textId="77777777" w:rsidR="00532DB2" w:rsidRPr="00532DB2" w:rsidRDefault="0008204F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10" w:type="dxa"/>
          </w:tcPr>
          <w:p w14:paraId="1E5D3B42" w14:textId="77777777" w:rsidR="00532DB2" w:rsidRPr="00532DB2" w:rsidRDefault="00D12495" w:rsidP="00082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ELMO payload is validated.</w:t>
            </w:r>
          </w:p>
        </w:tc>
        <w:tc>
          <w:tcPr>
            <w:tcW w:w="4068" w:type="dxa"/>
          </w:tcPr>
          <w:p w14:paraId="3BD47D75" w14:textId="77777777" w:rsidR="00532DB2" w:rsidRPr="00532DB2" w:rsidRDefault="00D12495" w:rsidP="00D1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of the XML signature and possibly XSD conformance.</w:t>
            </w:r>
          </w:p>
        </w:tc>
      </w:tr>
      <w:tr w:rsidR="00532DB2" w:rsidRPr="00532DB2" w14:paraId="27DC5322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BFDD700" w14:textId="77777777" w:rsidR="00532DB2" w:rsidRPr="00532DB2" w:rsidRDefault="00D12495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410" w:type="dxa"/>
          </w:tcPr>
          <w:p w14:paraId="34F29130" w14:textId="77777777" w:rsidR="00532DB2" w:rsidRPr="00532DB2" w:rsidRDefault="00D12495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checks are passed successfully, the EMREX data can be used to create an OOTS response that include the EMREX payload.</w:t>
            </w:r>
          </w:p>
        </w:tc>
        <w:tc>
          <w:tcPr>
            <w:tcW w:w="4068" w:type="dxa"/>
          </w:tcPr>
          <w:p w14:paraId="0ED385F5" w14:textId="77777777" w:rsidR="00532DB2" w:rsidRPr="00532DB2" w:rsidRDefault="00D12495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50A535D6">
              <w:rPr>
                <w:sz w:val="20"/>
                <w:szCs w:val="20"/>
              </w:rPr>
              <w:t xml:space="preserve">In OOTS, the payload is exchanged via </w:t>
            </w:r>
            <w:proofErr w:type="spellStart"/>
            <w:r w:rsidRPr="50A535D6">
              <w:rPr>
                <w:sz w:val="20"/>
                <w:szCs w:val="20"/>
              </w:rPr>
              <w:t>eDelivery</w:t>
            </w:r>
            <w:proofErr w:type="spellEnd"/>
            <w:r w:rsidRPr="50A535D6">
              <w:rPr>
                <w:sz w:val="20"/>
                <w:szCs w:val="20"/>
              </w:rPr>
              <w:t xml:space="preserve"> AS4, RegRep4 and OOTS profiling defined in OOTS </w:t>
            </w:r>
            <w:commentRangeStart w:id="5"/>
            <w:r w:rsidRPr="50A535D6">
              <w:rPr>
                <w:sz w:val="20"/>
                <w:szCs w:val="20"/>
              </w:rPr>
              <w:t>TDDs.</w:t>
            </w:r>
            <w:commentRangeEnd w:id="5"/>
            <w:r>
              <w:commentReference w:id="5"/>
            </w:r>
            <w:r w:rsidRPr="50A535D6">
              <w:rPr>
                <w:sz w:val="20"/>
                <w:szCs w:val="20"/>
              </w:rPr>
              <w:t xml:space="preserve"> </w:t>
            </w:r>
          </w:p>
        </w:tc>
      </w:tr>
      <w:tr w:rsidR="00532DB2" w:rsidRPr="00532DB2" w14:paraId="349E7432" w14:textId="77777777" w:rsidTr="61CB4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6334656" w14:textId="77777777" w:rsidR="00532DB2" w:rsidRPr="00532DB2" w:rsidRDefault="00D12495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410" w:type="dxa"/>
          </w:tcPr>
          <w:p w14:paraId="455DDDA1" w14:textId="77777777" w:rsidR="00532DB2" w:rsidRPr="00532DB2" w:rsidRDefault="00D12495" w:rsidP="00D1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OOTS preview space receives a signal that the user can be redirected back to the procedure portal. </w:t>
            </w:r>
          </w:p>
        </w:tc>
        <w:tc>
          <w:tcPr>
            <w:tcW w:w="4068" w:type="dxa"/>
          </w:tcPr>
          <w:p w14:paraId="473668AE" w14:textId="77777777" w:rsidR="00532DB2" w:rsidRPr="00532DB2" w:rsidRDefault="00D12495" w:rsidP="00D1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uses the Procedure Portal return URL shared in the step 14.</w:t>
            </w:r>
          </w:p>
        </w:tc>
      </w:tr>
      <w:tr w:rsidR="00532DB2" w:rsidRPr="00532DB2" w14:paraId="0DB662B1" w14:textId="77777777" w:rsidTr="61CB4E5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52B24C6" w14:textId="77777777" w:rsidR="00532DB2" w:rsidRPr="00532DB2" w:rsidRDefault="00AE756D" w:rsidP="00532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27-28</w:t>
            </w:r>
          </w:p>
        </w:tc>
        <w:tc>
          <w:tcPr>
            <w:tcW w:w="4410" w:type="dxa"/>
          </w:tcPr>
          <w:p w14:paraId="605D746F" w14:textId="77777777" w:rsidR="00532DB2" w:rsidRPr="00532DB2" w:rsidRDefault="00AE756D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returns to the procedure portal</w:t>
            </w:r>
          </w:p>
        </w:tc>
        <w:tc>
          <w:tcPr>
            <w:tcW w:w="4068" w:type="dxa"/>
          </w:tcPr>
          <w:p w14:paraId="66744CF6" w14:textId="77777777" w:rsidR="00532DB2" w:rsidRPr="00532DB2" w:rsidRDefault="00AE756D" w:rsidP="0053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just the user, not the payload. </w:t>
            </w:r>
          </w:p>
        </w:tc>
      </w:tr>
    </w:tbl>
    <w:p w14:paraId="0E27B00A" w14:textId="77777777" w:rsidR="00532DB2" w:rsidRPr="00532DB2" w:rsidRDefault="00532DB2" w:rsidP="00532DB2"/>
    <w:sectPr w:rsidR="00532DB2" w:rsidRPr="0053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groessink" w:date="2023-03-22T17:15:00Z" w:initials="ga">
    <w:p w14:paraId="61E3D65F" w14:textId="1CCE5BA6" w:rsidR="50A535D6" w:rsidRDefault="50A535D6">
      <w:r>
        <w:t>This is the combined bridge and preview space?  It's function is to store registers  available through Emrex? Not the evidence itself?</w:t>
      </w:r>
      <w:r>
        <w:annotationRef/>
      </w:r>
    </w:p>
  </w:comment>
  <w:comment w:id="1" w:author="gagroessink" w:date="2023-03-22T17:25:00Z" w:initials="ga">
    <w:p w14:paraId="6D8C6A3A" w14:textId="31493121" w:rsidR="50A535D6" w:rsidRDefault="61CB4E53" w:rsidP="61CB4E53">
      <w:r>
        <w:t>Emrex provides a 'plugin'  for the OPP that is created and maintained by the relevant public authorities to help them lower the implementation threshold. That could work here too.</w:t>
      </w:r>
      <w:r w:rsidR="50A535D6">
        <w:annotationRef/>
      </w:r>
      <w:r w:rsidR="50A535D6">
        <w:annotationRef/>
      </w:r>
    </w:p>
  </w:comment>
  <w:comment w:id="2" w:author="gagroessink" w:date="2023-03-22T17:30:00Z" w:initials="ga">
    <w:p w14:paraId="531F1E13" w14:textId="5D6973EB" w:rsidR="50A535D6" w:rsidRDefault="50A535D6">
      <w:r>
        <w:t>This is a transborder request? A RESTfull API might be easier to implement for the OPP.</w:t>
      </w:r>
      <w:r>
        <w:annotationRef/>
      </w:r>
    </w:p>
  </w:comment>
  <w:comment w:id="3" w:author="gagroessink" w:date="2023-03-22T17:53:00Z" w:initials="ga">
    <w:p w14:paraId="19052481" w14:textId="2C0A759E" w:rsidR="50A535D6" w:rsidRDefault="61CB4E53" w:rsidP="61CB4E53">
      <w:r>
        <w:t xml:space="preserve">As does an Emrex EMP. </w:t>
      </w:r>
      <w:r w:rsidR="50A535D6">
        <w:annotationRef/>
      </w:r>
      <w:r w:rsidR="50A535D6">
        <w:annotationRef/>
      </w:r>
    </w:p>
  </w:comment>
  <w:comment w:id="4" w:author="gagroessink" w:date="2023-03-22T18:04:00Z" w:initials="ga">
    <w:p w14:paraId="63265661" w14:textId="51B195B6" w:rsidR="50A535D6" w:rsidRDefault="50A535D6">
      <w:r>
        <w:t>In native Emrex the direct (nr 15) is the evicedence request.</w:t>
      </w:r>
      <w:r>
        <w:annotationRef/>
      </w:r>
    </w:p>
  </w:comment>
  <w:comment w:id="5" w:author="gagroessink" w:date="2023-03-22T18:07:00Z" w:initials="ga">
    <w:p w14:paraId="6F8FCCCD" w14:textId="3BB71EC1" w:rsidR="50A535D6" w:rsidRDefault="50A535D6">
      <w:r>
        <w:t>This could be ELMO?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3D65F" w15:done="0"/>
  <w15:commentEx w15:paraId="6D8C6A3A" w15:done="0"/>
  <w15:commentEx w15:paraId="531F1E13" w15:done="0"/>
  <w15:commentEx w15:paraId="19052481" w15:done="0"/>
  <w15:commentEx w15:paraId="63265661" w15:done="0"/>
  <w15:commentEx w15:paraId="6F8FCC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F802D59" w16cex:dateUtc="2023-03-22T16:15:00Z"/>
  <w16cex:commentExtensible w16cex:durableId="6749BB02" w16cex:dateUtc="2023-03-22T16:25:00Z"/>
  <w16cex:commentExtensible w16cex:durableId="3743A6D1" w16cex:dateUtc="2023-03-22T16:30:00Z"/>
  <w16cex:commentExtensible w16cex:durableId="666545EC" w16cex:dateUtc="2023-03-22T16:53:00Z"/>
  <w16cex:commentExtensible w16cex:durableId="68667499" w16cex:dateUtc="2023-03-22T17:04:00Z"/>
  <w16cex:commentExtensible w16cex:durableId="3441230C" w16cex:dateUtc="2023-03-22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3D65F" w16cid:durableId="2F802D59"/>
  <w16cid:commentId w16cid:paraId="6D8C6A3A" w16cid:durableId="6749BB02"/>
  <w16cid:commentId w16cid:paraId="531F1E13" w16cid:durableId="3743A6D1"/>
  <w16cid:commentId w16cid:paraId="19052481" w16cid:durableId="666545EC"/>
  <w16cid:commentId w16cid:paraId="63265661" w16cid:durableId="68667499"/>
  <w16cid:commentId w16cid:paraId="6F8FCCCD" w16cid:durableId="344123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groessink">
    <w15:presenceInfo w15:providerId="AD" w15:userId="S::gagroessink_gmail.com#ext#@eceuropaeu.onmicrosoft.com::f6a5576b-fb49-46f9-a65d-6b59f892b4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DB2"/>
    <w:rsid w:val="0008204F"/>
    <w:rsid w:val="00137BBC"/>
    <w:rsid w:val="002F6566"/>
    <w:rsid w:val="004964D2"/>
    <w:rsid w:val="005176FE"/>
    <w:rsid w:val="00532DB2"/>
    <w:rsid w:val="006B7611"/>
    <w:rsid w:val="00996731"/>
    <w:rsid w:val="00AE756D"/>
    <w:rsid w:val="00C47F7C"/>
    <w:rsid w:val="00D12495"/>
    <w:rsid w:val="0B121B5D"/>
    <w:rsid w:val="1250EA63"/>
    <w:rsid w:val="18E4A566"/>
    <w:rsid w:val="1A0D8537"/>
    <w:rsid w:val="1BAD143E"/>
    <w:rsid w:val="1C4B477B"/>
    <w:rsid w:val="22AE6B2F"/>
    <w:rsid w:val="280E5C4B"/>
    <w:rsid w:val="2B59A05C"/>
    <w:rsid w:val="3644B4E4"/>
    <w:rsid w:val="3B1729E8"/>
    <w:rsid w:val="3BD2D00D"/>
    <w:rsid w:val="46C2707C"/>
    <w:rsid w:val="48256CF9"/>
    <w:rsid w:val="48CF73A0"/>
    <w:rsid w:val="5087CA28"/>
    <w:rsid w:val="50A535D6"/>
    <w:rsid w:val="544849DC"/>
    <w:rsid w:val="58D8C7E1"/>
    <w:rsid w:val="5E55AECF"/>
    <w:rsid w:val="61CB4E53"/>
    <w:rsid w:val="6DE7F9AA"/>
    <w:rsid w:val="6F1B23E6"/>
    <w:rsid w:val="797EF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52AD"/>
  <w15:docId w15:val="{9B988CA0-09D7-4ABE-AA6C-873D7D00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2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2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32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32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3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DB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532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2-accent1">
    <w:name w:val="Medium Grid 2 Accent 1"/>
    <w:basedOn w:val="Standaardtabel"/>
    <w:uiPriority w:val="68"/>
    <w:rsid w:val="00532D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7B7BFF882854783B2AFEB81A9CCE9" ma:contentTypeVersion="8" ma:contentTypeDescription="Create a new document." ma:contentTypeScope="" ma:versionID="1187ec0e267c38231c2ba13474fe582e">
  <xsd:schema xmlns:xsd="http://www.w3.org/2001/XMLSchema" xmlns:xs="http://www.w3.org/2001/XMLSchema" xmlns:p="http://schemas.microsoft.com/office/2006/metadata/properties" xmlns:ns2="9a9637e9-1c11-4ee9-91b8-f060e3608fb2" xmlns:ns3="4af8c89d-4332-4d32-84a3-abf4120a8008" targetNamespace="http://schemas.microsoft.com/office/2006/metadata/properties" ma:root="true" ma:fieldsID="c4857eb20a6581aa9c2829552f90b9d7" ns2:_="" ns3:_="">
    <xsd:import namespace="9a9637e9-1c11-4ee9-91b8-f060e3608fb2"/>
    <xsd:import namespace="4af8c89d-4332-4d32-84a3-abf4120a8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37e9-1c11-4ee9-91b8-f060e3608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8c89d-4332-4d32-84a3-abf4120a80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5b2a03-4899-4a6a-9210-69166cdf2eeb}" ma:internalName="TaxCatchAll" ma:showField="CatchAllData" ma:web="4af8c89d-4332-4d32-84a3-abf4120a8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A4EB5-4514-41A2-9645-95C5D7383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637e9-1c11-4ee9-91b8-f060e3608fb2"/>
    <ds:schemaRef ds:uri="4af8c89d-4332-4d32-84a3-abf4120a8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11F4C-972D-4E34-BE20-9D5FBF2A3D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van der Eijk</dc:creator>
  <cp:keywords/>
  <dc:description/>
  <cp:lastModifiedBy>gagroessink</cp:lastModifiedBy>
  <cp:revision>4</cp:revision>
  <dcterms:created xsi:type="dcterms:W3CDTF">2023-03-20T15:12:00Z</dcterms:created>
  <dcterms:modified xsi:type="dcterms:W3CDTF">2023-03-23T09:21:00Z</dcterms:modified>
</cp:coreProperties>
</file>