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현대건설㈜ 사업보고서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현대건설㈜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사업보고서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2024년 4분기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2024년 12월 18일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400,660억 원</w:t>
            </w:r>
          </w:p>
        </w:tc>
      </w:tr>
    </w:tbl>
    <w:p/>
    <w:p/>
    <w:p>
      <w:r>
        <w:t>【 사업보고서 】</w:t>
      </w:r>
    </w:p>
    <w:p>
      <w:r>
        <w:t>회사명: 현대건설㈜  사업연도: 2024년 4분기  제출일: 2024년 12월 18일</w:t>
      </w:r>
    </w:p>
    <w:p/>
    <w:p/>
    <w:p>
      <w:r>
        <w:t>I. 회사의 개요</w:t>
      </w:r>
    </w:p>
    <w:p>
      <w:r>
        <w:t>1. 회사의 명칭: 현대건설㈜</w:t>
      </w:r>
    </w:p>
    <w:p>
      <w:r>
        <w:t>2. 사업의 내용: 자동차 관련 제품 및 서비스 제공</w:t>
      </w:r>
    </w:p>
    <w:p>
      <w:r>
        <w:t>3. 본점 소재지: 수원시 서초구</w:t>
      </w:r>
    </w:p>
    <w:p>
      <w:r>
        <w:t>4. 설립연월일: 1972년 9월 13일</w:t>
      </w:r>
    </w:p>
    <w:p>
      <w:r>
        <w:t>5. 결산월: 10월</w:t>
      </w:r>
    </w:p>
    <w:p/>
    <w:p>
      <w:r>
        <w:t>II. 주요 사업 내용</w:t>
      </w:r>
    </w:p>
    <w:p>
      <w:r>
        <w:t xml:space="preserve">  현대건설㈜은(는) 자동차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57%</w:t>
      </w:r>
    </w:p>
    <w:p>
      <w:r>
        <w:t xml:space="preserve">  - 제품/서비스 B: 매출 비중 18%</w:t>
      </w:r>
    </w:p>
    <w:p>
      <w:r>
        <w:t xml:space="preserve">  - 제품/서비스 C: 매출 비중 10%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400,660       │</w:t>
      </w:r>
    </w:p>
    <w:p>
      <w:r>
        <w:t xml:space="preserve">  │ 영업이익             │ 23,468     │</w:t>
      </w:r>
    </w:p>
    <w:p>
      <w:r>
        <w:t xml:space="preserve">  │ 당기순이익           │ 14,098    │</w:t>
      </w:r>
    </w:p>
    <w:p>
      <w:r>
        <w:t xml:space="preserve">  │ 자산총계             │ 484,673        │</w:t>
      </w:r>
    </w:p>
    <w:p>
      <w:r>
        <w:t xml:space="preserve">  │ 부채총계             │ 304,222   │</w:t>
      </w:r>
    </w:p>
    <w:p>
      <w:r>
        <w:t xml:space="preserve">  │ 자본총계             │ 180,451        │</w:t>
      </w:r>
    </w:p>
    <w:p>
      <w:r>
        <w:t xml:space="preserve">  │ 주당순이익(EPS)      │ 25,010원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5.9%</w:t>
      </w:r>
    </w:p>
    <w:p>
      <w:r>
        <w:t xml:space="preserve">  * 부채비율: 168.6%</w:t>
      </w:r>
    </w:p>
    <w:p/>
    <w:p>
      <w:r>
        <w:t>IV. 감사의견</w:t>
      </w:r>
    </w:p>
    <w:p>
      <w:r>
        <w:t xml:space="preserve">  적정 (감사법인: 삼일회계법인)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4명, 사외이사 4명</w:t>
      </w:r>
    </w:p>
    <w:p>
      <w:r>
        <w:t xml:space="preserve">  - 이사회 개최 횟수(당기): 9회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