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현대건설㈜ 분기보고서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현대건설㈜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분기보고서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3분기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12월 05일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270,822억 원</w:t>
            </w:r>
          </w:p>
        </w:tc>
      </w:tr>
    </w:tbl>
    <w:p/>
    <w:p/>
    <w:p>
      <w:r>
        <w:t>【 분기보고서 】</w:t>
      </w:r>
    </w:p>
    <w:p>
      <w:r>
        <w:t>회사명: 현대건설㈜  사업연도: 2022년 3분기  제출일: 2022년 12월 05일</w:t>
      </w:r>
    </w:p>
    <w:p/>
    <w:p/>
    <w:p>
      <w:r>
        <w:t>I. 회사의 개요</w:t>
      </w:r>
    </w:p>
    <w:p>
      <w:r>
        <w:t>1. 회사의 명칭: 현대건설㈜</w:t>
      </w:r>
    </w:p>
    <w:p>
      <w:r>
        <w:t>2. 사업의 내용: 바이오헬스케어 관련 제품 및 서비스 제공</w:t>
      </w:r>
    </w:p>
    <w:p>
      <w:r>
        <w:t>3. 본점 소재지: 울산광역시 서초구</w:t>
      </w:r>
    </w:p>
    <w:p>
      <w:r>
        <w:t>4. 설립연월일: 2004년 7월 18일</w:t>
      </w:r>
    </w:p>
    <w:p>
      <w:r>
        <w:t>5. 결산월: 11월</w:t>
      </w:r>
    </w:p>
    <w:p/>
    <w:p>
      <w:r>
        <w:t>II. 주요 사업 내용</w:t>
      </w:r>
    </w:p>
    <w:p>
      <w:r>
        <w:t xml:space="preserve">  현대건설㈜은(는) 바이오헬스케어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54%</w:t>
      </w:r>
    </w:p>
    <w:p>
      <w:r>
        <w:t xml:space="preserve">  - 제품/서비스 B: 매출 비중 20%</w:t>
      </w:r>
    </w:p>
    <w:p>
      <w:r>
        <w:t xml:space="preserve">  - 제품/서비스 C: 매출 비중 19%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270,822       │</w:t>
      </w:r>
    </w:p>
    <w:p>
      <w:r>
        <w:t xml:space="preserve">  │ 영업이익             │ 16,328     │</w:t>
      </w:r>
    </w:p>
    <w:p>
      <w:r>
        <w:t xml:space="preserve">  │ 당기순이익           │ 13,657    │</w:t>
      </w:r>
    </w:p>
    <w:p>
      <w:r>
        <w:t xml:space="preserve">  │ 자산총계             │ 807,920        │</w:t>
      </w:r>
    </w:p>
    <w:p>
      <w:r>
        <w:t xml:space="preserve">  │ 부채총계             │ 474,788   │</w:t>
      </w:r>
    </w:p>
    <w:p>
      <w:r>
        <w:t xml:space="preserve">  │ 자본총계             │ 333,132        │</w:t>
      </w:r>
    </w:p>
    <w:p>
      <w:r>
        <w:t xml:space="preserve">  │ 주당순이익(EPS)      │ 5,437원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6.0%</w:t>
      </w:r>
    </w:p>
    <w:p>
      <w:r>
        <w:t xml:space="preserve">  * 부채비율: 142.5%</w:t>
      </w:r>
    </w:p>
    <w:p/>
    <w:p>
      <w:r>
        <w:t>IV. 감사의견</w:t>
      </w:r>
    </w:p>
    <w:p>
      <w:r>
        <w:t xml:space="preserve">  적정 (감사법인: BDO코리아)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4명</w:t>
      </w:r>
    </w:p>
    <w:p>
      <w:r>
        <w:t xml:space="preserve">  - 이사회 개최 횟수(당기): 10회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