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bwq66lekpik" w:id="0"/>
      <w:bookmarkEnd w:id="0"/>
      <w:r w:rsidDel="00000000" w:rsidR="00000000" w:rsidRPr="00000000">
        <w:rPr>
          <w:rtl w:val="0"/>
        </w:rPr>
        <w:t xml:space="preserve">Zadání DP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by4c9qd2npk" w:id="1"/>
      <w:bookmarkEnd w:id="1"/>
      <w:r w:rsidDel="00000000" w:rsidR="00000000" w:rsidRPr="00000000">
        <w:rPr>
          <w:rtl w:val="0"/>
        </w:rPr>
        <w:t xml:space="preserve">Název práce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Bezpečnost automatizovaného zpracování dat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n5yoipsf7na" w:id="2"/>
      <w:bookmarkEnd w:id="2"/>
      <w:r w:rsidDel="00000000" w:rsidR="00000000" w:rsidRPr="00000000">
        <w:rPr>
          <w:rtl w:val="0"/>
        </w:rPr>
        <w:t xml:space="preserve">Jazyk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Čeština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vt8r34cpz1c" w:id="3"/>
      <w:bookmarkEnd w:id="3"/>
      <w:r w:rsidDel="00000000" w:rsidR="00000000" w:rsidRPr="00000000">
        <w:rPr>
          <w:rtl w:val="0"/>
        </w:rPr>
        <w:t xml:space="preserve">Hlavní cíl práce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Hlavním cílem diplomové práce je analýza bezpečnostních rizik při zpracování dat automatizovanými nástroji a návrh některých protiopatření. Práce by měla sloužit jako návod pro firmu, která se snaží implementovat systém automatizace blíže nedefinovaných kancelářských prací a potřebuje se rozhodnout zda by tímto krokem neohrozila bezpečnost svých interních aktiv.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1te7bil8vk6b" w:id="4"/>
      <w:bookmarkEnd w:id="4"/>
      <w:r w:rsidDel="00000000" w:rsidR="00000000" w:rsidRPr="00000000">
        <w:rPr>
          <w:rtl w:val="0"/>
        </w:rPr>
        <w:t xml:space="preserve">Rámcová osnova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Možnosti automatizovaného zpracování dat.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Analýza bezpečnostních rizik při zpracování dat automatizovanými nástroji.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Praktická implementace vybraného bezpečnostního opatření.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xb169ffps7b" w:id="5"/>
      <w:bookmarkEnd w:id="5"/>
      <w:r w:rsidDel="00000000" w:rsidR="00000000" w:rsidRPr="00000000">
        <w:rPr>
          <w:rtl w:val="0"/>
        </w:rPr>
        <w:t xml:space="preserve">Seznam odborné literatury</w:t>
      </w:r>
    </w:p>
    <w:p w:rsidR="00000000" w:rsidDel="00000000" w:rsidP="00000000" w:rsidRDefault="00000000" w:rsidRPr="00000000" w14:paraId="0000000D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MATES, Pavel, Tomáš LECHNER a kolektiv.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Ochrana osobnosti, soukromí a osobních údajů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 Leges, 2019. ISBN 978-80-7502-346-9.</w:t>
      </w:r>
    </w:p>
    <w:p w:rsidR="00000000" w:rsidDel="00000000" w:rsidP="00000000" w:rsidRDefault="00000000" w:rsidRPr="00000000" w14:paraId="0000000E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Aa, H. and Leopold, H. 2021. 10 Supporting RPA through natural language processing. In: Czarnecki, C. and Fettke, P. ed. </w:t>
      </w:r>
      <w:r w:rsidDel="00000000" w:rsidR="00000000" w:rsidRPr="00000000">
        <w:rPr>
          <w:i w:val="1"/>
          <w:color w:val="212529"/>
          <w:sz w:val="24"/>
          <w:szCs w:val="24"/>
          <w:highlight w:val="white"/>
          <w:rtl w:val="0"/>
        </w:rPr>
        <w:t xml:space="preserve">Robotic Process Automation: Management, Technology, Applications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. Berlin, Boston: De Gruyter Oldenbourg, pp. 187-200.</w:t>
      </w:r>
      <w:hyperlink r:id="rId6">
        <w:r w:rsidDel="00000000" w:rsidR="00000000" w:rsidRPr="00000000">
          <w:rPr>
            <w:color w:val="212529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https://doi.org/10.1515/9783110676693-010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515/9783110676693-010" TargetMode="External"/><Relationship Id="rId7" Type="http://schemas.openxmlformats.org/officeDocument/2006/relationships/hyperlink" Target="https://doi.org/10.1515/9783110676693-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