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2CD3" w:rsidRDefault="2A9B2E36" w14:paraId="78E8FFC1" w14:textId="307FCDC7">
      <w:pPr>
        <w:pStyle w:val="Heading1"/>
      </w:pPr>
      <w:r>
        <w:t>Medical-Necessity Criteria — Skin Substitute Grafts</w:t>
      </w:r>
    </w:p>
    <w:p w:rsidR="00CD2CD3" w:rsidRDefault="002009BD" w14:paraId="1DA89829" w14:textId="77777777">
      <w:pPr>
        <w:pStyle w:val="Heading2"/>
      </w:pPr>
      <w:r>
        <w:t>Merged, Source-Verified Spec (Lower-Extremity Chronic Non-Healing Wounds)</w:t>
      </w:r>
    </w:p>
    <w:p w:rsidR="00CD2CD3" w:rsidRDefault="002009BD" w14:paraId="67E218E9" w14:textId="77777777">
      <w:pPr>
        <w:spacing w:after="100"/>
      </w:pPr>
      <w:r>
        <w:rPr>
          <w:b/>
          <w:bCs/>
        </w:rPr>
        <w:t>Purpose:</w:t>
      </w:r>
      <w:r>
        <w:t xml:space="preserve"> Training/reference spec for the in-room medical-necessity engine. Every criterion below is anchored to verbatim text from a source document and tagged with (a) its logic type, (b) when it is checkable, and (c) its evidence source. Items that could not be verified against the source documents were removed — see "Removed / Corrected" at the end.</w:t>
      </w:r>
    </w:p>
    <w:p w:rsidR="00CD2CD3" w:rsidRDefault="00CD2CD3" w14:paraId="67E28F70" w14:textId="77777777">
      <w:pPr>
        <w:pBdr>
          <w:bottom w:val="single" w:color="BBBBBB" w:sz="6" w:space="1"/>
        </w:pBdr>
        <w:spacing w:before="80" w:after="80"/>
      </w:pPr>
    </w:p>
    <w:p w:rsidR="00CD2CD3" w:rsidRDefault="002009BD" w14:paraId="79A5B1FF" w14:textId="77777777">
      <w:pPr>
        <w:pStyle w:val="Heading3"/>
      </w:pPr>
      <w:r>
        <w:t>Scope &amp; ground rules</w:t>
      </w:r>
    </w:p>
    <w:p w:rsidR="00CD2CD3" w:rsidRDefault="00A75FBE" w14:paraId="64AA7C92" w14:textId="77777777">
      <w:pPr>
        <w:pStyle w:val="ListParagraph"/>
        <w:numPr>
          <w:ilvl w:val="0"/>
          <w:numId w:val="2"/>
        </w:numPr>
        <w:spacing w:after="40"/>
      </w:pPr>
      <w:r>
        <w:rPr>
          <w:b/>
          <w:bCs/>
        </w:rPr>
        <w:t>Sources of truth:</w:t>
      </w:r>
      <w:r>
        <w:t xml:space="preserve"> LCD </w:t>
      </w:r>
      <w:r>
        <w:rPr>
          <w:b/>
          <w:bCs/>
        </w:rPr>
        <w:t>L35041</w:t>
      </w:r>
      <w:r>
        <w:t xml:space="preserve"> (R19, eff. 09/26/2019 — current per CMS); Article </w:t>
      </w:r>
      <w:r>
        <w:rPr>
          <w:b/>
          <w:bCs/>
        </w:rPr>
        <w:t>A54117</w:t>
      </w:r>
      <w:r>
        <w:t xml:space="preserve"> (R22, eff. 01/01/2026); LCD </w:t>
      </w:r>
      <w:r>
        <w:rPr>
          <w:b/>
          <w:bCs/>
        </w:rPr>
        <w:t>L35125</w:t>
      </w:r>
      <w:r>
        <w:t xml:space="preserve"> (Wound Care, for the definition of conservative care only); NCD </w:t>
      </w:r>
      <w:r>
        <w:rPr>
          <w:b/>
          <w:bCs/>
        </w:rPr>
        <w:t>270.3</w:t>
      </w:r>
      <w:r>
        <w:t xml:space="preserve"> (v6, eff. 04/13/2021 — read in full; PRP precedence seam only, see Authority rule).</w:t>
      </w:r>
    </w:p>
    <w:p w:rsidR="00CD2CD3" w:rsidRDefault="00A75FBE" w14:paraId="7B79CD78" w14:textId="77777777">
      <w:pPr>
        <w:pStyle w:val="ListParagraph"/>
        <w:numPr>
          <w:ilvl w:val="0"/>
          <w:numId w:val="2"/>
        </w:numPr>
        <w:spacing w:after="40"/>
      </w:pPr>
      <w:r>
        <w:rPr>
          <w:b/>
          <w:bCs/>
        </w:rPr>
        <w:t>Applies to:</w:t>
      </w:r>
      <w:r>
        <w:t xml:space="preserve"> traditional </w:t>
      </w:r>
      <w:r>
        <w:rPr>
          <w:b/>
          <w:bCs/>
        </w:rPr>
        <w:t>Medicare fee-for-service</w:t>
      </w:r>
      <w:r>
        <w:t xml:space="preserve">, </w:t>
      </w:r>
      <w:r>
        <w:rPr>
          <w:b/>
          <w:bCs/>
        </w:rPr>
        <w:t>Novitas</w:t>
      </w:r>
      <w:r>
        <w:t xml:space="preserve"> jurisdictions (JH/JL). NOT Medicare Advantage or commercial — those use their own rules.</w:t>
      </w:r>
    </w:p>
    <w:p w:rsidR="00CD2CD3" w:rsidRDefault="00A75FBE" w14:paraId="0ACC6C08" w14:textId="77777777">
      <w:pPr>
        <w:pStyle w:val="ListParagraph"/>
        <w:numPr>
          <w:ilvl w:val="0"/>
          <w:numId w:val="2"/>
        </w:numPr>
        <w:spacing w:after="40"/>
      </w:pPr>
      <w:r>
        <w:rPr>
          <w:b/>
          <w:bCs/>
        </w:rPr>
        <w:t>This is the necessity layer.</w:t>
      </w:r>
      <w:r>
        <w:t xml:space="preserve"> Coding/billing edits are tagged </w:t>
      </w:r>
      <w:r>
        <w:rPr>
          <w:rFonts w:ascii="Courier New" w:hAnsi="Courier New" w:eastAsia="Courier New" w:cs="Courier New"/>
          <w:sz w:val="15"/>
          <w:szCs w:val="15"/>
          <w:shd w:val="clear" w:color="auto" w:fill="F0F0F0"/>
        </w:rPr>
        <w:t>CLAIM-TIME</w:t>
      </w:r>
      <w:r>
        <w:t xml:space="preserve"> and are out of scope for the in-room engine.</w:t>
      </w:r>
    </w:p>
    <w:p w:rsidR="00CD2CD3" w:rsidRDefault="00A75FBE" w14:paraId="5F593710" w14:textId="77777777">
      <w:pPr>
        <w:pStyle w:val="ListParagraph"/>
        <w:numPr>
          <w:ilvl w:val="0"/>
          <w:numId w:val="2"/>
        </w:numPr>
        <w:spacing w:after="40"/>
      </w:pPr>
      <w:r>
        <w:rPr>
          <w:b/>
          <w:bCs/>
        </w:rPr>
        <w:t>Output is not always "deny."</w:t>
      </w:r>
      <w:r>
        <w:t xml:space="preserve"> See the temporal model below — many criteria are </w:t>
      </w:r>
      <w:r>
        <w:rPr>
          <w:i/>
          <w:iCs/>
        </w:rPr>
        <w:t>pending</w:t>
      </w:r>
      <w:r>
        <w:t xml:space="preserve">, not </w:t>
      </w:r>
      <w:r>
        <w:rPr>
          <w:i/>
          <w:iCs/>
        </w:rPr>
        <w:t>failed</w:t>
      </w:r>
      <w:r>
        <w:t>, at the moment of an encounter.</w:t>
      </w:r>
    </w:p>
    <w:p w:rsidR="00CD2CD3" w:rsidRDefault="00A75FBE" w14:paraId="7CA23793" w14:textId="77777777">
      <w:pPr>
        <w:pStyle w:val="Heading3"/>
      </w:pPr>
      <w:r>
        <w:t>Authority / precedence rule (read this first)</w:t>
      </w:r>
    </w:p>
    <w:p w:rsidR="00CD2CD3" w:rsidRDefault="00A75FBE" w14:paraId="763B0FA4" w14:textId="77777777">
      <w:pPr>
        <w:pStyle w:val="ListParagraph"/>
        <w:numPr>
          <w:ilvl w:val="0"/>
          <w:numId w:val="2"/>
        </w:numPr>
        <w:spacing w:after="40"/>
      </w:pPr>
      <w:r>
        <w:rPr>
          <w:b/>
          <w:bCs/>
        </w:rPr>
        <w:t>An NCD outranks an LCD, but only on the subject the NCD actually decides.</w:t>
      </w:r>
      <w:r>
        <w:t xml:space="preserve"> An LCD cannot contradict an NCD; where an NCD speaks, its terms control.</w:t>
      </w:r>
    </w:p>
    <w:p w:rsidR="00CD2CD3" w:rsidRDefault="00A75FBE" w14:paraId="52D3EF8D" w14:textId="77777777">
      <w:pPr>
        <w:pStyle w:val="ListParagraph"/>
        <w:numPr>
          <w:ilvl w:val="0"/>
          <w:numId w:val="2"/>
        </w:numPr>
        <w:spacing w:after="40"/>
      </w:pPr>
      <w:r>
        <w:rPr>
          <w:b/>
          <w:bCs/>
        </w:rPr>
        <w:t>NCD 270.3 decides PRP / blood-derived products — NOT skin substitute grafts.</w:t>
      </w:r>
      <w:r>
        <w:t xml:space="preserve"> It therefore does </w:t>
      </w:r>
      <w:r>
        <w:rPr>
          <w:b/>
          <w:bCs/>
        </w:rPr>
        <w:t>not</w:t>
      </w:r>
      <w:r>
        <w:t xml:space="preserve"> override the skin-graft criteria in this spec. The two govern different therapies.</w:t>
      </w:r>
    </w:p>
    <w:p w:rsidR="00CD2CD3" w:rsidRDefault="00A75FBE" w14:paraId="2799E07F" w14:textId="77777777">
      <w:pPr>
        <w:pStyle w:val="ListParagraph"/>
        <w:numPr>
          <w:ilvl w:val="0"/>
          <w:numId w:val="2"/>
        </w:numPr>
        <w:spacing w:after="40"/>
      </w:pPr>
      <w:r>
        <w:rPr>
          <w:b/>
          <w:bCs/>
        </w:rPr>
        <w:t>The single point of contact</w:t>
      </w:r>
      <w:r>
        <w:t xml:space="preserve"> is criterion 6.2: L35041 states PRP combined with a skin substitute is not reasonable and necessary </w:t>
      </w:r>
      <w:r>
        <w:rPr>
          <w:i/>
          <w:iCs/>
        </w:rPr>
        <w:t>"except as described in NCD 270.3."</w:t>
      </w:r>
      <w:r>
        <w:t xml:space="preserve"> At that seam, 270.3's terms control over the LCD; everywhere else 270.3 is silent and the L35041 skin-graft criteria stand.</w:t>
      </w:r>
    </w:p>
    <w:p w:rsidR="00CD2CD3" w:rsidRDefault="00A75FBE" w14:paraId="55462DAB" w14:textId="77777777">
      <w:pPr>
        <w:pStyle w:val="ListParagraph"/>
        <w:numPr>
          <w:ilvl w:val="0"/>
          <w:numId w:val="2"/>
        </w:numPr>
        <w:spacing w:after="40"/>
      </w:pPr>
      <w:r>
        <w:rPr>
          <w:b/>
          <w:bCs/>
        </w:rPr>
        <w:t>Rule for the model:</w:t>
      </w:r>
      <w:r>
        <w:t xml:space="preserve"> "Where 270.3 speaks to PRP, 270.3 controls over any LCD language about PRP. Everywhere else, the L35041 skin-graft necessity criteria apply unchanged." Do </w:t>
      </w:r>
      <w:r>
        <w:rPr>
          <w:b/>
          <w:bCs/>
        </w:rPr>
        <w:t>not</w:t>
      </w:r>
      <w:r>
        <w:t xml:space="preserve"> generalize this into "270.3 overrides the skin-graft checklist" — that is false, because 270.3 does not address skin substitute grafts.</w:t>
      </w:r>
    </w:p>
    <w:p w:rsidR="00CD2CD3" w:rsidRDefault="002009BD" w14:paraId="0052E88B" w14:textId="77777777">
      <w:pPr>
        <w:pStyle w:val="Heading3"/>
      </w:pPr>
      <w:r>
        <w:t>Logic types</w:t>
      </w:r>
    </w:p>
    <w:p w:rsidR="00CD2CD3" w:rsidRDefault="002009BD" w14:paraId="07AFD3CC" w14:textId="77777777">
      <w:pPr>
        <w:pStyle w:val="ListParagraph"/>
        <w:numPr>
          <w:ilvl w:val="0"/>
          <w:numId w:val="2"/>
        </w:numPr>
        <w:spacing w:after="40"/>
      </w:pPr>
      <w:r>
        <w:rPr>
          <w:rFonts w:ascii="Courier New" w:hAnsi="Courier New" w:eastAsia="Courier New" w:cs="Courier New"/>
          <w:b/>
          <w:bCs/>
          <w:sz w:val="15"/>
          <w:szCs w:val="15"/>
          <w:shd w:val="clear" w:color="auto" w:fill="F0F0F0"/>
        </w:rPr>
        <w:t>GATE</w:t>
      </w:r>
      <w:r>
        <w:t xml:space="preserve"> — must be satisfied (YES) for necessity. NO = not established.</w:t>
      </w:r>
    </w:p>
    <w:p w:rsidR="00CD2CD3" w:rsidRDefault="002009BD" w14:paraId="7F5CEE88" w14:textId="77777777">
      <w:pPr>
        <w:pStyle w:val="ListParagraph"/>
        <w:numPr>
          <w:ilvl w:val="0"/>
          <w:numId w:val="2"/>
        </w:numPr>
        <w:spacing w:after="40"/>
      </w:pPr>
      <w:r>
        <w:rPr>
          <w:rFonts w:ascii="Courier New" w:hAnsi="Courier New" w:eastAsia="Courier New" w:cs="Courier New"/>
          <w:b/>
          <w:bCs/>
          <w:sz w:val="15"/>
          <w:szCs w:val="15"/>
          <w:shd w:val="clear" w:color="auto" w:fill="F0F0F0"/>
        </w:rPr>
        <w:t>EXCLUSION</w:t>
      </w:r>
      <w:r>
        <w:t xml:space="preserve"> — must be absent. YES (present) = not established.</w:t>
      </w:r>
    </w:p>
    <w:p w:rsidR="00CD2CD3" w:rsidRDefault="002009BD" w14:paraId="2B37D32E" w14:textId="77777777">
      <w:pPr>
        <w:pStyle w:val="ListParagraph"/>
        <w:numPr>
          <w:ilvl w:val="0"/>
          <w:numId w:val="2"/>
        </w:numPr>
        <w:spacing w:after="40"/>
      </w:pPr>
      <w:r>
        <w:rPr>
          <w:rFonts w:ascii="Courier New" w:hAnsi="Courier New" w:eastAsia="Courier New" w:cs="Courier New"/>
          <w:b/>
          <w:bCs/>
          <w:sz w:val="15"/>
          <w:szCs w:val="15"/>
          <w:shd w:val="clear" w:color="auto" w:fill="F0F0F0"/>
        </w:rPr>
        <w:t>COND</w:t>
      </w:r>
      <w:r>
        <w:t xml:space="preserve"> — only applies on a specific pathway (DFU / VLU / trauma / tobacco user); otherwise skipped.</w:t>
      </w:r>
    </w:p>
    <w:p w:rsidR="00CD2CD3" w:rsidRDefault="002009BD" w14:paraId="17AD591D" w14:textId="77777777">
      <w:pPr>
        <w:pStyle w:val="Heading3"/>
      </w:pPr>
      <w:r>
        <w:t>Temporal model — when is each item checkable? (this is the "not every instance is a denial" fix)</w:t>
      </w:r>
    </w:p>
    <w:p w:rsidR="00CD2CD3" w:rsidRDefault="002009BD" w14:paraId="7040795C" w14:textId="77777777">
      <w:pPr>
        <w:pStyle w:val="ListParagraph"/>
        <w:numPr>
          <w:ilvl w:val="0"/>
          <w:numId w:val="2"/>
        </w:numPr>
        <w:spacing w:after="40"/>
      </w:pPr>
      <w:r>
        <w:rPr>
          <w:rFonts w:ascii="Courier New" w:hAnsi="Courier New" w:eastAsia="Courier New" w:cs="Courier New"/>
          <w:b/>
          <w:bCs/>
          <w:sz w:val="15"/>
          <w:szCs w:val="15"/>
          <w:shd w:val="clear" w:color="auto" w:fill="F0F0F0"/>
        </w:rPr>
        <w:t>@ENCOUNTER</w:t>
      </w:r>
      <w:r>
        <w:t xml:space="preserve"> — establishable at the visit (or from data on hand at the visit). A failed answer here is a real, current gap.</w:t>
      </w:r>
    </w:p>
    <w:p w:rsidR="00CD2CD3" w:rsidRDefault="002009BD" w14:paraId="747CB7BA" w14:textId="77777777">
      <w:pPr>
        <w:pStyle w:val="ListParagraph"/>
        <w:numPr>
          <w:ilvl w:val="0"/>
          <w:numId w:val="2"/>
        </w:numPr>
        <w:spacing w:after="40"/>
      </w:pPr>
      <w:r>
        <w:rPr>
          <w:rFonts w:ascii="Courier New" w:hAnsi="Courier New" w:eastAsia="Courier New" w:cs="Courier New"/>
          <w:b/>
          <w:bCs/>
          <w:sz w:val="15"/>
          <w:szCs w:val="15"/>
          <w:shd w:val="clear" w:color="auto" w:fill="F0F0F0"/>
        </w:rPr>
        <w:t>@HISTORY</w:t>
      </w:r>
      <w:r>
        <w:t xml:space="preserve"> — depends on prior records / labs / claims. If the data exists → check it. </w:t>
      </w:r>
      <w:r>
        <w:rPr>
          <w:b/>
          <w:bCs/>
        </w:rPr>
        <w:t xml:space="preserve">If the patient is new or records are absent → status is </w:t>
      </w:r>
      <w:r>
        <w:rPr>
          <w:rFonts w:ascii="Courier New" w:hAnsi="Courier New" w:eastAsia="Courier New" w:cs="Courier New"/>
          <w:b/>
          <w:bCs/>
          <w:sz w:val="15"/>
          <w:szCs w:val="15"/>
          <w:shd w:val="clear" w:color="auto" w:fill="F0F0F0"/>
        </w:rPr>
        <w:t>INSUFFICIENT DATA</w:t>
      </w:r>
      <w:r>
        <w:rPr>
          <w:b/>
          <w:bCs/>
        </w:rPr>
        <w:t xml:space="preserve">, not </w:t>
      </w:r>
      <w:r>
        <w:rPr>
          <w:rFonts w:ascii="Courier New" w:hAnsi="Courier New" w:eastAsia="Courier New" w:cs="Courier New"/>
          <w:b/>
          <w:bCs/>
          <w:sz w:val="15"/>
          <w:szCs w:val="15"/>
          <w:shd w:val="clear" w:color="auto" w:fill="F0F0F0"/>
        </w:rPr>
        <w:t>DENY</w:t>
      </w:r>
      <w:r>
        <w:rPr>
          <w:b/>
          <w:bCs/>
        </w:rPr>
        <w:t>.</w:t>
      </w:r>
      <w:r>
        <w:t xml:space="preserve"> The engine should request the record, not fail the patient.</w:t>
      </w:r>
    </w:p>
    <w:p w:rsidR="00CD2CD3" w:rsidRDefault="002009BD" w14:paraId="6FA15DC4" w14:textId="77777777">
      <w:pPr>
        <w:pStyle w:val="ListParagraph"/>
        <w:numPr>
          <w:ilvl w:val="0"/>
          <w:numId w:val="2"/>
        </w:numPr>
        <w:spacing w:after="40"/>
      </w:pPr>
      <w:r>
        <w:rPr>
          <w:rFonts w:ascii="Courier New" w:hAnsi="Courier New" w:eastAsia="Courier New" w:cs="Courier New"/>
          <w:b/>
          <w:bCs/>
          <w:sz w:val="15"/>
          <w:szCs w:val="15"/>
          <w:shd w:val="clear" w:color="auto" w:fill="F0F0F0"/>
        </w:rPr>
        <w:t>@EPISODE</w:t>
      </w:r>
      <w:r>
        <w:t xml:space="preserve"> — accrues </w:t>
      </w:r>
      <w:r>
        <w:rPr>
          <w:i/>
          <w:iCs/>
        </w:rPr>
        <w:t>over</w:t>
      </w:r>
      <w:r>
        <w:t xml:space="preserve"> the treatment course (e.g., every-30-day response documentation). </w:t>
      </w:r>
      <w:r>
        <w:rPr>
          <w:b/>
          <w:bCs/>
        </w:rPr>
        <w:t>Not applicable at a first encounter.</w:t>
      </w:r>
      <w:r>
        <w:t xml:space="preserve"> Marking it failed in the room is wrong; it becomes checkable only once the episode is underway.</w:t>
      </w:r>
    </w:p>
    <w:p w:rsidR="00CD2CD3" w:rsidRDefault="002009BD" w14:paraId="1C972A82" w14:textId="77777777">
      <w:pPr>
        <w:pStyle w:val="ListParagraph"/>
        <w:numPr>
          <w:ilvl w:val="0"/>
          <w:numId w:val="2"/>
        </w:numPr>
        <w:spacing w:after="40"/>
      </w:pPr>
      <w:r>
        <w:rPr>
          <w:rFonts w:ascii="Courier New" w:hAnsi="Courier New" w:eastAsia="Courier New" w:cs="Courier New"/>
          <w:b/>
          <w:bCs/>
          <w:sz w:val="15"/>
          <w:szCs w:val="15"/>
          <w:shd w:val="clear" w:color="auto" w:fill="F0F0F0"/>
        </w:rPr>
        <w:t>@CLAIM</w:t>
      </w:r>
      <w:r>
        <w:t xml:space="preserve"> — verified at billing, not in the room. Informational for the in-room engine.</w:t>
      </w:r>
    </w:p>
    <w:p w:rsidR="00CD2CD3" w:rsidRDefault="002009BD" w14:paraId="6E466BE8" w14:textId="77777777">
      <w:pPr>
        <w:spacing w:after="100"/>
      </w:pPr>
      <w:r>
        <w:rPr>
          <w:b/>
          <w:bCs/>
        </w:rPr>
        <w:t>Engine states per criterion:</w:t>
      </w:r>
      <w:r>
        <w:t xml:space="preserve"> </w:t>
      </w:r>
      <w:r>
        <w:rPr>
          <w:rFonts w:ascii="Courier New" w:hAnsi="Courier New" w:eastAsia="Courier New" w:cs="Courier New"/>
          <w:sz w:val="15"/>
          <w:szCs w:val="15"/>
          <w:shd w:val="clear" w:color="auto" w:fill="F0F0F0"/>
        </w:rPr>
        <w:t>MET</w:t>
      </w:r>
      <w:r>
        <w:t xml:space="preserve"> / </w:t>
      </w:r>
      <w:r>
        <w:rPr>
          <w:rFonts w:ascii="Courier New" w:hAnsi="Courier New" w:eastAsia="Courier New" w:cs="Courier New"/>
          <w:sz w:val="15"/>
          <w:szCs w:val="15"/>
          <w:shd w:val="clear" w:color="auto" w:fill="F0F0F0"/>
        </w:rPr>
        <w:t>NOT MET</w:t>
      </w:r>
      <w:r>
        <w:t xml:space="preserve"> / </w:t>
      </w:r>
      <w:r>
        <w:rPr>
          <w:rFonts w:ascii="Courier New" w:hAnsi="Courier New" w:eastAsia="Courier New" w:cs="Courier New"/>
          <w:sz w:val="15"/>
          <w:szCs w:val="15"/>
          <w:shd w:val="clear" w:color="auto" w:fill="F0F0F0"/>
        </w:rPr>
        <w:t>EXCLUDED</w:t>
      </w:r>
      <w:r>
        <w:t xml:space="preserve"> / </w:t>
      </w:r>
      <w:r>
        <w:rPr>
          <w:rFonts w:ascii="Courier New" w:hAnsi="Courier New" w:eastAsia="Courier New" w:cs="Courier New"/>
          <w:sz w:val="15"/>
          <w:szCs w:val="15"/>
          <w:shd w:val="clear" w:color="auto" w:fill="F0F0F0"/>
        </w:rPr>
        <w:t>INSUFFICIENT DATA</w:t>
      </w:r>
      <w:r>
        <w:t xml:space="preserve"> / </w:t>
      </w:r>
      <w:r>
        <w:rPr>
          <w:rFonts w:ascii="Courier New" w:hAnsi="Courier New" w:eastAsia="Courier New" w:cs="Courier New"/>
          <w:sz w:val="15"/>
          <w:szCs w:val="15"/>
          <w:shd w:val="clear" w:color="auto" w:fill="F0F0F0"/>
        </w:rPr>
        <w:t>NOT YET APPLICABLE</w:t>
      </w:r>
      <w:r>
        <w:t xml:space="preserve"> / </w:t>
      </w:r>
      <w:r>
        <w:rPr>
          <w:rFonts w:ascii="Courier New" w:hAnsi="Courier New" w:eastAsia="Courier New" w:cs="Courier New"/>
          <w:sz w:val="15"/>
          <w:szCs w:val="15"/>
          <w:shd w:val="clear" w:color="auto" w:fill="F0F0F0"/>
        </w:rPr>
        <w:t>N/A (pathway)</w:t>
      </w:r>
      <w:r>
        <w:t xml:space="preserve">. Overall necessity = </w:t>
      </w:r>
      <w:r>
        <w:rPr>
          <w:b/>
          <w:bCs/>
        </w:rPr>
        <w:t>not established</w:t>
      </w:r>
      <w:r>
        <w:t xml:space="preserve"> only when a </w:t>
      </w:r>
      <w:r>
        <w:rPr>
          <w:rFonts w:ascii="Courier New" w:hAnsi="Courier New" w:eastAsia="Courier New" w:cs="Courier New"/>
          <w:sz w:val="15"/>
          <w:szCs w:val="15"/>
          <w:shd w:val="clear" w:color="auto" w:fill="F0F0F0"/>
        </w:rPr>
        <w:t>GATE</w:t>
      </w:r>
      <w:r>
        <w:t xml:space="preserve"> is </w:t>
      </w:r>
      <w:r>
        <w:rPr>
          <w:rFonts w:ascii="Courier New" w:hAnsi="Courier New" w:eastAsia="Courier New" w:cs="Courier New"/>
          <w:sz w:val="15"/>
          <w:szCs w:val="15"/>
          <w:shd w:val="clear" w:color="auto" w:fill="F0F0F0"/>
        </w:rPr>
        <w:t>NOT MET</w:t>
      </w:r>
      <w:r>
        <w:t xml:space="preserve"> with sufficient data, or an </w:t>
      </w:r>
      <w:r>
        <w:rPr>
          <w:rFonts w:ascii="Courier New" w:hAnsi="Courier New" w:eastAsia="Courier New" w:cs="Courier New"/>
          <w:sz w:val="15"/>
          <w:szCs w:val="15"/>
          <w:shd w:val="clear" w:color="auto" w:fill="F0F0F0"/>
        </w:rPr>
        <w:t>EXCLUSION</w:t>
      </w:r>
      <w:r>
        <w:t xml:space="preserve"> is </w:t>
      </w:r>
      <w:r>
        <w:rPr>
          <w:rFonts w:ascii="Courier New" w:hAnsi="Courier New" w:eastAsia="Courier New" w:cs="Courier New"/>
          <w:sz w:val="15"/>
          <w:szCs w:val="15"/>
          <w:shd w:val="clear" w:color="auto" w:fill="F0F0F0"/>
        </w:rPr>
        <w:t>EXCLUDED</w:t>
      </w:r>
      <w:r>
        <w:t xml:space="preserve">. </w:t>
      </w:r>
      <w:r>
        <w:rPr>
          <w:rFonts w:ascii="Courier New" w:hAnsi="Courier New" w:eastAsia="Courier New" w:cs="Courier New"/>
          <w:sz w:val="15"/>
          <w:szCs w:val="15"/>
          <w:shd w:val="clear" w:color="auto" w:fill="F0F0F0"/>
        </w:rPr>
        <w:t>INSUFFICIENT DATA</w:t>
      </w:r>
      <w:r>
        <w:t xml:space="preserve"> and </w:t>
      </w:r>
      <w:r>
        <w:rPr>
          <w:rFonts w:ascii="Courier New" w:hAnsi="Courier New" w:eastAsia="Courier New" w:cs="Courier New"/>
          <w:sz w:val="15"/>
          <w:szCs w:val="15"/>
          <w:shd w:val="clear" w:color="auto" w:fill="F0F0F0"/>
        </w:rPr>
        <w:t>NOT YET APPLICABLE</w:t>
      </w:r>
      <w:r>
        <w:t xml:space="preserve"> are </w:t>
      </w:r>
      <w:r>
        <w:rPr>
          <w:b/>
          <w:bCs/>
        </w:rPr>
        <w:t>hold</w:t>
      </w:r>
      <w:r>
        <w:t xml:space="preserve"> states (ask for more / revisit later), not denials.</w:t>
      </w:r>
    </w:p>
    <w:p w:rsidR="00CD2CD3" w:rsidRDefault="00CD2CD3" w14:paraId="1EA68357" w14:textId="77777777">
      <w:pPr>
        <w:pBdr>
          <w:bottom w:val="single" w:color="BBBBBB" w:sz="6" w:space="1"/>
        </w:pBdr>
        <w:spacing w:before="80" w:after="80"/>
      </w:pPr>
    </w:p>
    <w:p w:rsidR="00CD2CD3" w:rsidRDefault="002009BD" w14:paraId="75097559" w14:textId="77777777">
      <w:pPr>
        <w:pStyle w:val="Heading2"/>
      </w:pPr>
      <w:r>
        <w:t>1 · Wound Type, Location &amp; Description</w:t>
      </w:r>
    </w:p>
    <w:tbl>
      <w:tblPr>
        <w:tblW w:w="15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4660"/>
        <w:gridCol w:w="1540"/>
        <w:gridCol w:w="1750"/>
        <w:gridCol w:w="1150"/>
        <w:gridCol w:w="5550"/>
      </w:tblGrid>
      <w:tr w:rsidR="00CD2CD3" w:rsidTr="1B35349F" w14:paraId="7C22FDCC" w14:textId="77777777">
        <w:trPr>
          <w:tblHeader/>
        </w:trPr>
        <w:tc>
          <w:tcPr>
            <w:tcW w:w="60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06E7C1E2" w14:textId="77777777">
            <w:r>
              <w:rPr>
                <w:b/>
                <w:bCs/>
                <w:color w:val="000000"/>
                <w:sz w:val="15"/>
                <w:szCs w:val="15"/>
              </w:rPr>
              <w:lastRenderedPageBreak/>
              <w:t>#</w:t>
            </w:r>
          </w:p>
        </w:tc>
        <w:tc>
          <w:tcPr>
            <w:tcW w:w="466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0405B9F8" w14:textId="77777777">
            <w:r>
              <w:rPr>
                <w:b/>
                <w:bCs/>
                <w:color w:val="000000"/>
                <w:sz w:val="15"/>
                <w:szCs w:val="15"/>
              </w:rPr>
              <w:t>Item</w:t>
            </w:r>
          </w:p>
        </w:tc>
        <w:tc>
          <w:tcPr>
            <w:tcW w:w="154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6ABC21C7" w14:textId="77777777">
            <w:r>
              <w:rPr>
                <w:b/>
                <w:bCs/>
                <w:color w:val="000000"/>
                <w:sz w:val="15"/>
                <w:szCs w:val="15"/>
              </w:rPr>
              <w:t>Type</w:t>
            </w:r>
          </w:p>
        </w:tc>
        <w:tc>
          <w:tcPr>
            <w:tcW w:w="175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4E68C275" w14:textId="77777777">
            <w:r>
              <w:rPr>
                <w:b/>
                <w:bCs/>
                <w:color w:val="000000"/>
                <w:sz w:val="15"/>
                <w:szCs w:val="15"/>
              </w:rPr>
              <w:t>When</w:t>
            </w:r>
          </w:p>
        </w:tc>
        <w:tc>
          <w:tcPr>
            <w:tcW w:w="115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23F8E350" w14:textId="77777777">
            <w:r>
              <w:rPr>
                <w:b/>
                <w:bCs/>
                <w:color w:val="000000"/>
                <w:sz w:val="15"/>
                <w:szCs w:val="15"/>
              </w:rPr>
              <w:t>Source</w:t>
            </w:r>
          </w:p>
        </w:tc>
        <w:tc>
          <w:tcPr>
            <w:tcW w:w="555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1E35419E" w14:textId="77777777">
            <w:r>
              <w:rPr>
                <w:b/>
                <w:bCs/>
                <w:color w:val="000000"/>
                <w:sz w:val="15"/>
                <w:szCs w:val="15"/>
              </w:rPr>
              <w:t>Verbatim anchor</w:t>
            </w:r>
          </w:p>
        </w:tc>
      </w:tr>
      <w:tr w:rsidR="00CD2CD3" w:rsidTr="1B35349F" w14:paraId="227DB6C4"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Pr="00604A95" w:rsidR="00CD2CD3" w:rsidP="1B35349F" w:rsidRDefault="002009BD" w14:paraId="656F6C2D" w14:textId="77777777">
            <w:pPr/>
            <w:r w:rsidRPr="1B35349F" w:rsidR="39F61B43">
              <w:rPr>
                <w:sz w:val="15"/>
                <w:szCs w:val="15"/>
              </w:rPr>
              <w:t>1.1</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E95D7EE" w14:textId="77777777">
            <w:r>
              <w:rPr>
                <w:sz w:val="15"/>
                <w:szCs w:val="15"/>
              </w:rPr>
              <w:t>Wound is one of the three covered categories: (A) neuropathic DFU, (B) venous stasis/hypertension VLU, (C) full-thickness loss from abscess/injury/trauma with ≥4 wks failed disease control</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589C0A4"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0B04519" w14:textId="77777777">
            <w:r>
              <w:rPr>
                <w:sz w:val="15"/>
                <w:szCs w:val="15"/>
              </w:rPr>
              <w:t>@ENCOUNTER + @HISTORY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5578AAE"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P="1B35349F" w:rsidRDefault="002009BD" w14:paraId="36F8C460" w14:textId="12FEA14A">
            <w:pPr>
              <w:pStyle w:val="Normal"/>
              <w:suppressLineNumbers w:val="0"/>
              <w:bidi w:val="0"/>
              <w:spacing w:before="0" w:beforeAutospacing="off" w:after="0" w:afterAutospacing="off" w:line="259" w:lineRule="auto"/>
              <w:ind w:left="0" w:right="0"/>
              <w:jc w:val="left"/>
            </w:pPr>
            <w:r w:rsidRPr="1B35349F" w:rsidR="60BC9C16">
              <w:rPr>
                <w:sz w:val="15"/>
                <w:szCs w:val="15"/>
              </w:rPr>
              <w:t>"</w:t>
            </w:r>
            <w:r w:rsidRPr="1B35349F" w:rsidR="60BC9C16">
              <w:rPr>
                <w:sz w:val="15"/>
                <w:szCs w:val="15"/>
              </w:rPr>
              <w:t xml:space="preserve"> Presence of neuropathic diabetic foot ulcer(s) having failed to respond to documented conservative wound-care measures of greater than four weeks, during which the patient is compliant with recommendations, and without evidence of underlying osteomyelitis or nidus of infection.</w:t>
            </w:r>
          </w:p>
          <w:p w:rsidR="00CD2CD3" w:rsidP="1B35349F" w:rsidRDefault="002009BD" w14:paraId="5A620EF9" w14:textId="2EE1D0C3">
            <w:pPr>
              <w:pStyle w:val="Normal"/>
              <w:bidi w:val="0"/>
              <w:spacing w:before="0" w:beforeAutospacing="off" w:after="0" w:afterAutospacing="off" w:line="259" w:lineRule="auto"/>
              <w:ind w:left="0" w:right="0"/>
              <w:jc w:val="left"/>
            </w:pPr>
            <w:r w:rsidRPr="1B35349F" w:rsidR="60BC9C16">
              <w:rPr>
                <w:sz w:val="15"/>
                <w:szCs w:val="15"/>
              </w:rPr>
              <w:t>Presence of a venous stasis ulcer for at least 3 months but unresponsive to appropriate wound care for at least 30 days with documented compliance.</w:t>
            </w:r>
          </w:p>
          <w:p w:rsidR="00CD2CD3" w:rsidP="1B35349F" w:rsidRDefault="002009BD" w14:paraId="2A6FEA56" w14:textId="49C895F8">
            <w:pPr>
              <w:pStyle w:val="Normal"/>
              <w:bidi w:val="0"/>
              <w:spacing w:before="0" w:beforeAutospacing="off" w:after="0" w:afterAutospacing="off" w:line="259" w:lineRule="auto"/>
              <w:ind w:left="0" w:right="0"/>
              <w:jc w:val="left"/>
            </w:pPr>
            <w:r w:rsidRPr="1B35349F" w:rsidR="60BC9C16">
              <w:rPr>
                <w:sz w:val="15"/>
                <w:szCs w:val="15"/>
              </w:rPr>
              <w:t>Presence of a full thickness skin loss ulcer that is the result of abscess, injury or trauma that has failed to respond to appropriate control of infection, foreign body, tumor resection, or other disease process for a period of 4 weeks or longer.”</w:t>
            </w:r>
          </w:p>
        </w:tc>
      </w:tr>
      <w:tr w:rsidR="00CD2CD3" w:rsidTr="1B35349F" w14:paraId="57EC5AD0"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P="1B35349F" w:rsidRDefault="002009BD" w14:paraId="4BD948A8" w14:textId="77777777">
            <w:pPr>
              <w:rPr>
                <w:sz w:val="15"/>
                <w:szCs w:val="15"/>
              </w:rPr>
            </w:pPr>
            <w:r w:rsidRPr="1B35349F" w:rsidR="39F61B43">
              <w:rPr>
                <w:sz w:val="15"/>
                <w:szCs w:val="15"/>
              </w:rPr>
              <w:t>1.2</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P="1B35349F" w:rsidRDefault="002009BD" w14:paraId="69C52B7F" w14:textId="77777777">
            <w:pPr>
              <w:rPr>
                <w:b w:val="1"/>
                <w:bCs w:val="1"/>
                <w:sz w:val="15"/>
                <w:szCs w:val="15"/>
              </w:rPr>
            </w:pPr>
            <w:r w:rsidRPr="1B35349F" w:rsidR="39F61B43">
              <w:rPr>
                <w:sz w:val="15"/>
                <w:szCs w:val="15"/>
              </w:rPr>
              <w:t xml:space="preserve">Wound is on the </w:t>
            </w:r>
            <w:r w:rsidRPr="1B35349F" w:rsidR="39F61B43">
              <w:rPr>
                <w:b w:val="1"/>
                <w:bCs w:val="1"/>
                <w:sz w:val="15"/>
                <w:szCs w:val="15"/>
              </w:rPr>
              <w:t>lower extremity</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P="1B35349F" w:rsidRDefault="002009BD" w14:paraId="4C229881" w14:textId="77777777">
            <w:pPr>
              <w:rPr>
                <w:sz w:val="15"/>
                <w:szCs w:val="15"/>
              </w:rPr>
            </w:pPr>
            <w:r w:rsidRPr="1B35349F" w:rsidR="39F61B43">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P="1B35349F" w:rsidRDefault="002009BD" w14:paraId="66415FE2" w14:textId="77777777">
            <w:pPr>
              <w:rPr>
                <w:sz w:val="15"/>
                <w:szCs w:val="15"/>
              </w:rPr>
            </w:pPr>
            <w:r w:rsidRPr="1B35349F" w:rsidR="39F61B43">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P="1B35349F" w:rsidRDefault="002009BD" w14:paraId="750844D4" w14:textId="77777777">
            <w:pPr>
              <w:rPr>
                <w:sz w:val="15"/>
                <w:szCs w:val="15"/>
              </w:rPr>
            </w:pPr>
            <w:r w:rsidRPr="1B35349F" w:rsidR="39F61B43">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P="1B35349F" w:rsidRDefault="002009BD" w14:paraId="59457027" w14:textId="77777777">
            <w:pPr>
              <w:rPr>
                <w:sz w:val="15"/>
                <w:szCs w:val="15"/>
              </w:rPr>
            </w:pPr>
            <w:r w:rsidRPr="1B35349F" w:rsidR="39F61B43">
              <w:rPr>
                <w:sz w:val="15"/>
                <w:szCs w:val="15"/>
              </w:rPr>
              <w:t>"…management of chronic non-healing wounds or skin deficits of the lower extremities."</w:t>
            </w:r>
          </w:p>
        </w:tc>
      </w:tr>
      <w:tr w:rsidR="00CD2CD3" w:rsidTr="1B35349F" w14:paraId="2FB7BCB2"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Pr="001F24CB" w:rsidR="00CD2CD3" w:rsidP="1B35349F" w:rsidRDefault="002009BD" w14:paraId="2164C4D1" w14:textId="77777777">
            <w:pPr/>
            <w:r w:rsidRPr="1B35349F" w:rsidR="39F61B43">
              <w:rPr>
                <w:sz w:val="15"/>
                <w:szCs w:val="15"/>
              </w:rPr>
              <w:t>1.3</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Pr="001F24CB" w:rsidR="00CD2CD3" w:rsidP="1B35349F" w:rsidRDefault="002009BD" w14:paraId="31DF44F1" w14:textId="77777777">
            <w:pPr/>
            <w:r w:rsidRPr="1B35349F" w:rsidR="39F61B43">
              <w:rPr>
                <w:sz w:val="15"/>
                <w:szCs w:val="15"/>
              </w:rPr>
              <w:t xml:space="preserve">Wound is </w:t>
            </w:r>
            <w:r w:rsidRPr="1B35349F" w:rsidR="39F61B43">
              <w:rPr>
                <w:b w:val="1"/>
                <w:bCs w:val="1"/>
                <w:sz w:val="15"/>
                <w:szCs w:val="15"/>
              </w:rPr>
              <w:t>≥ 1.0 cm²</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Pr="001F24CB" w:rsidR="00CD2CD3" w:rsidP="1B35349F" w:rsidRDefault="002009BD" w14:paraId="5D64A22C" w14:textId="77777777">
            <w:pPr/>
            <w:r w:rsidRPr="1B35349F" w:rsidR="39F61B43">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Pr="001F24CB" w:rsidR="00CD2CD3" w:rsidP="1B35349F" w:rsidRDefault="002009BD" w14:paraId="78AE5CE7" w14:textId="77777777">
            <w:pPr/>
            <w:r w:rsidRPr="1B35349F" w:rsidR="39F61B43">
              <w:rPr>
                <w:sz w:val="15"/>
                <w:szCs w:val="15"/>
              </w:rPr>
              <w:t>@ENCOUNTER (measurement)</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Pr="001F24CB" w:rsidR="00CD2CD3" w:rsidP="1B35349F" w:rsidRDefault="002009BD" w14:paraId="542F11D6" w14:textId="77777777">
            <w:pPr/>
            <w:r w:rsidRPr="1B35349F" w:rsidR="39F61B43">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P="1B35349F" w:rsidRDefault="002009BD" w14:paraId="2CCC2BC4" w14:textId="77777777">
            <w:pPr>
              <w:rPr>
                <w:sz w:val="15"/>
                <w:szCs w:val="15"/>
              </w:rPr>
            </w:pPr>
            <w:r w:rsidRPr="1B35349F" w:rsidR="39F61B43">
              <w:rPr>
                <w:sz w:val="15"/>
                <w:szCs w:val="15"/>
              </w:rPr>
              <w:t>"Skin deficit at least 1.0 square centimeter (cm) in size."</w:t>
            </w:r>
          </w:p>
        </w:tc>
      </w:tr>
      <w:tr w:rsidR="00CD2CD3" w:rsidTr="1B35349F" w14:paraId="42D6BE60"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6CEBEDF" w14:textId="77777777">
            <w:r>
              <w:rPr>
                <w:sz w:val="15"/>
                <w:szCs w:val="15"/>
              </w:rPr>
              <w:t>1.4</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47D526B" w14:textId="77777777">
            <w:r w:rsidRPr="1B35349F" w:rsidR="39F61B43">
              <w:rPr>
                <w:sz w:val="15"/>
                <w:szCs w:val="15"/>
              </w:rPr>
              <w:t xml:space="preserve">Partial-/full-thickness </w:t>
            </w:r>
            <w:r w:rsidRPr="1B35349F" w:rsidR="39F61B43">
              <w:rPr>
                <w:b w:val="1"/>
                <w:bCs w:val="1"/>
                <w:sz w:val="15"/>
                <w:szCs w:val="15"/>
              </w:rPr>
              <w:t>without</w:t>
            </w:r>
            <w:r w:rsidRPr="1B35349F" w:rsidR="39F61B43">
              <w:rPr>
                <w:sz w:val="15"/>
                <w:szCs w:val="15"/>
              </w:rPr>
              <w:t xml:space="preserve"> tendon, muscle, joint capsule, exposed bone, or sinus tracts</w:t>
            </w:r>
            <w:r w:rsidRPr="1B35349F" w:rsidR="39F61B43">
              <w:rPr>
                <w:sz w:val="15"/>
                <w:szCs w:val="15"/>
              </w:rPr>
              <w:t xml:space="preserve"> — </w:t>
            </w:r>
            <w:r w:rsidRPr="1B35349F" w:rsidR="39F61B43">
              <w:rPr>
                <w:b w:val="1"/>
                <w:bCs w:val="1"/>
                <w:sz w:val="15"/>
                <w:szCs w:val="15"/>
              </w:rPr>
              <w:t>UNLESS</w:t>
            </w:r>
            <w:r w:rsidRPr="1B35349F" w:rsidR="39F61B43">
              <w:rPr>
                <w:sz w:val="15"/>
                <w:szCs w:val="15"/>
              </w:rPr>
              <w:t xml:space="preserve"> the planned CTP’s FDA package label </w:t>
            </w:r>
            <w:r w:rsidRPr="1B35349F" w:rsidR="39F61B43">
              <w:rPr>
                <w:sz w:val="15"/>
                <w:szCs w:val="15"/>
              </w:rPr>
              <w:t>indicates</w:t>
            </w:r>
            <w:r w:rsidRPr="1B35349F" w:rsidR="39F61B43">
              <w:rPr>
                <w:sz w:val="15"/>
                <w:szCs w:val="15"/>
              </w:rPr>
              <w:t xml:space="preserve"> the product is approved for use involving those structures, in which case the structure-involvement exclusion is lifted for that product. Resolution now requires the planned-product identity and its labeled indications → couples 1.4 to 5.3.</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6CFB1CE" w14:textId="77777777">
            <w:r w:rsidRPr="1B35349F" w:rsidR="39F61B43">
              <w:rPr>
                <w:sz w:val="15"/>
                <w:szCs w:val="15"/>
              </w:rPr>
              <w:t>GATE</w:t>
            </w:r>
            <w:r w:rsidRPr="1B35349F" w:rsidR="39F61B43">
              <w:rPr>
                <w:sz w:val="15"/>
                <w:szCs w:val="15"/>
              </w:rPr>
              <w:t xml:space="preserve"> · </w:t>
            </w:r>
            <w:r w:rsidRPr="1B35349F" w:rsidR="39F61B43">
              <w:rPr>
                <w:sz w:val="15"/>
                <w:szCs w:val="15"/>
              </w:rPr>
              <w:t>COND(</w:t>
            </w:r>
            <w:r w:rsidRPr="1B35349F" w:rsidR="39F61B43">
              <w:rPr>
                <w:sz w:val="15"/>
                <w:szCs w:val="15"/>
              </w:rPr>
              <w:t>product-label)</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8E50AFF" w14:textId="77777777">
            <w:r w:rsidRPr="1B35349F" w:rsidR="39F61B43">
              <w:rPr>
                <w:sz w:val="15"/>
                <w:szCs w:val="15"/>
              </w:rPr>
              <w:t>@ENCOUNTER</w:t>
            </w:r>
            <w:r w:rsidRPr="1B35349F" w:rsidR="39F61B43">
              <w:rPr>
                <w:sz w:val="15"/>
                <w:szCs w:val="15"/>
              </w:rPr>
              <w:t xml:space="preserve"> (now product-conditional: needs planned-product label)</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5E3A656"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97118F2" w14:textId="77777777">
            <w:r w:rsidRPr="1B35349F" w:rsidR="39F61B43">
              <w:rPr>
                <w:sz w:val="15"/>
                <w:szCs w:val="15"/>
              </w:rPr>
              <w:t>"Partial- or full-thickness ulcers, not involving tendon, muscle, joint capsule or exhibiting exposed bone or sinus tracts, with a clean granular base."</w:t>
            </w:r>
            <w:r w:rsidRPr="1B35349F" w:rsidR="39F61B43">
              <w:rPr>
                <w:sz w:val="15"/>
                <w:szCs w:val="15"/>
              </w:rPr>
              <w:t xml:space="preserve"> + (new revision) "…with a clean granular base unless the CTP package label indicates the CTP is approved for use involving tendon, muscle, joint capsule or exhibiting exposed bone or sinus tracts…" Corroborate</w:t>
            </w:r>
            <w:r w:rsidRPr="1B35349F" w:rsidR="39F61B43">
              <w:rPr>
                <w:sz w:val="15"/>
                <w:szCs w:val="15"/>
              </w:rPr>
              <w:t>d: "All listed products, unless they are specifically FDA-labeled or cleared for use in the types of wounds being treated, will be considered not reasonable and necessary…" [Confirm verbatim vs. full revision PDF (source has duplication artifact) + SME review. Citable R19 ≠ revision delta.]</w:t>
            </w:r>
          </w:p>
        </w:tc>
      </w:tr>
      <w:tr w:rsidR="00CD2CD3" w:rsidTr="1B35349F" w14:paraId="6FEB853A"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3524723" w14:textId="77777777">
            <w:r>
              <w:rPr>
                <w:sz w:val="15"/>
                <w:szCs w:val="15"/>
              </w:rPr>
              <w:t>1.5</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67FD086" w14:textId="77777777">
            <w:r>
              <w:rPr>
                <w:sz w:val="15"/>
                <w:szCs w:val="15"/>
              </w:rPr>
              <w:t xml:space="preserve">Clean </w:t>
            </w:r>
            <w:r>
              <w:rPr>
                <w:b/>
                <w:bCs/>
                <w:sz w:val="15"/>
                <w:szCs w:val="15"/>
              </w:rPr>
              <w:t>granular base</w:t>
            </w:r>
            <w:r>
              <w:rPr>
                <w:sz w:val="15"/>
                <w:szCs w:val="15"/>
              </w:rPr>
              <w:t>, free of necrotic debris and exudate</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06F711C"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E52FD23"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0C609E0"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87587E8" w14:textId="77777777">
            <w:r>
              <w:rPr>
                <w:sz w:val="15"/>
                <w:szCs w:val="15"/>
              </w:rPr>
              <w:t>"Clean and free of necrotic debris or exudate"; "with a clean granular base."</w:t>
            </w:r>
          </w:p>
        </w:tc>
      </w:tr>
      <w:tr w:rsidR="00CD2CD3" w:rsidTr="1B35349F" w14:paraId="1E0752B1"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962F9E2" w14:textId="77777777">
            <w:r>
              <w:rPr>
                <w:sz w:val="15"/>
                <w:szCs w:val="15"/>
              </w:rPr>
              <w:t>1.6</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51917AA" w14:textId="77777777">
            <w:r>
              <w:rPr>
                <w:b/>
                <w:bCs/>
                <w:sz w:val="15"/>
                <w:szCs w:val="15"/>
              </w:rPr>
              <w:t>EXCLUSION</w:t>
            </w:r>
            <w:r>
              <w:rPr>
                <w:sz w:val="15"/>
                <w:szCs w:val="15"/>
              </w:rPr>
              <w:t xml:space="preserve"> — partial-thickness loss with </w:t>
            </w:r>
            <w:r>
              <w:rPr>
                <w:b/>
                <w:bCs/>
                <w:sz w:val="15"/>
                <w:szCs w:val="15"/>
              </w:rPr>
              <w:t>retained epithelial appendages</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EAD8FF3" w14:textId="77777777">
            <w:r>
              <w:rPr>
                <w:sz w:val="15"/>
                <w:szCs w:val="15"/>
              </w:rPr>
              <w:t>EXCLUSION</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3784A25"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8C16AB8"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F2809A8" w14:textId="77777777">
            <w:r>
              <w:rPr>
                <w:sz w:val="15"/>
                <w:szCs w:val="15"/>
              </w:rPr>
              <w:t>"Partial thickness loss with the retention of epithelial appendages is not a candidate for grafting or replacement…"</w:t>
            </w:r>
          </w:p>
        </w:tc>
      </w:tr>
    </w:tbl>
    <w:p w:rsidR="00CD2CD3" w:rsidRDefault="00CD2CD3" w14:paraId="19FC0FEB" w14:textId="77777777">
      <w:pPr>
        <w:spacing w:after="80"/>
      </w:pPr>
    </w:p>
    <w:p w:rsidR="00CD2CD3" w:rsidRDefault="00CD2CD3" w14:paraId="75FB6603" w14:textId="77777777">
      <w:pPr>
        <w:pBdr>
          <w:bottom w:val="single" w:color="BBBBBB" w:sz="6" w:space="1"/>
        </w:pBdr>
        <w:spacing w:before="80" w:after="80"/>
      </w:pPr>
    </w:p>
    <w:p w:rsidR="00CD2CD3" w:rsidRDefault="002009BD" w14:paraId="48857168" w14:textId="77777777">
      <w:pPr>
        <w:pStyle w:val="Heading2"/>
      </w:pPr>
      <w:r>
        <w:t>2 · Conservative Treatment &amp; Failed Response</w:t>
      </w:r>
    </w:p>
    <w:tbl>
      <w:tblPr>
        <w:tblW w:w="15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4660"/>
        <w:gridCol w:w="1540"/>
        <w:gridCol w:w="1750"/>
        <w:gridCol w:w="1150"/>
        <w:gridCol w:w="5550"/>
      </w:tblGrid>
      <w:tr w:rsidR="00CD2CD3" w14:paraId="7DAFCA37" w14:textId="77777777">
        <w:trPr>
          <w:tblHeader/>
        </w:trPr>
        <w:tc>
          <w:tcPr>
            <w:tcW w:w="60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425C8769" w14:textId="77777777">
            <w:r>
              <w:rPr>
                <w:b/>
                <w:bCs/>
                <w:color w:val="000000"/>
                <w:sz w:val="15"/>
                <w:szCs w:val="15"/>
              </w:rPr>
              <w:t>#</w:t>
            </w:r>
          </w:p>
        </w:tc>
        <w:tc>
          <w:tcPr>
            <w:tcW w:w="466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72C39ECF" w14:textId="77777777">
            <w:r>
              <w:rPr>
                <w:b/>
                <w:bCs/>
                <w:color w:val="000000"/>
                <w:sz w:val="15"/>
                <w:szCs w:val="15"/>
              </w:rPr>
              <w:t>Item</w:t>
            </w:r>
          </w:p>
        </w:tc>
        <w:tc>
          <w:tcPr>
            <w:tcW w:w="154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55B058F8" w14:textId="77777777">
            <w:r>
              <w:rPr>
                <w:b/>
                <w:bCs/>
                <w:color w:val="000000"/>
                <w:sz w:val="15"/>
                <w:szCs w:val="15"/>
              </w:rPr>
              <w:t>Type</w:t>
            </w:r>
          </w:p>
        </w:tc>
        <w:tc>
          <w:tcPr>
            <w:tcW w:w="17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6951FFFA" w14:textId="77777777">
            <w:r>
              <w:rPr>
                <w:b/>
                <w:bCs/>
                <w:color w:val="000000"/>
                <w:sz w:val="15"/>
                <w:szCs w:val="15"/>
              </w:rPr>
              <w:t>When</w:t>
            </w:r>
          </w:p>
        </w:tc>
        <w:tc>
          <w:tcPr>
            <w:tcW w:w="11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09D60A84" w14:textId="77777777">
            <w:r>
              <w:rPr>
                <w:b/>
                <w:bCs/>
                <w:color w:val="000000"/>
                <w:sz w:val="15"/>
                <w:szCs w:val="15"/>
              </w:rPr>
              <w:t>Source</w:t>
            </w:r>
          </w:p>
        </w:tc>
        <w:tc>
          <w:tcPr>
            <w:tcW w:w="55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735E249F" w14:textId="77777777">
            <w:r>
              <w:rPr>
                <w:b/>
                <w:bCs/>
                <w:color w:val="000000"/>
                <w:sz w:val="15"/>
                <w:szCs w:val="15"/>
              </w:rPr>
              <w:t>Verbatim anchor</w:t>
            </w:r>
          </w:p>
        </w:tc>
      </w:tr>
      <w:tr w:rsidR="00CD2CD3" w14:paraId="53B40669"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BED93E5" w14:textId="77777777">
            <w:r>
              <w:rPr>
                <w:sz w:val="15"/>
                <w:szCs w:val="15"/>
              </w:rPr>
              <w:t>2.1</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44F9208" w14:textId="77777777">
            <w:r>
              <w:rPr>
                <w:b/>
                <w:bCs/>
                <w:sz w:val="15"/>
                <w:szCs w:val="15"/>
              </w:rPr>
              <w:t>IF DFU:</w:t>
            </w:r>
            <w:r>
              <w:rPr>
                <w:sz w:val="15"/>
                <w:szCs w:val="15"/>
              </w:rPr>
              <w:t xml:space="preserve"> failed documented conservative care </w:t>
            </w:r>
            <w:r>
              <w:rPr>
                <w:b/>
                <w:bCs/>
                <w:sz w:val="15"/>
                <w:szCs w:val="15"/>
              </w:rPr>
              <w:t>&gt; 4 weeks</w:t>
            </w:r>
            <w:r>
              <w:rPr>
                <w:sz w:val="15"/>
                <w:szCs w:val="15"/>
              </w:rPr>
              <w:t>, patient compliant, no underlying osteomyelitis or nidus of infection</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BA20E94" w14:textId="77777777">
            <w:r>
              <w:rPr>
                <w:sz w:val="15"/>
                <w:szCs w:val="15"/>
              </w:rPr>
              <w:t>GATE · COND(DFU)</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3161D27"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26955C2"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E0BBF3A" w14:textId="77777777">
            <w:r>
              <w:rPr>
                <w:sz w:val="15"/>
                <w:szCs w:val="15"/>
              </w:rPr>
              <w:t>"Presence of neuropathic diabetic foot ulcer(s) having failed to respond to documented conservative wound-care measures of greater than four weeks, during which the patient is compliant…and without evidence of underlying osteomyelitis or nidus of infection."</w:t>
            </w:r>
          </w:p>
        </w:tc>
      </w:tr>
      <w:tr w:rsidR="00CD2CD3" w14:paraId="5ACCFAAE"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C66CB2D" w14:textId="77777777">
            <w:r>
              <w:rPr>
                <w:sz w:val="15"/>
                <w:szCs w:val="15"/>
              </w:rPr>
              <w:t>2.2</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E8D5FCE" w14:textId="77777777">
            <w:r>
              <w:rPr>
                <w:b/>
                <w:bCs/>
                <w:sz w:val="15"/>
                <w:szCs w:val="15"/>
              </w:rPr>
              <w:t>IF VLU:</w:t>
            </w:r>
            <w:r>
              <w:rPr>
                <w:sz w:val="15"/>
                <w:szCs w:val="15"/>
              </w:rPr>
              <w:t xml:space="preserve"> ulcer present </w:t>
            </w:r>
            <w:r>
              <w:rPr>
                <w:b/>
                <w:bCs/>
                <w:sz w:val="15"/>
                <w:szCs w:val="15"/>
              </w:rPr>
              <w:t>≥ 3 months</w:t>
            </w:r>
            <w:r>
              <w:rPr>
                <w:sz w:val="15"/>
                <w:szCs w:val="15"/>
              </w:rPr>
              <w:t xml:space="preserve"> AND unresponsive to appropriate care </w:t>
            </w:r>
            <w:r>
              <w:rPr>
                <w:b/>
                <w:bCs/>
                <w:sz w:val="15"/>
                <w:szCs w:val="15"/>
              </w:rPr>
              <w:t>≥ 30 days</w:t>
            </w:r>
            <w:r>
              <w:rPr>
                <w:sz w:val="15"/>
                <w:szCs w:val="15"/>
              </w:rPr>
              <w:t>, documented compliance</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0A12F3D" w14:textId="77777777">
            <w:r>
              <w:rPr>
                <w:sz w:val="15"/>
                <w:szCs w:val="15"/>
              </w:rPr>
              <w:t>GATE · COND(VLU)</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29E02FC"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2E576DB"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80D8C53" w14:textId="77777777">
            <w:r>
              <w:rPr>
                <w:sz w:val="15"/>
                <w:szCs w:val="15"/>
              </w:rPr>
              <w:t>"Presence of a venous stasis ulcer for at least 3 months but unresponsive to appropriate wound care for at least 30 days with documented compliance."</w:t>
            </w:r>
          </w:p>
        </w:tc>
      </w:tr>
      <w:tr w:rsidR="00CD2CD3" w14:paraId="4F193FC3"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4B9DDB3" w14:textId="77777777">
            <w:r>
              <w:rPr>
                <w:sz w:val="15"/>
                <w:szCs w:val="15"/>
              </w:rPr>
              <w:t>2.3</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97AD27F" w14:textId="77777777">
            <w:r>
              <w:rPr>
                <w:b/>
                <w:bCs/>
                <w:sz w:val="15"/>
                <w:szCs w:val="15"/>
              </w:rPr>
              <w:t>IF trauma/abscess:</w:t>
            </w:r>
            <w:r>
              <w:rPr>
                <w:sz w:val="15"/>
                <w:szCs w:val="15"/>
              </w:rPr>
              <w:t xml:space="preserve"> full-thickness loss failed appropriate infection/foreign-body/tumor/disease control </w:t>
            </w:r>
            <w:r>
              <w:rPr>
                <w:b/>
                <w:bCs/>
                <w:sz w:val="15"/>
                <w:szCs w:val="15"/>
              </w:rPr>
              <w:t>≥ 4 weeks</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7EA545D" w14:textId="77777777">
            <w:r>
              <w:rPr>
                <w:sz w:val="15"/>
                <w:szCs w:val="15"/>
              </w:rPr>
              <w:t>GATE · COND(trauma)</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3B341C9"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EEF993A"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8D644C5" w14:textId="77777777">
            <w:r>
              <w:rPr>
                <w:sz w:val="15"/>
                <w:szCs w:val="15"/>
              </w:rPr>
              <w:t>"…full thickness skin loss ulcer that is the result of abscess, injury or trauma that has failed to respond to appropriate control of infection, foreign body, tumor resection, or other disease process for a period of 4 weeks or longer."</w:t>
            </w:r>
          </w:p>
        </w:tc>
      </w:tr>
      <w:tr w:rsidR="00CD2CD3" w14:paraId="029CE6C7"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6B001F8" w14:textId="77777777">
            <w:r>
              <w:rPr>
                <w:sz w:val="15"/>
                <w:szCs w:val="15"/>
              </w:rPr>
              <w:t>2.4</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94850AC" w14:textId="77777777">
            <w:r>
              <w:rPr>
                <w:sz w:val="15"/>
                <w:szCs w:val="15"/>
              </w:rPr>
              <w:t xml:space="preserve">Documented </w:t>
            </w:r>
            <w:r>
              <w:rPr>
                <w:b/>
                <w:bCs/>
                <w:sz w:val="15"/>
                <w:szCs w:val="15"/>
              </w:rPr>
              <w:t>"Failed Response"</w:t>
            </w:r>
            <w:r>
              <w:rPr>
                <w:sz w:val="15"/>
                <w:szCs w:val="15"/>
              </w:rPr>
              <w:t>: increased in size/depth, OR no change AND no sign improvement is likely (no granulation/epithelialization/progress toward closing)</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64BBE8F"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2DA5955"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DA1BC24"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0BB75A5" w14:textId="77777777">
            <w:r>
              <w:rPr>
                <w:sz w:val="15"/>
                <w:szCs w:val="15"/>
              </w:rPr>
              <w:t>"A 'Failed Response' is defined as an ulcer or skin deficit that has failed to respond…has increased in size or depth, or has not changed…and has no indication that improvement is likely (such as granulation, epithelialization or progress towards closing)."</w:t>
            </w:r>
          </w:p>
        </w:tc>
      </w:tr>
      <w:tr w:rsidR="00CD2CD3" w14:paraId="6186214E"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84E1DBC" w14:textId="77777777">
            <w:r>
              <w:rPr>
                <w:sz w:val="15"/>
                <w:szCs w:val="15"/>
              </w:rPr>
              <w:t>2.5</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7D78D0A" w14:textId="77777777">
            <w:r>
              <w:rPr>
                <w:sz w:val="15"/>
                <w:szCs w:val="15"/>
              </w:rPr>
              <w:t>Applicable conservative measures documented as attempted (edema/venous/lymphedema control; infection/colonization control; eliminate cellulitis/osteomyelitis/foreign body/malignancy; debridement; DFU offloading; VLU compression &gt;20 mmHg; protective wound environment)</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34A9E03"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09CA9B6"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527960B" w14:textId="77777777">
            <w:r>
              <w:rPr>
                <w:sz w:val="15"/>
                <w:szCs w:val="15"/>
              </w:rPr>
              <w:t>L35041 (detail in L35125)</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AB3DF30" w14:textId="77777777">
            <w:r>
              <w:rPr>
                <w:sz w:val="15"/>
                <w:szCs w:val="15"/>
              </w:rPr>
              <w:t>"Appropriate therapy includes, but is not limited to: Control of edema, venous hypertension or lymphedema; Control of any nidus of infection or colonization; Elimination of underlying cellulitis, osteomyelitis, foreign body, or malignant process; Appropriate debridement…; For diabetic foot ulcers, appropriate non-weight bearing or off-loading…; For venous stasis ulcers, compression therapy…stockings of greater than 20 mmHg…"</w:t>
            </w:r>
          </w:p>
        </w:tc>
      </w:tr>
    </w:tbl>
    <w:p w:rsidR="00CD2CD3" w:rsidRDefault="00CD2CD3" w14:paraId="71B8AAB0" w14:textId="77777777">
      <w:pPr>
        <w:spacing w:after="80"/>
      </w:pPr>
    </w:p>
    <w:p w:rsidR="00CD2CD3" w:rsidRDefault="00CD2CD3" w14:paraId="54791DB8" w14:textId="77777777">
      <w:pPr>
        <w:pBdr>
          <w:bottom w:val="single" w:color="BBBBBB" w:sz="6" w:space="1"/>
        </w:pBdr>
        <w:spacing w:before="80" w:after="80"/>
      </w:pPr>
    </w:p>
    <w:p w:rsidR="00CD2CD3" w:rsidRDefault="002009BD" w14:paraId="4575F861" w14:textId="77777777">
      <w:pPr>
        <w:pStyle w:val="Heading2"/>
      </w:pPr>
      <w:r>
        <w:t>3 · Infection, Circulation &amp; Systemic Status</w:t>
      </w:r>
    </w:p>
    <w:tbl>
      <w:tblPr>
        <w:tblW w:w="15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4660"/>
        <w:gridCol w:w="1540"/>
        <w:gridCol w:w="1750"/>
        <w:gridCol w:w="1150"/>
        <w:gridCol w:w="5550"/>
      </w:tblGrid>
      <w:tr w:rsidR="00CD2CD3" w14:paraId="6022A6FE" w14:textId="77777777">
        <w:trPr>
          <w:tblHeader/>
        </w:trPr>
        <w:tc>
          <w:tcPr>
            <w:tcW w:w="60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59C68797" w14:textId="77777777">
            <w:r>
              <w:rPr>
                <w:b/>
                <w:bCs/>
                <w:color w:val="000000"/>
                <w:sz w:val="15"/>
                <w:szCs w:val="15"/>
              </w:rPr>
              <w:lastRenderedPageBreak/>
              <w:t>#</w:t>
            </w:r>
          </w:p>
        </w:tc>
        <w:tc>
          <w:tcPr>
            <w:tcW w:w="466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304C8A57" w14:textId="77777777">
            <w:r>
              <w:rPr>
                <w:b/>
                <w:bCs/>
                <w:color w:val="000000"/>
                <w:sz w:val="15"/>
                <w:szCs w:val="15"/>
              </w:rPr>
              <w:t>Item</w:t>
            </w:r>
          </w:p>
        </w:tc>
        <w:tc>
          <w:tcPr>
            <w:tcW w:w="154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03640752" w14:textId="77777777">
            <w:r>
              <w:rPr>
                <w:b/>
                <w:bCs/>
                <w:color w:val="000000"/>
                <w:sz w:val="15"/>
                <w:szCs w:val="15"/>
              </w:rPr>
              <w:t>Type</w:t>
            </w:r>
          </w:p>
        </w:tc>
        <w:tc>
          <w:tcPr>
            <w:tcW w:w="17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2F7994DB" w14:textId="77777777">
            <w:r>
              <w:rPr>
                <w:b/>
                <w:bCs/>
                <w:color w:val="000000"/>
                <w:sz w:val="15"/>
                <w:szCs w:val="15"/>
              </w:rPr>
              <w:t>When</w:t>
            </w:r>
          </w:p>
        </w:tc>
        <w:tc>
          <w:tcPr>
            <w:tcW w:w="11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665054A5" w14:textId="77777777">
            <w:r>
              <w:rPr>
                <w:b/>
                <w:bCs/>
                <w:color w:val="000000"/>
                <w:sz w:val="15"/>
                <w:szCs w:val="15"/>
              </w:rPr>
              <w:t>Source</w:t>
            </w:r>
          </w:p>
        </w:tc>
        <w:tc>
          <w:tcPr>
            <w:tcW w:w="55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32CC3BE6" w14:textId="77777777">
            <w:r>
              <w:rPr>
                <w:b/>
                <w:bCs/>
                <w:color w:val="000000"/>
                <w:sz w:val="15"/>
                <w:szCs w:val="15"/>
              </w:rPr>
              <w:t>Verbatim anchor</w:t>
            </w:r>
          </w:p>
        </w:tc>
      </w:tr>
      <w:tr w:rsidR="00CD2CD3" w14:paraId="73337409"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C6D4035" w14:textId="77777777">
            <w:r>
              <w:rPr>
                <w:sz w:val="15"/>
                <w:szCs w:val="15"/>
              </w:rPr>
              <w:t>3.1</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644F43D" w14:textId="77777777">
            <w:r>
              <w:rPr>
                <w:sz w:val="15"/>
                <w:szCs w:val="15"/>
              </w:rPr>
              <w:t>Free of active infection; underlying osteomyelitis absent or resolved &amp; documented</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E5AB0D6"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83ED225"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D108518"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DCED7A4" w14:textId="77777777">
            <w:r>
              <w:rPr>
                <w:sz w:val="15"/>
                <w:szCs w:val="15"/>
              </w:rPr>
              <w:t>"The ulcer must be free of infection and underlying osteomyelitis with documentation of the conditions that have been treated and resolved prior to the institution of skin substitute therapy."</w:t>
            </w:r>
          </w:p>
        </w:tc>
      </w:tr>
      <w:tr w:rsidR="00CD2CD3" w14:paraId="5CE82DE9"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7F765B9" w14:textId="77777777">
            <w:r>
              <w:rPr>
                <w:sz w:val="15"/>
                <w:szCs w:val="15"/>
              </w:rPr>
              <w:t>3.2</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90625C7" w14:textId="77777777">
            <w:r>
              <w:rPr>
                <w:b/>
                <w:bCs/>
                <w:sz w:val="15"/>
                <w:szCs w:val="15"/>
              </w:rPr>
              <w:t>Adequate circulation/oxygenation, as evidenced by physical examination</w:t>
            </w:r>
            <w:r>
              <w:rPr>
                <w:sz w:val="15"/>
                <w:szCs w:val="15"/>
              </w:rPr>
              <w:t xml:space="preserve"> (e.g., ABI ≥ 0.60, toe pressure &gt; 30 mmHg)</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BE40647"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5D1BA79" w14:textId="77777777">
            <w:r>
              <w:rPr>
                <w:sz w:val="15"/>
                <w:szCs w:val="15"/>
              </w:rPr>
              <w:t>@HISTORY (test)</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9EB5DEA"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57ECF6C" w14:textId="77777777">
            <w:r>
              <w:rPr>
                <w:sz w:val="15"/>
                <w:szCs w:val="15"/>
              </w:rPr>
              <w:t xml:space="preserve">"Have adequate circulation/oxygenation to support tissue growth/wound healing </w:t>
            </w:r>
            <w:r>
              <w:rPr>
                <w:b/>
                <w:bCs/>
                <w:sz w:val="15"/>
                <w:szCs w:val="15"/>
              </w:rPr>
              <w:t>as evidenced by physical examination (e.g.,</w:t>
            </w:r>
            <w:r>
              <w:rPr>
                <w:sz w:val="15"/>
                <w:szCs w:val="15"/>
              </w:rPr>
              <w:t xml:space="preserve"> Ankle-Brachial Index [ABI] of no less than 0.60, toe pressure greater than 30 millimeters of mercury [mmHg])."</w:t>
            </w:r>
          </w:p>
        </w:tc>
      </w:tr>
      <w:tr w:rsidR="00CD2CD3" w14:paraId="4D744D7F"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2362F04" w14:textId="77777777">
            <w:r>
              <w:rPr>
                <w:sz w:val="15"/>
                <w:szCs w:val="15"/>
              </w:rPr>
              <w:t>3.3</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3B69176" w14:textId="77777777">
            <w:r>
              <w:rPr>
                <w:b/>
                <w:bCs/>
                <w:sz w:val="15"/>
                <w:szCs w:val="15"/>
              </w:rPr>
              <w:t>IF DFU:</w:t>
            </w:r>
            <w:r>
              <w:rPr>
                <w:sz w:val="15"/>
                <w:szCs w:val="15"/>
              </w:rPr>
              <w:t xml:space="preserve"> Type 1 or 2 diabetes documented WITH evidence of medical management</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DF709A7" w14:textId="77777777">
            <w:r>
              <w:rPr>
                <w:sz w:val="15"/>
                <w:szCs w:val="15"/>
              </w:rPr>
              <w:t>GATE · COND(DFU)</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939FE78"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0E42148"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ADD78E8" w14:textId="77777777">
            <w:r>
              <w:rPr>
                <w:sz w:val="15"/>
                <w:szCs w:val="15"/>
              </w:rPr>
              <w:t>"For diabetic foot ulcers, the patient's medical record reflects a diagnosis of Type 1 or Type 2 Diabetes and also reflects medical management for this condition."</w:t>
            </w:r>
          </w:p>
        </w:tc>
      </w:tr>
      <w:tr w:rsidR="00CD2CD3" w14:paraId="02659D1B"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1CDECAA" w14:textId="77777777">
            <w:r>
              <w:rPr>
                <w:sz w:val="15"/>
                <w:szCs w:val="15"/>
              </w:rPr>
              <w:t>3.4</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3FCDBF8" w14:textId="77777777">
            <w:r>
              <w:rPr>
                <w:b/>
                <w:bCs/>
                <w:sz w:val="15"/>
                <w:szCs w:val="15"/>
              </w:rPr>
              <w:t>EXCLUSION</w:t>
            </w:r>
            <w:r>
              <w:rPr>
                <w:sz w:val="15"/>
                <w:szCs w:val="15"/>
              </w:rPr>
              <w:t xml:space="preserve"> — uncontrolled diabetes, OR active Charcot arthropathy of the ulcer extremity, OR vasculitis</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68FAB5D" w14:textId="77777777">
            <w:r>
              <w:rPr>
                <w:sz w:val="15"/>
                <w:szCs w:val="15"/>
              </w:rPr>
              <w:t>EXCLUSION</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0ADD956" w14:textId="77777777">
            <w:r>
              <w:rPr>
                <w:sz w:val="15"/>
                <w:szCs w:val="15"/>
              </w:rPr>
              <w:t>@ENCOUNTER + @HISTORY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877AE2E"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261F0F5" w14:textId="77777777">
            <w:r>
              <w:rPr>
                <w:sz w:val="15"/>
                <w:szCs w:val="15"/>
              </w:rPr>
              <w:t>"…contraindicated…in patients with inadequate control of underlying conditions or exacerbating factors (e.g., uncontrolled diabetes, active infection, and active Charcot arthropathy of the ulcer extremity, vasculitis or continued tobacco smoking without physician attempt to affect smoking cessation)."</w:t>
            </w:r>
          </w:p>
        </w:tc>
      </w:tr>
      <w:tr w:rsidR="00CD2CD3" w14:paraId="2B959484"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F48CDD6" w14:textId="77777777">
            <w:r>
              <w:rPr>
                <w:sz w:val="15"/>
                <w:szCs w:val="15"/>
              </w:rPr>
              <w:t>3.5</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70D379E" w14:textId="77777777">
            <w:r>
              <w:rPr>
                <w:b/>
                <w:bCs/>
                <w:sz w:val="15"/>
                <w:szCs w:val="15"/>
              </w:rPr>
              <w:t>EXCLUSION</w:t>
            </w:r>
            <w:r>
              <w:rPr>
                <w:sz w:val="15"/>
                <w:szCs w:val="15"/>
              </w:rPr>
              <w:t xml:space="preserve"> — known hypersensitivity to any product component (e.g., avian, bovine, porcine, equine)</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11B9969" w14:textId="77777777">
            <w:r>
              <w:rPr>
                <w:sz w:val="15"/>
                <w:szCs w:val="15"/>
              </w:rPr>
              <w:t>EXCLUSION</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AD91FE5"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6A96A5B"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C6220EB" w14:textId="77777777">
            <w:r>
              <w:rPr>
                <w:sz w:val="15"/>
                <w:szCs w:val="15"/>
              </w:rPr>
              <w:t>"…contraindicated in patients with known hypersensitivity to any component of the specific skin substitute graft (e.g., allergy to avian, bovine, porcine, equine products)."</w:t>
            </w:r>
          </w:p>
        </w:tc>
      </w:tr>
    </w:tbl>
    <w:p w:rsidR="00CD2CD3" w:rsidRDefault="00CD2CD3" w14:paraId="246F47D3" w14:textId="77777777">
      <w:pPr>
        <w:spacing w:after="80"/>
      </w:pPr>
    </w:p>
    <w:p w:rsidR="00CD2CD3" w:rsidRDefault="00CD2CD3" w14:paraId="5C232226" w14:textId="77777777">
      <w:pPr>
        <w:pBdr>
          <w:bottom w:val="single" w:color="BBBBBB" w:sz="6" w:space="1"/>
        </w:pBdr>
        <w:spacing w:before="80" w:after="80"/>
      </w:pPr>
    </w:p>
    <w:p w:rsidR="00CD2CD3" w:rsidRDefault="002009BD" w14:paraId="4AE1E3FF" w14:textId="77777777">
      <w:pPr>
        <w:pStyle w:val="Heading2"/>
      </w:pPr>
      <w:r>
        <w:t>4 · Tobacco</w:t>
      </w:r>
    </w:p>
    <w:tbl>
      <w:tblPr>
        <w:tblW w:w="15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4660"/>
        <w:gridCol w:w="1540"/>
        <w:gridCol w:w="1750"/>
        <w:gridCol w:w="1150"/>
        <w:gridCol w:w="5550"/>
      </w:tblGrid>
      <w:tr w:rsidR="00CD2CD3" w14:paraId="0A882B57" w14:textId="77777777">
        <w:trPr>
          <w:tblHeader/>
        </w:trPr>
        <w:tc>
          <w:tcPr>
            <w:tcW w:w="60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56F47F75" w14:textId="77777777">
            <w:r>
              <w:rPr>
                <w:b/>
                <w:bCs/>
                <w:color w:val="000000"/>
                <w:sz w:val="15"/>
                <w:szCs w:val="15"/>
              </w:rPr>
              <w:t>#</w:t>
            </w:r>
          </w:p>
        </w:tc>
        <w:tc>
          <w:tcPr>
            <w:tcW w:w="466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7CCA92D4" w14:textId="77777777">
            <w:r>
              <w:rPr>
                <w:b/>
                <w:bCs/>
                <w:color w:val="000000"/>
                <w:sz w:val="15"/>
                <w:szCs w:val="15"/>
              </w:rPr>
              <w:t>Item</w:t>
            </w:r>
          </w:p>
        </w:tc>
        <w:tc>
          <w:tcPr>
            <w:tcW w:w="154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026FBB5E" w14:textId="77777777">
            <w:r>
              <w:rPr>
                <w:b/>
                <w:bCs/>
                <w:color w:val="000000"/>
                <w:sz w:val="15"/>
                <w:szCs w:val="15"/>
              </w:rPr>
              <w:t>Type</w:t>
            </w:r>
          </w:p>
        </w:tc>
        <w:tc>
          <w:tcPr>
            <w:tcW w:w="17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1373AB71" w14:textId="77777777">
            <w:r>
              <w:rPr>
                <w:b/>
                <w:bCs/>
                <w:color w:val="000000"/>
                <w:sz w:val="15"/>
                <w:szCs w:val="15"/>
              </w:rPr>
              <w:t>When</w:t>
            </w:r>
          </w:p>
        </w:tc>
        <w:tc>
          <w:tcPr>
            <w:tcW w:w="11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5784BA8F" w14:textId="77777777">
            <w:r>
              <w:rPr>
                <w:b/>
                <w:bCs/>
                <w:color w:val="000000"/>
                <w:sz w:val="15"/>
                <w:szCs w:val="15"/>
              </w:rPr>
              <w:t>Source</w:t>
            </w:r>
          </w:p>
        </w:tc>
        <w:tc>
          <w:tcPr>
            <w:tcW w:w="55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19F5ECBF" w14:textId="77777777">
            <w:r>
              <w:rPr>
                <w:b/>
                <w:bCs/>
                <w:color w:val="000000"/>
                <w:sz w:val="15"/>
                <w:szCs w:val="15"/>
              </w:rPr>
              <w:t>Verbatim anchor</w:t>
            </w:r>
          </w:p>
        </w:tc>
      </w:tr>
      <w:tr w:rsidR="00CD2CD3" w14:paraId="72744750"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4F354D1" w14:textId="77777777">
            <w:r>
              <w:rPr>
                <w:sz w:val="15"/>
                <w:szCs w:val="15"/>
              </w:rPr>
              <w:t>4.1</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6098FD9" w14:textId="77777777">
            <w:r>
              <w:rPr>
                <w:b/>
                <w:bCs/>
                <w:sz w:val="15"/>
                <w:szCs w:val="15"/>
              </w:rPr>
              <w:t>IF tobacco user:</w:t>
            </w:r>
            <w:r>
              <w:rPr>
                <w:sz w:val="15"/>
                <w:szCs w:val="15"/>
              </w:rPr>
              <w:t xml:space="preserve"> documented cessation ≥4 wks OR documented cessation counseling + prescribed measures. (Active use with </w:t>
            </w:r>
            <w:r>
              <w:rPr>
                <w:b/>
                <w:bCs/>
                <w:sz w:val="15"/>
                <w:szCs w:val="15"/>
              </w:rPr>
              <w:t>no</w:t>
            </w:r>
            <w:r>
              <w:rPr>
                <w:sz w:val="15"/>
                <w:szCs w:val="15"/>
              </w:rPr>
              <w:t xml:space="preserve"> physician cessation attempt = contraindication.)</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7E03AF7" w14:textId="77777777">
            <w:r>
              <w:rPr>
                <w:sz w:val="15"/>
                <w:szCs w:val="15"/>
              </w:rPr>
              <w:t>EXCLUSION · COND(tobacco)</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0430C57"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73D540D"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6CE4685" w14:textId="77777777">
            <w:r>
              <w:rPr>
                <w:sz w:val="15"/>
                <w:szCs w:val="15"/>
              </w:rPr>
              <w:t>"…continued tobacco smoking without physician attempt to affect smoking cessation." + "Ideally patients who have smoked will have ceased…for at least 4 weeks…Documentation of smoking cessation counseling and cessation measures prescribed, if applicable, must also be documented…"</w:t>
            </w:r>
          </w:p>
        </w:tc>
      </w:tr>
    </w:tbl>
    <w:p w:rsidR="00CD2CD3" w:rsidRDefault="00CD2CD3" w14:paraId="71E0B096" w14:textId="77777777">
      <w:pPr>
        <w:spacing w:after="80"/>
      </w:pPr>
    </w:p>
    <w:p w:rsidR="00CD2CD3" w:rsidRDefault="00CD2CD3" w14:paraId="53E35351" w14:textId="77777777">
      <w:pPr>
        <w:pBdr>
          <w:bottom w:val="single" w:color="BBBBBB" w:sz="6" w:space="1"/>
        </w:pBdr>
        <w:spacing w:before="80" w:after="80"/>
      </w:pPr>
    </w:p>
    <w:p w:rsidR="00CD2CD3" w:rsidRDefault="002009BD" w14:paraId="530028C2" w14:textId="77777777">
      <w:pPr>
        <w:pStyle w:val="Heading2"/>
      </w:pPr>
      <w:r>
        <w:t>5 · Physician &amp; Program Oversight</w:t>
      </w:r>
    </w:p>
    <w:tbl>
      <w:tblPr>
        <w:tblW w:w="15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4660"/>
        <w:gridCol w:w="1540"/>
        <w:gridCol w:w="1750"/>
        <w:gridCol w:w="1150"/>
        <w:gridCol w:w="5550"/>
      </w:tblGrid>
      <w:tr w:rsidR="00CD2CD3" w:rsidTr="1B35349F" w14:paraId="40171443" w14:textId="77777777">
        <w:trPr>
          <w:tblHeader/>
        </w:trPr>
        <w:tc>
          <w:tcPr>
            <w:tcW w:w="60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48288E9E" w14:textId="77777777">
            <w:r>
              <w:rPr>
                <w:b/>
                <w:bCs/>
                <w:color w:val="000000"/>
                <w:sz w:val="15"/>
                <w:szCs w:val="15"/>
              </w:rPr>
              <w:t>#</w:t>
            </w:r>
          </w:p>
        </w:tc>
        <w:tc>
          <w:tcPr>
            <w:tcW w:w="466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56F40BB4" w14:textId="77777777">
            <w:r>
              <w:rPr>
                <w:b/>
                <w:bCs/>
                <w:color w:val="000000"/>
                <w:sz w:val="15"/>
                <w:szCs w:val="15"/>
              </w:rPr>
              <w:t>Item</w:t>
            </w:r>
          </w:p>
        </w:tc>
        <w:tc>
          <w:tcPr>
            <w:tcW w:w="154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6B71DD18" w14:textId="77777777">
            <w:r>
              <w:rPr>
                <w:b/>
                <w:bCs/>
                <w:color w:val="000000"/>
                <w:sz w:val="15"/>
                <w:szCs w:val="15"/>
              </w:rPr>
              <w:t>Type</w:t>
            </w:r>
          </w:p>
        </w:tc>
        <w:tc>
          <w:tcPr>
            <w:tcW w:w="175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0A3BC05B" w14:textId="77777777">
            <w:r>
              <w:rPr>
                <w:b/>
                <w:bCs/>
                <w:color w:val="000000"/>
                <w:sz w:val="15"/>
                <w:szCs w:val="15"/>
              </w:rPr>
              <w:t>When</w:t>
            </w:r>
          </w:p>
        </w:tc>
        <w:tc>
          <w:tcPr>
            <w:tcW w:w="115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314F266C" w14:textId="77777777">
            <w:r>
              <w:rPr>
                <w:b/>
                <w:bCs/>
                <w:color w:val="000000"/>
                <w:sz w:val="15"/>
                <w:szCs w:val="15"/>
              </w:rPr>
              <w:t>Source</w:t>
            </w:r>
          </w:p>
        </w:tc>
        <w:tc>
          <w:tcPr>
            <w:tcW w:w="5550" w:type="dxa"/>
            <w:tcBorders>
              <w:top w:val="single" w:color="888888" w:sz="4" w:space="0"/>
              <w:left w:val="single" w:color="888888" w:sz="4" w:space="0"/>
              <w:bottom w:val="single" w:color="888888" w:sz="4" w:space="0"/>
              <w:right w:val="single" w:color="888888" w:sz="4" w:space="0"/>
            </w:tcBorders>
            <w:shd w:val="clear" w:color="auto" w:fill="E8E8E8" w:themeFill="background2"/>
            <w:tcMar>
              <w:top w:w="60" w:type="dxa"/>
              <w:left w:w="80" w:type="dxa"/>
              <w:bottom w:w="60" w:type="dxa"/>
              <w:right w:w="80" w:type="dxa"/>
            </w:tcMar>
          </w:tcPr>
          <w:p w:rsidR="00CD2CD3" w:rsidRDefault="002009BD" w14:paraId="4481BC06" w14:textId="77777777">
            <w:r>
              <w:rPr>
                <w:b/>
                <w:bCs/>
                <w:color w:val="000000"/>
                <w:sz w:val="15"/>
                <w:szCs w:val="15"/>
              </w:rPr>
              <w:t>Verbatim anchor</w:t>
            </w:r>
          </w:p>
        </w:tc>
      </w:tr>
      <w:tr w:rsidR="00CD2CD3" w:rsidTr="1B35349F" w14:paraId="48C6025B"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0711F43" w14:textId="77777777">
            <w:r>
              <w:rPr>
                <w:sz w:val="15"/>
                <w:szCs w:val="15"/>
              </w:rPr>
              <w:t>5.1</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EC92DC6" w14:textId="77777777">
            <w:r w:rsidRPr="1B35349F" w:rsidR="39F61B43">
              <w:rPr>
                <w:sz w:val="15"/>
                <w:szCs w:val="15"/>
              </w:rPr>
              <w:t>Patient under care of a state-licensed physician (full scope) for the etiologic systemic disease; physician identity in record</w:t>
            </w:r>
            <w:r w:rsidRPr="1B35349F" w:rsidR="39F61B43">
              <w:rPr>
                <w:b w:val="1"/>
                <w:bCs w:val="1"/>
                <w:sz w:val="15"/>
                <w:szCs w:val="15"/>
              </w:rPr>
              <w:t xml:space="preserve"> + </w:t>
            </w:r>
            <w:r w:rsidRPr="1B35349F" w:rsidR="39F61B43">
              <w:rPr>
                <w:b w:val="1"/>
                <w:bCs w:val="1"/>
                <w:sz w:val="15"/>
                <w:szCs w:val="15"/>
              </w:rPr>
              <w:t>COND(</w:t>
            </w:r>
            <w:r w:rsidRPr="1B35349F" w:rsidR="39F61B43">
              <w:rPr>
                <w:b w:val="1"/>
                <w:bCs w:val="1"/>
                <w:sz w:val="15"/>
                <w:szCs w:val="15"/>
              </w:rPr>
              <w:t>split-provider):</w:t>
            </w:r>
            <w:r w:rsidRPr="1B35349F" w:rsidR="39F61B43">
              <w:rPr>
                <w:sz w:val="15"/>
                <w:szCs w:val="15"/>
              </w:rPr>
              <w:t xml:space="preserve"> IF the provider performing the CTP application is not the provider managing the systemic condition, THEN the record must contain (a) an affirmative statement that the applying provider is aware of the systemic condition, and (b) the named managing physician.</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6EDD601" w14:textId="77777777">
            <w:r w:rsidRPr="1B35349F" w:rsidR="39F61B43">
              <w:rPr>
                <w:sz w:val="15"/>
                <w:szCs w:val="15"/>
              </w:rPr>
              <w:t>GATE</w:t>
            </w:r>
            <w:r w:rsidRPr="1B35349F" w:rsidR="39F61B43">
              <w:rPr>
                <w:sz w:val="15"/>
                <w:szCs w:val="15"/>
              </w:rPr>
              <w:t xml:space="preserve"> · </w:t>
            </w:r>
            <w:r w:rsidRPr="1B35349F" w:rsidR="39F61B43">
              <w:rPr>
                <w:sz w:val="15"/>
                <w:szCs w:val="15"/>
              </w:rPr>
              <w:t>COND(</w:t>
            </w:r>
            <w:r w:rsidRPr="1B35349F" w:rsidR="39F61B43">
              <w:rPr>
                <w:sz w:val="15"/>
                <w:szCs w:val="15"/>
              </w:rPr>
              <w:t>split-provider)</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D37AC5F" w14:textId="77777777">
            <w:r w:rsidRPr="1B35349F" w:rsidR="39F61B43">
              <w:rPr>
                <w:sz w:val="15"/>
                <w:szCs w:val="15"/>
              </w:rPr>
              <w:t>@HISTORY</w:t>
            </w:r>
            <w:r w:rsidRPr="1B35349F" w:rsidR="39F61B43">
              <w:rPr>
                <w:sz w:val="15"/>
                <w:szCs w:val="15"/>
              </w:rPr>
              <w:t xml:space="preserve"> + @ENCOUNTER (split-provider attestation)</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BDC8158"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55AD5B9" w14:textId="77777777">
            <w:r w:rsidRPr="1B35349F" w:rsidR="39F61B43">
              <w:rPr>
                <w:sz w:val="15"/>
                <w:szCs w:val="15"/>
              </w:rPr>
              <w:t>"Patients receiving a skin substitute graft must be under the care of a physician licensed by the state with full scope of practice…the identity of the managing medical physician shall be clearly discernable in the medical record…"</w:t>
            </w:r>
            <w:r w:rsidRPr="1B35349F" w:rsidR="39F61B43">
              <w:rPr>
                <w:sz w:val="15"/>
                <w:szCs w:val="15"/>
              </w:rPr>
              <w:t xml:space="preserve"> + (new revision) "If the provider performing the CTP graft/application is not the one providing the treatment for the systemic condition then a statement in the documentation that (s)he is aware of the systemic condition and that the patient is under the care of Doctor _____." [Refinement candidate — confirm with SME whether current 5.1 already implies this before encoding.]</w:t>
            </w:r>
          </w:p>
        </w:tc>
      </w:tr>
      <w:tr w:rsidR="00CD2CD3" w:rsidTr="1B35349F" w14:paraId="5B2EEAB4"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F554954" w14:textId="77777777">
            <w:r>
              <w:rPr>
                <w:sz w:val="15"/>
                <w:szCs w:val="15"/>
              </w:rPr>
              <w:t>5.2</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5EB076A" w14:textId="77777777">
            <w:r>
              <w:rPr>
                <w:sz w:val="15"/>
                <w:szCs w:val="15"/>
              </w:rPr>
              <w:t xml:space="preserve">Skin substitute used within a </w:t>
            </w:r>
            <w:r>
              <w:rPr>
                <w:b/>
                <w:bCs/>
                <w:sz w:val="15"/>
                <w:szCs w:val="15"/>
              </w:rPr>
              <w:t>comprehensive, organized wound management program</w:t>
            </w:r>
            <w:r>
              <w:rPr>
                <w:sz w:val="15"/>
                <w:szCs w:val="15"/>
              </w:rPr>
              <w:t>, documented</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4883691"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8A20FF9"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C4B9F3F"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C28FAEB" w14:textId="77777777">
            <w:r>
              <w:rPr>
                <w:sz w:val="15"/>
                <w:szCs w:val="15"/>
              </w:rPr>
              <w:t>"…reimbursement may be made only when the medical record clearly documents that these products have been used in a comprehensive, organized wound management program."</w:t>
            </w:r>
          </w:p>
        </w:tc>
      </w:tr>
      <w:tr w:rsidR="00CD2CD3" w:rsidTr="1B35349F" w14:paraId="60060725"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1EED35C" w14:textId="77777777">
            <w:r>
              <w:rPr>
                <w:sz w:val="15"/>
                <w:szCs w:val="15"/>
              </w:rPr>
              <w:t>5.3</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22F2D57" w14:textId="77777777">
            <w:r>
              <w:rPr>
                <w:sz w:val="15"/>
                <w:szCs w:val="15"/>
              </w:rPr>
              <w:t>Product has FDA clearance/approval/PMA/510(k)/HDE or 361 HCT/P exemption, AND used per its individual application guidelines</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6EB2FEE"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79AA8B0"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34618A5"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32C27F7" w14:textId="77777777">
            <w:r>
              <w:rPr>
                <w:sz w:val="15"/>
                <w:szCs w:val="15"/>
              </w:rPr>
              <w:t>"All products with U.S. Food and Drug Administration (FDA) clearance/approval or designated 361 HCT/P exemption used in accordance with that product's individualized application guidelines…may be considered reasonable and necessary."</w:t>
            </w:r>
          </w:p>
        </w:tc>
      </w:tr>
    </w:tbl>
    <w:p w:rsidR="00CD2CD3" w:rsidRDefault="00CD2CD3" w14:paraId="624CFD2B" w14:textId="77777777">
      <w:pPr>
        <w:spacing w:after="80"/>
      </w:pPr>
    </w:p>
    <w:p w:rsidR="00CD2CD3" w:rsidRDefault="00CD2CD3" w14:paraId="3E993596" w14:textId="77777777">
      <w:pPr>
        <w:pBdr>
          <w:bottom w:val="single" w:color="BBBBBB" w:sz="6" w:space="1"/>
        </w:pBdr>
        <w:spacing w:before="80" w:after="80"/>
      </w:pPr>
    </w:p>
    <w:p w:rsidR="00CD2CD3" w:rsidRDefault="002009BD" w14:paraId="16A9829A" w14:textId="77777777">
      <w:pPr>
        <w:pStyle w:val="Heading2"/>
      </w:pPr>
      <w:r>
        <w:lastRenderedPageBreak/>
        <w:t>6 · Concurrent / Combination Therapy</w:t>
      </w:r>
    </w:p>
    <w:tbl>
      <w:tblPr>
        <w:tblW w:w="15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4660"/>
        <w:gridCol w:w="1540"/>
        <w:gridCol w:w="1750"/>
        <w:gridCol w:w="1150"/>
        <w:gridCol w:w="5550"/>
      </w:tblGrid>
      <w:tr w:rsidR="00CD2CD3" w14:paraId="6745BF1D" w14:textId="77777777">
        <w:trPr>
          <w:tblHeader/>
        </w:trPr>
        <w:tc>
          <w:tcPr>
            <w:tcW w:w="60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00040FE3" w14:textId="77777777">
            <w:r>
              <w:rPr>
                <w:b/>
                <w:bCs/>
                <w:color w:val="000000"/>
                <w:sz w:val="15"/>
                <w:szCs w:val="15"/>
              </w:rPr>
              <w:t>#</w:t>
            </w:r>
          </w:p>
        </w:tc>
        <w:tc>
          <w:tcPr>
            <w:tcW w:w="466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36E224F2" w14:textId="77777777">
            <w:r>
              <w:rPr>
                <w:b/>
                <w:bCs/>
                <w:color w:val="000000"/>
                <w:sz w:val="15"/>
                <w:szCs w:val="15"/>
              </w:rPr>
              <w:t>Item</w:t>
            </w:r>
          </w:p>
        </w:tc>
        <w:tc>
          <w:tcPr>
            <w:tcW w:w="154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1CB03B93" w14:textId="77777777">
            <w:r>
              <w:rPr>
                <w:b/>
                <w:bCs/>
                <w:color w:val="000000"/>
                <w:sz w:val="15"/>
                <w:szCs w:val="15"/>
              </w:rPr>
              <w:t>Type</w:t>
            </w:r>
          </w:p>
        </w:tc>
        <w:tc>
          <w:tcPr>
            <w:tcW w:w="17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2FEA27B5" w14:textId="77777777">
            <w:r>
              <w:rPr>
                <w:b/>
                <w:bCs/>
                <w:color w:val="000000"/>
                <w:sz w:val="15"/>
                <w:szCs w:val="15"/>
              </w:rPr>
              <w:t>When</w:t>
            </w:r>
          </w:p>
        </w:tc>
        <w:tc>
          <w:tcPr>
            <w:tcW w:w="11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45021229" w14:textId="77777777">
            <w:r>
              <w:rPr>
                <w:b/>
                <w:bCs/>
                <w:color w:val="000000"/>
                <w:sz w:val="15"/>
                <w:szCs w:val="15"/>
              </w:rPr>
              <w:t>Source</w:t>
            </w:r>
          </w:p>
        </w:tc>
        <w:tc>
          <w:tcPr>
            <w:tcW w:w="55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7B7F8CB4" w14:textId="77777777">
            <w:r>
              <w:rPr>
                <w:b/>
                <w:bCs/>
                <w:color w:val="000000"/>
                <w:sz w:val="15"/>
                <w:szCs w:val="15"/>
              </w:rPr>
              <w:t>Verbatim anchor</w:t>
            </w:r>
          </w:p>
        </w:tc>
      </w:tr>
      <w:tr w:rsidR="00CD2CD3" w14:paraId="158C64D7"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9C1A0C3" w14:textId="77777777">
            <w:r>
              <w:rPr>
                <w:sz w:val="15"/>
                <w:szCs w:val="15"/>
              </w:rPr>
              <w:t>6.1</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44141E4" w14:textId="77777777">
            <w:r>
              <w:rPr>
                <w:b/>
                <w:bCs/>
                <w:sz w:val="15"/>
                <w:szCs w:val="15"/>
              </w:rPr>
              <w:t>EXCLUSION</w:t>
            </w:r>
            <w:r>
              <w:rPr>
                <w:sz w:val="15"/>
                <w:szCs w:val="15"/>
              </w:rPr>
              <w:t xml:space="preserve"> — combination therapy with </w:t>
            </w:r>
            <w:r>
              <w:rPr>
                <w:b/>
                <w:bCs/>
                <w:sz w:val="15"/>
                <w:szCs w:val="15"/>
              </w:rPr>
              <w:t>any other bioengineered skin substitute / CTP</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68994C8" w14:textId="77777777">
            <w:r>
              <w:rPr>
                <w:sz w:val="15"/>
                <w:szCs w:val="15"/>
              </w:rPr>
              <w:t>EXCLUSION</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71D850A"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28595F2"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9D61911" w14:textId="77777777">
            <w:r>
              <w:rPr>
                <w:sz w:val="15"/>
                <w:szCs w:val="15"/>
              </w:rPr>
              <w:t>"…combination therapy with any bioengineered skin substitute (CTP) will be considered not reasonable and necessary."</w:t>
            </w:r>
          </w:p>
        </w:tc>
      </w:tr>
      <w:tr w:rsidR="00CD2CD3" w14:paraId="544C8F7F"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6054068" w14:textId="77777777">
            <w:r>
              <w:rPr>
                <w:sz w:val="15"/>
                <w:szCs w:val="15"/>
              </w:rPr>
              <w:t>6.2</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284A761" w14:textId="77777777">
            <w:r>
              <w:rPr>
                <w:b/>
                <w:bCs/>
                <w:sz w:val="15"/>
                <w:szCs w:val="15"/>
              </w:rPr>
              <w:t>EXCLUSION</w:t>
            </w:r>
            <w:r>
              <w:rPr>
                <w:sz w:val="15"/>
                <w:szCs w:val="15"/>
              </w:rPr>
              <w:t xml:space="preserve"> — autologous </w:t>
            </w:r>
            <w:r>
              <w:rPr>
                <w:b/>
                <w:bCs/>
                <w:sz w:val="15"/>
                <w:szCs w:val="15"/>
              </w:rPr>
              <w:t>PRP used in combination with the skin substitute</w:t>
            </w:r>
            <w:r>
              <w:rPr>
                <w:sz w:val="15"/>
                <w:szCs w:val="15"/>
              </w:rPr>
              <w:t xml:space="preserve"> is not R&amp;N. (Precedence: this seam is governed by NCD 270.3, which </w:t>
            </w:r>
            <w:r>
              <w:rPr>
                <w:i/>
                <w:iCs/>
                <w:sz w:val="15"/>
                <w:szCs w:val="15"/>
              </w:rPr>
              <w:t>outranks</w:t>
            </w:r>
            <w:r>
              <w:rPr>
                <w:sz w:val="15"/>
                <w:szCs w:val="15"/>
              </w:rPr>
              <w:t xml:space="preserve"> the LCD here. Per 270.3, autologous PRP has its </w:t>
            </w:r>
            <w:r>
              <w:rPr>
                <w:b/>
                <w:bCs/>
                <w:sz w:val="15"/>
                <w:szCs w:val="15"/>
              </w:rPr>
              <w:t>own</w:t>
            </w:r>
            <w:r>
              <w:rPr>
                <w:sz w:val="15"/>
                <w:szCs w:val="15"/>
              </w:rPr>
              <w:t xml:space="preserve"> coverage as a standalone therapy — covered for chronic non-healing </w:t>
            </w:r>
            <w:r>
              <w:rPr>
                <w:b/>
                <w:bCs/>
                <w:sz w:val="15"/>
                <w:szCs w:val="15"/>
              </w:rPr>
              <w:t>diabetic</w:t>
            </w:r>
            <w:r>
              <w:rPr>
                <w:sz w:val="15"/>
                <w:szCs w:val="15"/>
              </w:rPr>
              <w:t xml:space="preserve"> wounds for </w:t>
            </w:r>
            <w:r>
              <w:rPr>
                <w:b/>
                <w:bCs/>
                <w:sz w:val="15"/>
                <w:szCs w:val="15"/>
              </w:rPr>
              <w:t>20 weeks</w:t>
            </w:r>
            <w:r>
              <w:rPr>
                <w:sz w:val="15"/>
                <w:szCs w:val="15"/>
              </w:rPr>
              <w:t xml:space="preserve"> when prepared by an FDA-cleared device; venous and &gt;20-week cases left to MAC discretion. So PRP standalone is NOT auto-excluded; only PRP </w:t>
            </w:r>
            <w:r>
              <w:rPr>
                <w:i/>
                <w:iCs/>
                <w:sz w:val="15"/>
                <w:szCs w:val="15"/>
              </w:rPr>
              <w:t>combined with</w:t>
            </w:r>
            <w:r>
              <w:rPr>
                <w:sz w:val="15"/>
                <w:szCs w:val="15"/>
              </w:rPr>
              <w:t xml:space="preserve"> the skin substitute triggers this exclusion for the skin-graft claim.)</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61606A9" w14:textId="77777777">
            <w:r>
              <w:rPr>
                <w:sz w:val="15"/>
                <w:szCs w:val="15"/>
              </w:rPr>
              <w:t>EXCLUSION</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60A53BD"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53B6B66" w14:textId="77777777">
            <w:r>
              <w:rPr>
                <w:sz w:val="15"/>
                <w:szCs w:val="15"/>
              </w:rPr>
              <w:t>L35041 (seam) + NCD 270.3 (controls)</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3941DEB" w14:textId="77777777">
            <w:r>
              <w:rPr>
                <w:sz w:val="15"/>
                <w:szCs w:val="15"/>
              </w:rPr>
              <w:t>L35041: "Autologous Platelet Rich Plasma (PRP) systems…is not considered reasonable and necessary except as described in…NCD…270.3." + "combination therapy with any bioengineered skin substitute (CTP) will be considered not reasonable and necessary." / NCD 270.3: "CMS will cover autologous PRP for the treatment of chronic non-healing diabetic wounds…for a duration of 20 weeks, when prepared by devices whose [FDA]-cleared indications include the management of exuding cutaneous wounds."</w:t>
            </w:r>
          </w:p>
        </w:tc>
      </w:tr>
    </w:tbl>
    <w:p w:rsidR="00CD2CD3" w:rsidRDefault="00CD2CD3" w14:paraId="1829CDC9" w14:textId="77777777">
      <w:pPr>
        <w:spacing w:after="80"/>
      </w:pPr>
    </w:p>
    <w:p w:rsidR="00CD2CD3" w:rsidRDefault="00CD2CD3" w14:paraId="16C858E9" w14:textId="77777777">
      <w:pPr>
        <w:pBdr>
          <w:bottom w:val="single" w:color="BBBBBB" w:sz="6" w:space="1"/>
        </w:pBdr>
        <w:spacing w:before="80" w:after="80"/>
      </w:pPr>
    </w:p>
    <w:p w:rsidR="00CD2CD3" w:rsidRDefault="2A9B2E36" w14:paraId="1F07A1A9" w14:textId="7996483C">
      <w:pPr>
        <w:pStyle w:val="Heading2"/>
      </w:pPr>
      <w:r w:rsidR="0B0F29FC">
        <w:rPr/>
        <w:t xml:space="preserve">7 · </w:t>
      </w:r>
      <w:r w:rsidR="0B0F29FC">
        <w:rPr/>
        <w:t>Utilization</w:t>
      </w:r>
      <w:r w:rsidR="0B0F29FC">
        <w:rPr/>
        <w:t xml:space="preserve"> </w:t>
      </w:r>
      <w:r w:rsidR="0B0F29FC">
        <w:rPr/>
        <w:t>Limits</w:t>
      </w:r>
    </w:p>
    <w:tbl>
      <w:tblPr>
        <w:tblW w:w="15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7"/>
        <w:gridCol w:w="4626"/>
        <w:gridCol w:w="1535"/>
        <w:gridCol w:w="1840"/>
        <w:gridCol w:w="1145"/>
        <w:gridCol w:w="5507"/>
      </w:tblGrid>
      <w:tr w:rsidR="00CD2CD3" w14:paraId="5F55435B" w14:textId="77777777">
        <w:trPr>
          <w:tblHeader/>
        </w:trPr>
        <w:tc>
          <w:tcPr>
            <w:tcW w:w="60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02D1A105" w14:textId="77777777">
            <w:r>
              <w:rPr>
                <w:b/>
                <w:bCs/>
                <w:color w:val="000000"/>
                <w:sz w:val="15"/>
                <w:szCs w:val="15"/>
              </w:rPr>
              <w:t>#</w:t>
            </w:r>
          </w:p>
        </w:tc>
        <w:tc>
          <w:tcPr>
            <w:tcW w:w="466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3F1B0160" w14:textId="77777777">
            <w:r>
              <w:rPr>
                <w:b/>
                <w:bCs/>
                <w:color w:val="000000"/>
                <w:sz w:val="15"/>
                <w:szCs w:val="15"/>
              </w:rPr>
              <w:t>Item</w:t>
            </w:r>
          </w:p>
        </w:tc>
        <w:tc>
          <w:tcPr>
            <w:tcW w:w="154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0A10A170" w14:textId="77777777">
            <w:r>
              <w:rPr>
                <w:b/>
                <w:bCs/>
                <w:color w:val="000000"/>
                <w:sz w:val="15"/>
                <w:szCs w:val="15"/>
              </w:rPr>
              <w:t>Type</w:t>
            </w:r>
          </w:p>
        </w:tc>
        <w:tc>
          <w:tcPr>
            <w:tcW w:w="17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3B0DFCD6" w14:textId="77777777">
            <w:r>
              <w:rPr>
                <w:b/>
                <w:bCs/>
                <w:color w:val="000000"/>
                <w:sz w:val="15"/>
                <w:szCs w:val="15"/>
              </w:rPr>
              <w:t>When</w:t>
            </w:r>
          </w:p>
        </w:tc>
        <w:tc>
          <w:tcPr>
            <w:tcW w:w="11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22A96B98" w14:textId="77777777">
            <w:r>
              <w:rPr>
                <w:b/>
                <w:bCs/>
                <w:color w:val="000000"/>
                <w:sz w:val="15"/>
                <w:szCs w:val="15"/>
              </w:rPr>
              <w:t>Source</w:t>
            </w:r>
          </w:p>
        </w:tc>
        <w:tc>
          <w:tcPr>
            <w:tcW w:w="55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5891757E" w14:textId="77777777">
            <w:r>
              <w:rPr>
                <w:b/>
                <w:bCs/>
                <w:color w:val="000000"/>
                <w:sz w:val="15"/>
                <w:szCs w:val="15"/>
              </w:rPr>
              <w:t>Verbatim anchor</w:t>
            </w:r>
          </w:p>
        </w:tc>
      </w:tr>
      <w:tr w:rsidR="00CD2CD3" w14:paraId="50A5645D"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505D911" w14:textId="77777777">
            <w:r>
              <w:rPr>
                <w:sz w:val="15"/>
                <w:szCs w:val="15"/>
              </w:rPr>
              <w:t>7.1</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C65474E" w14:textId="77777777">
            <w:r>
              <w:rPr>
                <w:sz w:val="15"/>
                <w:szCs w:val="15"/>
              </w:rPr>
              <w:t xml:space="preserve">≤ </w:t>
            </w:r>
            <w:r>
              <w:rPr>
                <w:b/>
                <w:bCs/>
                <w:sz w:val="15"/>
                <w:szCs w:val="15"/>
              </w:rPr>
              <w:t>10 applications</w:t>
            </w:r>
            <w:r>
              <w:rPr>
                <w:sz w:val="15"/>
                <w:szCs w:val="15"/>
              </w:rPr>
              <w:t xml:space="preserve"> per wound within a </w:t>
            </w:r>
            <w:r>
              <w:rPr>
                <w:b/>
                <w:bCs/>
                <w:sz w:val="15"/>
                <w:szCs w:val="15"/>
              </w:rPr>
              <w:t>12-week</w:t>
            </w:r>
            <w:r>
              <w:rPr>
                <w:sz w:val="15"/>
                <w:szCs w:val="15"/>
              </w:rPr>
              <w:t xml:space="preserve"> episode (across all products)</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46D44EA"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EF9AD16"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B71E3EF"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B42117B" w14:textId="77777777">
            <w:r>
              <w:rPr>
                <w:sz w:val="15"/>
                <w:szCs w:val="15"/>
              </w:rPr>
              <w:t>"…not to exceed 10 applications or treatments. In situations where more than one specific product is used, it is expected that the number…will still not exceed 10."</w:t>
            </w:r>
          </w:p>
        </w:tc>
      </w:tr>
      <w:tr w:rsidR="00CD2CD3" w14:paraId="1E0DCC36"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40824F7" w14:textId="77777777">
            <w:r>
              <w:rPr>
                <w:sz w:val="15"/>
                <w:szCs w:val="15"/>
              </w:rPr>
              <w:t>7.2</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77F081F" w14:textId="77777777">
            <w:r>
              <w:rPr>
                <w:b/>
                <w:bCs/>
                <w:sz w:val="15"/>
                <w:szCs w:val="15"/>
              </w:rPr>
              <w:t>EXCLUSION</w:t>
            </w:r>
            <w:r>
              <w:rPr>
                <w:sz w:val="15"/>
                <w:szCs w:val="15"/>
              </w:rPr>
              <w:t xml:space="preserve"> — more than one product applied to the same wound </w:t>
            </w:r>
            <w:r>
              <w:rPr>
                <w:b/>
                <w:bCs/>
                <w:sz w:val="15"/>
                <w:szCs w:val="15"/>
              </w:rPr>
              <w:t>simultaneously</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F6778C8" w14:textId="77777777">
            <w:r>
              <w:rPr>
                <w:sz w:val="15"/>
                <w:szCs w:val="15"/>
              </w:rPr>
              <w:t>EXCLUSION</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F9183AC"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C75305B"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6CCE8DA" w14:textId="77777777">
            <w:r>
              <w:rPr>
                <w:sz w:val="15"/>
                <w:szCs w:val="15"/>
              </w:rPr>
              <w:t>"Simultaneous use of more than one product for the episode of wound is not covered. Product change within the episode…is allowed, not to exceed the 10 application limit…"</w:t>
            </w:r>
          </w:p>
        </w:tc>
      </w:tr>
      <w:tr w:rsidR="00CD2CD3" w14:paraId="4F2E37DC"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260055E" w14:textId="77777777">
            <w:r>
              <w:rPr>
                <w:sz w:val="15"/>
                <w:szCs w:val="15"/>
              </w:rPr>
              <w:t>7.3</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8BAA126" w14:textId="77777777">
            <w:r>
              <w:rPr>
                <w:sz w:val="15"/>
                <w:szCs w:val="15"/>
              </w:rPr>
              <w:t xml:space="preserve">Within the first </w:t>
            </w:r>
            <w:r>
              <w:rPr>
                <w:b/>
                <w:bCs/>
                <w:sz w:val="15"/>
                <w:szCs w:val="15"/>
              </w:rPr>
              <w:t>12 weeks</w:t>
            </w:r>
            <w:r>
              <w:rPr>
                <w:sz w:val="15"/>
                <w:szCs w:val="15"/>
              </w:rPr>
              <w:t xml:space="preserve"> of the episode (separately billed use beyond 12 wks for a single wound is non-covered)</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AC4D28B"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BCE10FC" w14:textId="77777777">
            <w:r>
              <w:rPr>
                <w:sz w:val="15"/>
                <w:szCs w:val="15"/>
              </w:rPr>
              <w:t>@HISTORY/@EPISODE</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B6E825D"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98C1C80" w14:textId="77777777">
            <w:r>
              <w:rPr>
                <w:sz w:val="15"/>
                <w:szCs w:val="15"/>
              </w:rPr>
              <w:t>"Treatment of any chronic skin wound will typically last no more than twelve (12) weeks. Separately billed repeated use…after 12 weeks for a single wound or episode is non-covered."</w:t>
            </w:r>
          </w:p>
        </w:tc>
      </w:tr>
      <w:tr w:rsidR="00CD2CD3" w14:paraId="7D44F0CC"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B21D933" w14:textId="77777777">
            <w:r>
              <w:rPr>
                <w:sz w:val="15"/>
                <w:szCs w:val="15"/>
              </w:rPr>
              <w:t>7.4</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C96510C" w14:textId="77777777">
            <w:r>
              <w:rPr>
                <w:b/>
                <w:bCs/>
                <w:sz w:val="15"/>
                <w:szCs w:val="15"/>
              </w:rPr>
              <w:t>EXCLUSION</w:t>
            </w:r>
            <w:r>
              <w:rPr>
                <w:sz w:val="15"/>
                <w:szCs w:val="15"/>
              </w:rPr>
              <w:t xml:space="preserve"> — a previous </w:t>
            </w:r>
            <w:r>
              <w:rPr>
                <w:b/>
                <w:bCs/>
                <w:sz w:val="15"/>
                <w:szCs w:val="15"/>
              </w:rPr>
              <w:t>full course</w:t>
            </w:r>
            <w:r>
              <w:rPr>
                <w:sz w:val="15"/>
                <w:szCs w:val="15"/>
              </w:rPr>
              <w:t xml:space="preserve"> for this wound was unsuccessful (no improvement 4 wks past start; increased or unchanged)</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DAFF2D4" w14:textId="77777777">
            <w:r>
              <w:rPr>
                <w:sz w:val="15"/>
                <w:szCs w:val="15"/>
              </w:rPr>
              <w:t>EXCLUSION</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2039511"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E7A9627"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FDF1C14" w14:textId="77777777">
            <w:r>
              <w:rPr>
                <w:sz w:val="15"/>
                <w:szCs w:val="15"/>
              </w:rPr>
              <w:t>"Repeat or alternative applications…are not considered medically reasonable and necessary when a previous full course of applications was unsuccessful. Unsuccessful treatment is defined as increase in size or depth…or no change…for a period of 4 weeks past start of therapy."</w:t>
            </w:r>
          </w:p>
        </w:tc>
      </w:tr>
      <w:tr w:rsidR="00CD2CD3" w14:paraId="207B225E"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8D6B187" w14:textId="77777777">
            <w:r>
              <w:rPr>
                <w:sz w:val="15"/>
                <w:szCs w:val="15"/>
              </w:rPr>
              <w:t>7.5</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F6565C7" w14:textId="77777777">
            <w:r>
              <w:rPr>
                <w:b/>
                <w:bCs/>
                <w:sz w:val="15"/>
                <w:szCs w:val="15"/>
              </w:rPr>
              <w:t>EXCLUSION · COND(DFU/VLU)</w:t>
            </w:r>
            <w:r>
              <w:rPr>
                <w:sz w:val="15"/>
                <w:szCs w:val="15"/>
              </w:rPr>
              <w:t xml:space="preserve"> — re-treatment of the same ulcer </w:t>
            </w:r>
            <w:r>
              <w:rPr>
                <w:b/>
                <w:bCs/>
                <w:sz w:val="15"/>
                <w:szCs w:val="15"/>
              </w:rPr>
              <w:t>within 1 year</w:t>
            </w:r>
            <w:r>
              <w:rPr>
                <w:sz w:val="15"/>
                <w:szCs w:val="15"/>
              </w:rPr>
              <w:t xml:space="preserve"> of a prior course</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FFE660D" w14:textId="77777777">
            <w:r>
              <w:rPr>
                <w:sz w:val="15"/>
                <w:szCs w:val="15"/>
              </w:rPr>
              <w:t>EXCLUSION · COND</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D9DC3A2" w14:textId="77777777">
            <w:r>
              <w:rPr>
                <w:sz w:val="15"/>
                <w:szCs w:val="15"/>
              </w:rPr>
              <w:t>@HISTORY</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866FF8F"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266E564" w14:textId="77777777">
            <w:r>
              <w:rPr>
                <w:sz w:val="15"/>
                <w:szCs w:val="15"/>
              </w:rPr>
              <w:t>"Re-treatment within one (1) year of any given course of skin substitute treatment for a venous stasis ulcer or (diabetic) neuropathic foot ulcer is considered treatment failure and does not meet reasonable and necessary criteria…"</w:t>
            </w:r>
          </w:p>
        </w:tc>
      </w:tr>
      <w:tr w:rsidR="00CD2CD3" w14:paraId="62F83C05"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EE23F59" w14:textId="77777777">
            <w:r>
              <w:rPr>
                <w:sz w:val="15"/>
                <w:szCs w:val="15"/>
              </w:rPr>
              <w:t>7.6</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8A512F2" w14:textId="77777777">
            <w:r>
              <w:rPr>
                <w:b/>
                <w:bCs/>
                <w:sz w:val="15"/>
                <w:szCs w:val="15"/>
              </w:rPr>
              <w:t>EXCLUSION</w:t>
            </w:r>
            <w:r>
              <w:rPr>
                <w:sz w:val="15"/>
                <w:szCs w:val="15"/>
              </w:rPr>
              <w:t xml:space="preserve"> — wound effectively healed (&gt; 75% size reduction </w:t>
            </w:r>
            <w:r>
              <w:rPr>
                <w:b/>
                <w:bCs/>
                <w:sz w:val="15"/>
                <w:szCs w:val="15"/>
              </w:rPr>
              <w:t>AND</w:t>
            </w:r>
            <w:r>
              <w:rPr>
                <w:sz w:val="15"/>
                <w:szCs w:val="15"/>
              </w:rPr>
              <w:t xml:space="preserve"> now &lt; 0.5 cm²)</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FD4B10C" w14:textId="77777777">
            <w:r>
              <w:rPr>
                <w:sz w:val="15"/>
                <w:szCs w:val="15"/>
              </w:rPr>
              <w:t>EXCLUSION</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D98D8C1"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BC00ADA"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16D2383" w14:textId="77777777">
            <w:r>
              <w:rPr>
                <w:sz w:val="15"/>
                <w:szCs w:val="15"/>
              </w:rPr>
              <w:t>"Retreatment of healed ulcers, those showing greater than 75% size reduction and smaller than 0.5 square cm, is not considered medically reasonable and necessary."</w:t>
            </w:r>
          </w:p>
        </w:tc>
      </w:tr>
    </w:tbl>
    <w:p w:rsidR="00CD2CD3" w:rsidRDefault="00CD2CD3" w14:paraId="68236714" w14:textId="77777777">
      <w:pPr>
        <w:spacing w:after="80"/>
      </w:pPr>
    </w:p>
    <w:p w:rsidR="00CD2CD3" w:rsidRDefault="00CD2CD3" w14:paraId="31364D3F" w14:textId="77777777">
      <w:pPr>
        <w:pBdr>
          <w:bottom w:val="single" w:color="BBBBBB" w:sz="6" w:space="1"/>
        </w:pBdr>
        <w:spacing w:before="80" w:after="80"/>
      </w:pPr>
    </w:p>
    <w:p w:rsidR="00CD2CD3" w:rsidRDefault="002009BD" w14:paraId="0B3E41B5" w14:textId="77777777">
      <w:pPr>
        <w:pStyle w:val="Heading2"/>
      </w:pPr>
      <w:r>
        <w:t>8 · Documentation (necessity-supporting)</w:t>
      </w:r>
    </w:p>
    <w:tbl>
      <w:tblPr>
        <w:tblW w:w="15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4660"/>
        <w:gridCol w:w="1540"/>
        <w:gridCol w:w="1750"/>
        <w:gridCol w:w="1150"/>
        <w:gridCol w:w="5550"/>
      </w:tblGrid>
      <w:tr w:rsidR="00CD2CD3" w14:paraId="468F736C" w14:textId="77777777">
        <w:trPr>
          <w:tblHeader/>
        </w:trPr>
        <w:tc>
          <w:tcPr>
            <w:tcW w:w="60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6E6B6BBB" w14:textId="77777777">
            <w:r>
              <w:rPr>
                <w:b/>
                <w:bCs/>
                <w:color w:val="000000"/>
                <w:sz w:val="15"/>
                <w:szCs w:val="15"/>
              </w:rPr>
              <w:lastRenderedPageBreak/>
              <w:t>#</w:t>
            </w:r>
          </w:p>
        </w:tc>
        <w:tc>
          <w:tcPr>
            <w:tcW w:w="466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2A10E0DE" w14:textId="77777777">
            <w:r>
              <w:rPr>
                <w:b/>
                <w:bCs/>
                <w:color w:val="000000"/>
                <w:sz w:val="15"/>
                <w:szCs w:val="15"/>
              </w:rPr>
              <w:t>Item</w:t>
            </w:r>
          </w:p>
        </w:tc>
        <w:tc>
          <w:tcPr>
            <w:tcW w:w="154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648F68E8" w14:textId="77777777">
            <w:r>
              <w:rPr>
                <w:b/>
                <w:bCs/>
                <w:color w:val="000000"/>
                <w:sz w:val="15"/>
                <w:szCs w:val="15"/>
              </w:rPr>
              <w:t>Type</w:t>
            </w:r>
          </w:p>
        </w:tc>
        <w:tc>
          <w:tcPr>
            <w:tcW w:w="17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6CB87853" w14:textId="77777777">
            <w:r>
              <w:rPr>
                <w:b/>
                <w:bCs/>
                <w:color w:val="000000"/>
                <w:sz w:val="15"/>
                <w:szCs w:val="15"/>
              </w:rPr>
              <w:t>When</w:t>
            </w:r>
          </w:p>
        </w:tc>
        <w:tc>
          <w:tcPr>
            <w:tcW w:w="11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7BED0581" w14:textId="77777777">
            <w:r>
              <w:rPr>
                <w:b/>
                <w:bCs/>
                <w:color w:val="000000"/>
                <w:sz w:val="15"/>
                <w:szCs w:val="15"/>
              </w:rPr>
              <w:t>Source</w:t>
            </w:r>
          </w:p>
        </w:tc>
        <w:tc>
          <w:tcPr>
            <w:tcW w:w="55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4EF921B8" w14:textId="77777777">
            <w:r>
              <w:rPr>
                <w:b/>
                <w:bCs/>
                <w:color w:val="000000"/>
                <w:sz w:val="15"/>
                <w:szCs w:val="15"/>
              </w:rPr>
              <w:t>Verbatim anchor</w:t>
            </w:r>
          </w:p>
        </w:tc>
      </w:tr>
      <w:tr w:rsidR="00CD2CD3" w14:paraId="61C6A9C3"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84BDF70" w14:textId="77777777">
            <w:r>
              <w:rPr>
                <w:sz w:val="15"/>
                <w:szCs w:val="15"/>
              </w:rPr>
              <w:t>8.1</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1C78010" w14:textId="77777777">
            <w:r>
              <w:rPr>
                <w:sz w:val="15"/>
                <w:szCs w:val="15"/>
              </w:rPr>
              <w:t>Wound measurements at (a) baseline pre-conservative-care, (b) completion of ≥4 wks conservative care, (c) immediately before each placement</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D88BE61"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1FC5D8A" w14:textId="77777777">
            <w:r>
              <w:rPr>
                <w:sz w:val="15"/>
                <w:szCs w:val="15"/>
              </w:rPr>
              <w:t>@HISTORY + @EPISODE</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99D49DB"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2271E69" w14:textId="77777777">
            <w:r>
              <w:rPr>
                <w:sz w:val="15"/>
                <w:szCs w:val="15"/>
              </w:rPr>
              <w:t>"Documentation of response requires measurements of the initial ulcer, measurements at the completion of at least four weeks of appropriate wound care and measurements immediately prior to placement and with each subsequent placement…"</w:t>
            </w:r>
          </w:p>
        </w:tc>
      </w:tr>
      <w:tr w:rsidR="00CD2CD3" w14:paraId="160E5568"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D6B955A" w14:textId="77777777">
            <w:r>
              <w:rPr>
                <w:sz w:val="15"/>
                <w:szCs w:val="15"/>
              </w:rPr>
              <w:t>8.2</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34D6CAB" w14:textId="77777777">
            <w:r>
              <w:rPr>
                <w:sz w:val="15"/>
                <w:szCs w:val="15"/>
              </w:rPr>
              <w:t xml:space="preserve">Wound response documented </w:t>
            </w:r>
            <w:r>
              <w:rPr>
                <w:b/>
                <w:bCs/>
                <w:sz w:val="15"/>
                <w:szCs w:val="15"/>
              </w:rPr>
              <w:t>≥ every 30 days</w:t>
            </w:r>
            <w:r>
              <w:rPr>
                <w:sz w:val="15"/>
                <w:szCs w:val="15"/>
              </w:rPr>
              <w:t xml:space="preserve"> through the episode</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C4EC732"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53C924B" w14:textId="77777777">
            <w:r>
              <w:rPr>
                <w:b/>
                <w:bCs/>
                <w:sz w:val="15"/>
                <w:szCs w:val="15"/>
              </w:rPr>
              <w:t>@EPISODE</w:t>
            </w:r>
            <w:r>
              <w:rPr>
                <w:sz w:val="15"/>
                <w:szCs w:val="15"/>
              </w:rPr>
              <w:t xml:space="preserve"> (NOT at first 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FC52BE0"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A31080B" w14:textId="77777777">
            <w:r>
              <w:rPr>
                <w:sz w:val="15"/>
                <w:szCs w:val="15"/>
              </w:rPr>
              <w:t>"…it is expected that the wounds response to treatment will be documented in the medical record at least once every 30 days for each episode of wound treatment…"</w:t>
            </w:r>
          </w:p>
        </w:tc>
      </w:tr>
      <w:tr w:rsidR="00CD2CD3" w14:paraId="1FF89B2D"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EEF2E3B" w14:textId="77777777">
            <w:r>
              <w:rPr>
                <w:sz w:val="15"/>
                <w:szCs w:val="15"/>
              </w:rPr>
              <w:t>8.3</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8CD50CA" w14:textId="77777777">
            <w:r>
              <w:rPr>
                <w:sz w:val="15"/>
                <w:szCs w:val="15"/>
              </w:rPr>
              <w:t>Pre-service record explains why care failed (&gt;4 wks), lists specific failed interventions, updated meds &amp; medical problems, planned procedure &amp; product, risks/complications discussed</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7A160E5" w14:textId="77777777">
            <w:r>
              <w:rPr>
                <w:sz w:val="15"/>
                <w:szCs w:val="15"/>
              </w:rPr>
              <w:t>GATE</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50F39CA" w14:textId="77777777">
            <w:r>
              <w:rPr>
                <w:sz w:val="15"/>
                <w:szCs w:val="15"/>
              </w:rPr>
              <w:t>@ENCOUNTER</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428B2F4"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86619CD" w14:textId="77777777">
            <w:r>
              <w:rPr>
                <w:sz w:val="15"/>
                <w:szCs w:val="15"/>
              </w:rPr>
              <w:t>"Documentation (in the pre-service record) specifically addressing circumstances as to why the wound has failed…must reference specific interventions that have failed…updated medication history, review of pertinent medical problems…explanation of the planned skin replacement surgery with choice of skin substitute graft product. The procedure risks and complications should also be reviewed and documented."</w:t>
            </w:r>
          </w:p>
        </w:tc>
      </w:tr>
    </w:tbl>
    <w:p w:rsidR="00CD2CD3" w:rsidRDefault="00CD2CD3" w14:paraId="1F65CEB0" w14:textId="77777777">
      <w:pPr>
        <w:spacing w:after="80"/>
      </w:pPr>
    </w:p>
    <w:p w:rsidR="00CD2CD3" w:rsidRDefault="00CD2CD3" w14:paraId="1FB6F867" w14:textId="77777777">
      <w:pPr>
        <w:pBdr>
          <w:bottom w:val="single" w:color="BBBBBB" w:sz="6" w:space="1"/>
        </w:pBdr>
        <w:spacing w:before="80" w:after="80"/>
      </w:pPr>
    </w:p>
    <w:p w:rsidR="00CD2CD3" w:rsidRDefault="002009BD" w14:paraId="49643F50" w14:textId="77777777">
      <w:pPr>
        <w:pStyle w:val="Heading2"/>
      </w:pPr>
      <w:r>
        <w:t>9 · Claim-time / coding rules (OUT OF SCOPE for in-room engine — for the billing phase)</w:t>
      </w:r>
    </w:p>
    <w:p w:rsidR="00CD2CD3" w:rsidRDefault="002009BD" w14:paraId="25DDCD3C" w14:textId="77777777">
      <w:pPr>
        <w:spacing w:after="100"/>
        <w:ind w:left="480"/>
      </w:pPr>
      <w:r>
        <w:t xml:space="preserve">These are real but they are </w:t>
      </w:r>
      <w:r>
        <w:rPr>
          <w:b/>
          <w:bCs/>
        </w:rPr>
        <w:t>coding edits</w:t>
      </w:r>
      <w:r>
        <w:t>, not patient-necessity gates. They do not affect whether the patient qualifies; they affect whether a line item gets paid. Kept here, segregated, so they're available later.</w:t>
      </w:r>
    </w:p>
    <w:tbl>
      <w:tblPr>
        <w:tblW w:w="15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4660"/>
        <w:gridCol w:w="1540"/>
        <w:gridCol w:w="1750"/>
        <w:gridCol w:w="1150"/>
        <w:gridCol w:w="5550"/>
      </w:tblGrid>
      <w:tr w:rsidR="00CD2CD3" w14:paraId="79CAFC83" w14:textId="77777777">
        <w:trPr>
          <w:tblHeader/>
        </w:trPr>
        <w:tc>
          <w:tcPr>
            <w:tcW w:w="60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49174339" w14:textId="77777777">
            <w:r>
              <w:rPr>
                <w:b/>
                <w:bCs/>
                <w:color w:val="000000"/>
                <w:sz w:val="15"/>
                <w:szCs w:val="15"/>
              </w:rPr>
              <w:t>#</w:t>
            </w:r>
          </w:p>
        </w:tc>
        <w:tc>
          <w:tcPr>
            <w:tcW w:w="466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1C7AC60A" w14:textId="77777777">
            <w:r>
              <w:rPr>
                <w:b/>
                <w:bCs/>
                <w:color w:val="000000"/>
                <w:sz w:val="15"/>
                <w:szCs w:val="15"/>
              </w:rPr>
              <w:t>Item</w:t>
            </w:r>
          </w:p>
        </w:tc>
        <w:tc>
          <w:tcPr>
            <w:tcW w:w="154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2D0C296D" w14:textId="77777777">
            <w:r>
              <w:rPr>
                <w:b/>
                <w:bCs/>
                <w:color w:val="000000"/>
                <w:sz w:val="15"/>
                <w:szCs w:val="15"/>
              </w:rPr>
              <w:t>Type</w:t>
            </w:r>
          </w:p>
        </w:tc>
        <w:tc>
          <w:tcPr>
            <w:tcW w:w="17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469E127D" w14:textId="77777777">
            <w:r>
              <w:rPr>
                <w:b/>
                <w:bCs/>
                <w:color w:val="000000"/>
                <w:sz w:val="15"/>
                <w:szCs w:val="15"/>
              </w:rPr>
              <w:t>When</w:t>
            </w:r>
          </w:p>
        </w:tc>
        <w:tc>
          <w:tcPr>
            <w:tcW w:w="11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393821B9" w14:textId="77777777">
            <w:r>
              <w:rPr>
                <w:b/>
                <w:bCs/>
                <w:color w:val="000000"/>
                <w:sz w:val="15"/>
                <w:szCs w:val="15"/>
              </w:rPr>
              <w:t>Source</w:t>
            </w:r>
          </w:p>
        </w:tc>
        <w:tc>
          <w:tcPr>
            <w:tcW w:w="5550" w:type="dxa"/>
            <w:tcBorders>
              <w:top w:val="single" w:color="888888" w:sz="4" w:space="0"/>
              <w:left w:val="single" w:color="888888" w:sz="4" w:space="0"/>
              <w:bottom w:val="single" w:color="888888" w:sz="4" w:space="0"/>
              <w:right w:val="single" w:color="888888" w:sz="4" w:space="0"/>
            </w:tcBorders>
            <w:shd w:val="clear" w:color="auto" w:fill="E8E8E8"/>
            <w:tcMar>
              <w:top w:w="60" w:type="dxa"/>
              <w:left w:w="80" w:type="dxa"/>
              <w:bottom w:w="60" w:type="dxa"/>
              <w:right w:w="80" w:type="dxa"/>
            </w:tcMar>
          </w:tcPr>
          <w:p w:rsidR="00CD2CD3" w:rsidRDefault="002009BD" w14:paraId="397287A8" w14:textId="77777777">
            <w:r>
              <w:rPr>
                <w:b/>
                <w:bCs/>
                <w:color w:val="000000"/>
                <w:sz w:val="15"/>
                <w:szCs w:val="15"/>
              </w:rPr>
              <w:t>Verbatim anchor</w:t>
            </w:r>
          </w:p>
        </w:tc>
      </w:tr>
      <w:tr w:rsidR="00CD2CD3" w14:paraId="67300CE3"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B462E8A" w14:textId="77777777">
            <w:r>
              <w:rPr>
                <w:sz w:val="15"/>
                <w:szCs w:val="15"/>
              </w:rPr>
              <w:t>9.1</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E745533" w14:textId="77777777">
            <w:r>
              <w:rPr>
                <w:sz w:val="15"/>
                <w:szCs w:val="15"/>
              </w:rPr>
              <w:t xml:space="preserve">Repeat surgical </w:t>
            </w:r>
            <w:r>
              <w:rPr>
                <w:b/>
                <w:bCs/>
                <w:sz w:val="15"/>
                <w:szCs w:val="15"/>
              </w:rPr>
              <w:t>wound-prep</w:t>
            </w:r>
            <w:r>
              <w:rPr>
                <w:sz w:val="15"/>
                <w:szCs w:val="15"/>
              </w:rPr>
              <w:t xml:space="preserve"> service billed with subsequent application codes</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FF5631C" w14:textId="77777777">
            <w:r>
              <w:rPr>
                <w:sz w:val="15"/>
                <w:szCs w:val="15"/>
              </w:rPr>
              <w:t>CLAIM-TIME / CODING</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3E8245A" w14:textId="77777777">
            <w:r>
              <w:rPr>
                <w:sz w:val="15"/>
                <w:szCs w:val="15"/>
              </w:rPr>
              <w:t>@CLAIM</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BC78236" w14:textId="77777777">
            <w:r>
              <w:rPr>
                <w:sz w:val="15"/>
                <w:szCs w:val="15"/>
              </w:rPr>
              <w:t>L35041</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0FDB3294" w14:textId="77777777">
            <w:r>
              <w:rPr>
                <w:sz w:val="15"/>
                <w:szCs w:val="15"/>
              </w:rPr>
              <w:t>"Repeat use of surgical preparation services in conjunction with skin substitute application codes will be considered not reasonable and necessary. It is expected that each wound will require…wound preparation code at least once at initiation…"</w:t>
            </w:r>
          </w:p>
        </w:tc>
      </w:tr>
      <w:tr w:rsidR="00CD2CD3" w14:paraId="24B217CD"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396B585A" w14:textId="77777777">
            <w:r>
              <w:rPr>
                <w:sz w:val="15"/>
                <w:szCs w:val="15"/>
              </w:rPr>
              <w:t>9.2</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6294025" w14:textId="77777777">
            <w:r>
              <w:rPr>
                <w:sz w:val="15"/>
                <w:szCs w:val="15"/>
              </w:rPr>
              <w:t xml:space="preserve">Non-graft dressing (gel/powder/ointment/foam/liquid) or </w:t>
            </w:r>
            <w:r>
              <w:rPr>
                <w:b/>
                <w:bCs/>
                <w:sz w:val="15"/>
                <w:szCs w:val="15"/>
              </w:rPr>
              <w:t>injected</w:t>
            </w:r>
            <w:r>
              <w:rPr>
                <w:sz w:val="15"/>
                <w:szCs w:val="15"/>
              </w:rPr>
              <w:t xml:space="preserve"> skin substitute billed separately with application codes</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78EC845" w14:textId="77777777">
            <w:r>
              <w:rPr>
                <w:sz w:val="15"/>
                <w:szCs w:val="15"/>
              </w:rPr>
              <w:t>CLAIM-TIME / CODING</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BA5F06F" w14:textId="77777777">
            <w:r>
              <w:rPr>
                <w:sz w:val="15"/>
                <w:szCs w:val="15"/>
              </w:rPr>
              <w:t>@CLAIM</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805A558" w14:textId="77777777">
            <w:r>
              <w:rPr>
                <w:sz w:val="15"/>
                <w:szCs w:val="15"/>
              </w:rPr>
              <w:t>A54117</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1BA504B3" w14:textId="77777777">
            <w:r>
              <w:rPr>
                <w:sz w:val="15"/>
                <w:szCs w:val="15"/>
              </w:rPr>
              <w:t>"Non-graft wound dressings or injected skin substitute codes are not used with skin replacement surgery application codes and are considered incorrect coding. Such products are bundled…and not separately payable."</w:t>
            </w:r>
          </w:p>
        </w:tc>
      </w:tr>
      <w:tr w:rsidR="00CD2CD3" w14:paraId="574B85CA" w14:textId="77777777">
        <w:tc>
          <w:tcPr>
            <w:tcW w:w="60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5F47E5F8" w14:textId="77777777">
            <w:r>
              <w:rPr>
                <w:sz w:val="15"/>
                <w:szCs w:val="15"/>
              </w:rPr>
              <w:t>9.3</w:t>
            </w:r>
          </w:p>
        </w:tc>
        <w:tc>
          <w:tcPr>
            <w:tcW w:w="466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644E3468" w14:textId="77777777">
            <w:r>
              <w:rPr>
                <w:sz w:val="15"/>
                <w:szCs w:val="15"/>
              </w:rPr>
              <w:t>Wastage documentation (date/time/location, product &amp; supply format, amount used, amount discarded, reason, lot/batch #) for JW-modifier billing</w:t>
            </w:r>
          </w:p>
        </w:tc>
        <w:tc>
          <w:tcPr>
            <w:tcW w:w="154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73D6767" w14:textId="77777777">
            <w:r>
              <w:rPr>
                <w:sz w:val="15"/>
                <w:szCs w:val="15"/>
              </w:rPr>
              <w:t>CLAIM-TIME / CODING</w:t>
            </w:r>
          </w:p>
        </w:tc>
        <w:tc>
          <w:tcPr>
            <w:tcW w:w="17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79B4AA4A" w14:textId="77777777">
            <w:r>
              <w:rPr>
                <w:sz w:val="15"/>
                <w:szCs w:val="15"/>
              </w:rPr>
              <w:t>@CLAIM</w:t>
            </w:r>
          </w:p>
        </w:tc>
        <w:tc>
          <w:tcPr>
            <w:tcW w:w="11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22F5CADA" w14:textId="77777777">
            <w:r>
              <w:rPr>
                <w:sz w:val="15"/>
                <w:szCs w:val="15"/>
              </w:rPr>
              <w:t>L35041 + A54117</w:t>
            </w:r>
          </w:p>
        </w:tc>
        <w:tc>
          <w:tcPr>
            <w:tcW w:w="5550" w:type="dxa"/>
            <w:tcBorders>
              <w:top w:val="single" w:color="888888" w:sz="4" w:space="0"/>
              <w:left w:val="single" w:color="888888" w:sz="4" w:space="0"/>
              <w:bottom w:val="single" w:color="888888" w:sz="4" w:space="0"/>
              <w:right w:val="single" w:color="888888" w:sz="4" w:space="0"/>
            </w:tcBorders>
            <w:tcMar>
              <w:top w:w="60" w:type="dxa"/>
              <w:left w:w="80" w:type="dxa"/>
              <w:bottom w:w="60" w:type="dxa"/>
              <w:right w:w="80" w:type="dxa"/>
            </w:tcMar>
          </w:tcPr>
          <w:p w:rsidR="00CD2CD3" w:rsidRDefault="002009BD" w14:paraId="4A73CB50" w14:textId="77777777">
            <w:r>
              <w:rPr>
                <w:sz w:val="15"/>
                <w:szCs w:val="15"/>
              </w:rPr>
              <w:t>"The amount of utilized and wasted skin substitute must be clearly documented in the procedure note with the following minimum information: Date, time and location…Name…how product supplied; Amount…used; Amount…discarded; Reason…; Manufacturer's serial/lot/batch…"</w:t>
            </w:r>
          </w:p>
        </w:tc>
      </w:tr>
    </w:tbl>
    <w:p w:rsidR="00CD2CD3" w:rsidRDefault="00CD2CD3" w14:paraId="07588C66" w14:textId="77777777">
      <w:pPr>
        <w:spacing w:after="80"/>
      </w:pPr>
    </w:p>
    <w:p w:rsidR="00CD2CD3" w:rsidRDefault="00CD2CD3" w14:paraId="6B0EDBC0" w14:textId="77777777">
      <w:pPr>
        <w:pBdr>
          <w:bottom w:val="single" w:color="BBBBBB" w:sz="6" w:space="1"/>
        </w:pBdr>
        <w:spacing w:before="80" w:after="80"/>
      </w:pPr>
    </w:p>
    <w:p w:rsidR="00CD2CD3" w:rsidRDefault="002009BD" w14:paraId="34114585" w14:textId="77777777">
      <w:pPr>
        <w:pStyle w:val="Heading2"/>
      </w:pPr>
      <w:r>
        <w:t>Removed / Corrected during cross-check (the anti-hallucination log)</w:t>
      </w:r>
    </w:p>
    <w:p w:rsidR="00CD2CD3" w:rsidRDefault="002009BD" w14:paraId="15A4C108" w14:textId="77777777">
      <w:pPr>
        <w:pStyle w:val="ListParagraph"/>
        <w:numPr>
          <w:ilvl w:val="0"/>
          <w:numId w:val="1"/>
        </w:numPr>
        <w:spacing w:after="40"/>
      </w:pPr>
      <w:r>
        <w:rPr>
          <w:b/>
          <w:bCs/>
        </w:rPr>
        <w:t>REMOVED (named-modality overreach):</w:t>
      </w:r>
      <w:r>
        <w:t xml:space="preserve"> "NPWT / electromagnetic / ultrasound-mist used concurrently → denial." L35041 lists those modalities only to say their role "is limited" and they are "not addressed in this LCD"; the combination-therapy denial sentence is written generically for "any bioengineered skin substitute (CTP)." Naming NPWT/ultrasound as combination-therapy denials states an inference as if it were policy text. Replaced with the generic CTP combination exclusion (6.1), which IS in the text.</w:t>
      </w:r>
    </w:p>
    <w:p w:rsidR="00CD2CD3" w:rsidRDefault="002009BD" w14:paraId="6C8E0ED8" w14:textId="77777777">
      <w:pPr>
        <w:pStyle w:val="ListParagraph"/>
        <w:numPr>
          <w:ilvl w:val="0"/>
          <w:numId w:val="1"/>
        </w:numPr>
        <w:spacing w:after="40"/>
      </w:pPr>
      <w:r>
        <w:rPr>
          <w:b/>
          <w:bCs/>
        </w:rPr>
        <w:t>CORRECTED (over-strict):</w:t>
      </w:r>
      <w:r>
        <w:t xml:space="preserve"> circulation criterion was previously written as a strict ABI/toe-pressure pass/fail. LCD wording makes ABI and toe pressure </w:t>
      </w:r>
      <w:r>
        <w:rPr>
          <w:b/>
          <w:bCs/>
        </w:rPr>
        <w:t>examples</w:t>
      </w:r>
      <w:r>
        <w:t xml:space="preserve"> of physical-exam evidence of adequate perfusion, not the exclusive test. Fixed in 3.2.</w:t>
      </w:r>
    </w:p>
    <w:p w:rsidR="00CD2CD3" w:rsidRDefault="002009BD" w14:paraId="20DC647D" w14:textId="77777777">
      <w:pPr>
        <w:pStyle w:val="ListParagraph"/>
        <w:numPr>
          <w:ilvl w:val="0"/>
          <w:numId w:val="1"/>
        </w:numPr>
        <w:spacing w:after="40"/>
      </w:pPr>
      <w:r>
        <w:rPr>
          <w:b/>
          <w:bCs/>
        </w:rPr>
        <w:t>CORRECTED after reading NCD 270.3 in full (v6):</w:t>
      </w:r>
      <w:r>
        <w:t xml:space="preserve"> the earlier draft treated PRP as either a blanket exclusion or a narrow combination-only note without having read 270.3. 270.3 actually </w:t>
      </w:r>
      <w:r>
        <w:rPr>
          <w:i/>
          <w:iCs/>
        </w:rPr>
        <w:t>affirmatively covers</w:t>
      </w:r>
      <w:r>
        <w:t xml:space="preserve"> autologous PRP for chronic non-healing </w:t>
      </w:r>
      <w:r>
        <w:rPr>
          <w:b/>
          <w:bCs/>
        </w:rPr>
        <w:t>diabetic</w:t>
      </w:r>
      <w:r>
        <w:t xml:space="preserve"> wounds (20 weeks, FDA-cleared device), leaves venous/&gt;20-week cases to MAC discretion, and non-covers PDGF/becaplermin and PRP on acute/dehiscent wounds. For the skin-graft engine, only the </w:t>
      </w:r>
      <w:r>
        <w:rPr>
          <w:b/>
          <w:bCs/>
        </w:rPr>
        <w:t>combination</w:t>
      </w:r>
      <w:r>
        <w:t xml:space="preserve"> seam and the </w:t>
      </w:r>
      <w:r>
        <w:rPr>
          <w:b/>
          <w:bCs/>
        </w:rPr>
        <w:t>precedence rule</w:t>
      </w:r>
      <w:r>
        <w:t xml:space="preserve"> are in scope (6.2 + Authority block); PRP's standalone coverage is noted but not used as a skin-graft gate. This corrects a real method failure — the governing document had not been read before the criterion was written.</w:t>
      </w:r>
    </w:p>
    <w:p w:rsidR="00CD2CD3" w:rsidRDefault="002009BD" w14:paraId="4207D82A" w14:textId="77777777">
      <w:pPr>
        <w:pStyle w:val="ListParagraph"/>
        <w:numPr>
          <w:ilvl w:val="0"/>
          <w:numId w:val="1"/>
        </w:numPr>
        <w:spacing w:after="40"/>
      </w:pPr>
      <w:r>
        <w:rPr>
          <w:b/>
          <w:bCs/>
        </w:rPr>
        <w:lastRenderedPageBreak/>
        <w:t>RECLASSIFIED:</w:t>
      </w:r>
      <w:r>
        <w:t xml:space="preserve"> repeat surgical prep, non-graft dressing bundling, and wastage documentation moved to §9 as claim-time coding rules, not in-room necessity gates.</w:t>
      </w:r>
    </w:p>
    <w:p w:rsidR="00CD2CD3" w:rsidRDefault="002009BD" w14:paraId="41FCAB69" w14:textId="77777777">
      <w:pPr>
        <w:pStyle w:val="ListParagraph"/>
        <w:numPr>
          <w:ilvl w:val="0"/>
          <w:numId w:val="1"/>
        </w:numPr>
        <w:spacing w:after="40"/>
      </w:pPr>
      <w:r>
        <w:rPr>
          <w:b/>
          <w:bCs/>
        </w:rPr>
        <w:t>NOT FOUND IN SOURCES / EXCLUDED:</w:t>
      </w:r>
      <w:r>
        <w:t xml:space="preserve"> no criterion was added that lacks a verbatim L35041 / A54117 / NCD 270.3 anchor. Every row above quotes its source. Anything a generator proposes without such an anchor should be rejected the same way.</w:t>
      </w:r>
    </w:p>
    <w:p w:rsidR="00CD2CD3" w:rsidRDefault="002009BD" w14:paraId="1548A10E" w14:textId="77777777">
      <w:pPr>
        <w:spacing w:after="100"/>
      </w:pPr>
      <w:r>
        <w:rPr>
          <w:b/>
          <w:bCs/>
        </w:rPr>
        <w:t>Audit method:</w:t>
      </w:r>
      <w:r>
        <w:t xml:space="preserve"> each row's verbatim anchor is copied from the source documents — L35041, A54117, L35125, and NCD 270.3 (v6), all read in full. To re-verify, Ctrl-F the anchor phrase in the source. If an anchor can't be found in the source, the row is a hallucination and must be removed.</w:t>
      </w:r>
    </w:p>
    <w:sectPr w:rsidR="00CD2CD3">
      <w:pgSz w:w="16838" w:h="11906" w:orient="landscape"/>
      <w:pgMar w:top="794" w:right="794" w:bottom="794" w:left="79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qoJvMColgWlKm" int2:id="01ePo7Z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0CDD"/>
    <w:multiLevelType w:val="hybridMultilevel"/>
    <w:tmpl w:val="632CEA48"/>
    <w:lvl w:ilvl="0" w:tplc="9252D928">
      <w:start w:val="1"/>
      <w:numFmt w:val="bullet"/>
      <w:lvlText w:val="•"/>
      <w:lvlJc w:val="left"/>
      <w:pPr>
        <w:ind w:left="360" w:hanging="240"/>
      </w:pPr>
    </w:lvl>
    <w:lvl w:ilvl="1" w:tplc="8E10A004">
      <w:numFmt w:val="decimal"/>
      <w:lvlText w:val=""/>
      <w:lvlJc w:val="left"/>
    </w:lvl>
    <w:lvl w:ilvl="2" w:tplc="48E26E2C">
      <w:numFmt w:val="decimal"/>
      <w:lvlText w:val=""/>
      <w:lvlJc w:val="left"/>
    </w:lvl>
    <w:lvl w:ilvl="3" w:tplc="F0D495C4">
      <w:numFmt w:val="decimal"/>
      <w:lvlText w:val=""/>
      <w:lvlJc w:val="left"/>
    </w:lvl>
    <w:lvl w:ilvl="4" w:tplc="1B12F3CC">
      <w:numFmt w:val="decimal"/>
      <w:lvlText w:val=""/>
      <w:lvlJc w:val="left"/>
    </w:lvl>
    <w:lvl w:ilvl="5" w:tplc="9ED02EBA">
      <w:numFmt w:val="decimal"/>
      <w:lvlText w:val=""/>
      <w:lvlJc w:val="left"/>
    </w:lvl>
    <w:lvl w:ilvl="6" w:tplc="1A4AD33E">
      <w:numFmt w:val="decimal"/>
      <w:lvlText w:val=""/>
      <w:lvlJc w:val="left"/>
    </w:lvl>
    <w:lvl w:ilvl="7" w:tplc="68285542">
      <w:numFmt w:val="decimal"/>
      <w:lvlText w:val=""/>
      <w:lvlJc w:val="left"/>
    </w:lvl>
    <w:lvl w:ilvl="8" w:tplc="498CD52A">
      <w:numFmt w:val="decimal"/>
      <w:lvlText w:val=""/>
      <w:lvlJc w:val="left"/>
    </w:lvl>
  </w:abstractNum>
  <w:abstractNum w:abstractNumId="1" w15:restartNumberingAfterBreak="0">
    <w:nsid w:val="437F23EB"/>
    <w:multiLevelType w:val="hybridMultilevel"/>
    <w:tmpl w:val="3306CFD8"/>
    <w:lvl w:ilvl="0" w:tplc="2FF4FB4A">
      <w:start w:val="1"/>
      <w:numFmt w:val="decimal"/>
      <w:lvlText w:val="%1."/>
      <w:lvlJc w:val="left"/>
      <w:pPr>
        <w:ind w:left="360" w:hanging="240"/>
      </w:pPr>
    </w:lvl>
    <w:lvl w:ilvl="1" w:tplc="FF249D30">
      <w:numFmt w:val="decimal"/>
      <w:lvlText w:val=""/>
      <w:lvlJc w:val="left"/>
    </w:lvl>
    <w:lvl w:ilvl="2" w:tplc="C44AEC62">
      <w:numFmt w:val="decimal"/>
      <w:lvlText w:val=""/>
      <w:lvlJc w:val="left"/>
    </w:lvl>
    <w:lvl w:ilvl="3" w:tplc="16DAF9C0">
      <w:numFmt w:val="decimal"/>
      <w:lvlText w:val=""/>
      <w:lvlJc w:val="left"/>
    </w:lvl>
    <w:lvl w:ilvl="4" w:tplc="E17CDD38">
      <w:numFmt w:val="decimal"/>
      <w:lvlText w:val=""/>
      <w:lvlJc w:val="left"/>
    </w:lvl>
    <w:lvl w:ilvl="5" w:tplc="2876A27A">
      <w:numFmt w:val="decimal"/>
      <w:lvlText w:val=""/>
      <w:lvlJc w:val="left"/>
    </w:lvl>
    <w:lvl w:ilvl="6" w:tplc="C8F05AC2">
      <w:numFmt w:val="decimal"/>
      <w:lvlText w:val=""/>
      <w:lvlJc w:val="left"/>
    </w:lvl>
    <w:lvl w:ilvl="7" w:tplc="1D2A3E96">
      <w:numFmt w:val="decimal"/>
      <w:lvlText w:val=""/>
      <w:lvlJc w:val="left"/>
    </w:lvl>
    <w:lvl w:ilvl="8" w:tplc="76647BC0">
      <w:numFmt w:val="decimal"/>
      <w:lvlText w:val=""/>
      <w:lvlJc w:val="left"/>
    </w:lvl>
  </w:abstractNum>
  <w:abstractNum w:abstractNumId="2" w15:restartNumberingAfterBreak="0">
    <w:nsid w:val="576220AA"/>
    <w:multiLevelType w:val="hybridMultilevel"/>
    <w:tmpl w:val="3768116A"/>
    <w:lvl w:ilvl="0" w:tplc="5B0EB542">
      <w:start w:val="1"/>
      <w:numFmt w:val="bullet"/>
      <w:lvlText w:val="●"/>
      <w:lvlJc w:val="left"/>
      <w:pPr>
        <w:ind w:left="720" w:hanging="360"/>
      </w:pPr>
    </w:lvl>
    <w:lvl w:ilvl="1" w:tplc="482ADE5E">
      <w:start w:val="1"/>
      <w:numFmt w:val="bullet"/>
      <w:lvlText w:val="○"/>
      <w:lvlJc w:val="left"/>
      <w:pPr>
        <w:ind w:left="1440" w:hanging="360"/>
      </w:pPr>
    </w:lvl>
    <w:lvl w:ilvl="2" w:tplc="76680AAC">
      <w:start w:val="1"/>
      <w:numFmt w:val="bullet"/>
      <w:lvlText w:val="■"/>
      <w:lvlJc w:val="left"/>
      <w:pPr>
        <w:ind w:left="2160" w:hanging="360"/>
      </w:pPr>
    </w:lvl>
    <w:lvl w:ilvl="3" w:tplc="CE7AAEE8">
      <w:start w:val="1"/>
      <w:numFmt w:val="bullet"/>
      <w:lvlText w:val="●"/>
      <w:lvlJc w:val="left"/>
      <w:pPr>
        <w:ind w:left="2880" w:hanging="360"/>
      </w:pPr>
    </w:lvl>
    <w:lvl w:ilvl="4" w:tplc="71AA2986">
      <w:start w:val="1"/>
      <w:numFmt w:val="bullet"/>
      <w:lvlText w:val="○"/>
      <w:lvlJc w:val="left"/>
      <w:pPr>
        <w:ind w:left="3600" w:hanging="360"/>
      </w:pPr>
    </w:lvl>
    <w:lvl w:ilvl="5" w:tplc="8632C5FE">
      <w:start w:val="1"/>
      <w:numFmt w:val="bullet"/>
      <w:lvlText w:val="■"/>
      <w:lvlJc w:val="left"/>
      <w:pPr>
        <w:ind w:left="4320" w:hanging="360"/>
      </w:pPr>
    </w:lvl>
    <w:lvl w:ilvl="6" w:tplc="380EC2A0">
      <w:start w:val="1"/>
      <w:numFmt w:val="bullet"/>
      <w:lvlText w:val="●"/>
      <w:lvlJc w:val="left"/>
      <w:pPr>
        <w:ind w:left="5040" w:hanging="360"/>
      </w:pPr>
    </w:lvl>
    <w:lvl w:ilvl="7" w:tplc="2AFED6AA">
      <w:start w:val="1"/>
      <w:numFmt w:val="bullet"/>
      <w:lvlText w:val="●"/>
      <w:lvlJc w:val="left"/>
      <w:pPr>
        <w:ind w:left="5760" w:hanging="360"/>
      </w:pPr>
    </w:lvl>
    <w:lvl w:ilvl="8" w:tplc="EA461E40">
      <w:start w:val="1"/>
      <w:numFmt w:val="bullet"/>
      <w:lvlText w:val="●"/>
      <w:lvlJc w:val="left"/>
      <w:pPr>
        <w:ind w:left="6480" w:hanging="360"/>
      </w:pPr>
    </w:lvl>
  </w:abstractNum>
  <w:num w:numId="1" w16cid:durableId="1750154244">
    <w:abstractNumId w:val="1"/>
    <w:lvlOverride w:ilvl="0">
      <w:startOverride w:val="1"/>
    </w:lvlOverride>
  </w:num>
  <w:num w:numId="2" w16cid:durableId="604654038">
    <w:abstractNumId w:val="0"/>
    <w:lvlOverride w:ilvl="0">
      <w:startOverride w:val="1"/>
    </w:lvlOverride>
  </w:num>
  <w:num w:numId="3" w16cid:durableId="9701374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CD3"/>
    <w:rsid w:val="0015220E"/>
    <w:rsid w:val="001F24CB"/>
    <w:rsid w:val="002009BD"/>
    <w:rsid w:val="002A65E1"/>
    <w:rsid w:val="003E6C2E"/>
    <w:rsid w:val="0042525C"/>
    <w:rsid w:val="004A65DE"/>
    <w:rsid w:val="004B4B7A"/>
    <w:rsid w:val="00511EE2"/>
    <w:rsid w:val="0052486B"/>
    <w:rsid w:val="00554915"/>
    <w:rsid w:val="00604A95"/>
    <w:rsid w:val="00696F9D"/>
    <w:rsid w:val="007B35AA"/>
    <w:rsid w:val="008058E1"/>
    <w:rsid w:val="00882988"/>
    <w:rsid w:val="008B7565"/>
    <w:rsid w:val="00933B65"/>
    <w:rsid w:val="00A40CC2"/>
    <w:rsid w:val="00A75FBE"/>
    <w:rsid w:val="00AF66C0"/>
    <w:rsid w:val="00CD2CD3"/>
    <w:rsid w:val="00E15E0E"/>
    <w:rsid w:val="00E67FCF"/>
    <w:rsid w:val="00EC042A"/>
    <w:rsid w:val="0B0F29FC"/>
    <w:rsid w:val="1B35349F"/>
    <w:rsid w:val="2276E8D5"/>
    <w:rsid w:val="289CB3C5"/>
    <w:rsid w:val="2A9B2E36"/>
    <w:rsid w:val="39F61B43"/>
    <w:rsid w:val="425978F6"/>
    <w:rsid w:val="4E9CC145"/>
    <w:rsid w:val="5464FCA9"/>
    <w:rsid w:val="5B8E0EF2"/>
    <w:rsid w:val="60BC9C16"/>
    <w:rsid w:val="65A8F8BA"/>
    <w:rsid w:val="66718F18"/>
    <w:rsid w:val="7A2AC6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1AC48"/>
  <w15:docId w15:val="{EE44C920-9EFB-4F1D-A6CA-A7DE2C65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40"/>
      <w:outlineLvl w:val="0"/>
    </w:pPr>
    <w:rPr>
      <w:b/>
      <w:bCs/>
      <w:color w:val="000000"/>
      <w:sz w:val="32"/>
      <w:szCs w:val="32"/>
    </w:rPr>
  </w:style>
  <w:style w:type="paragraph" w:styleId="Heading2">
    <w:name w:val="heading 2"/>
    <w:uiPriority w:val="9"/>
    <w:unhideWhenUsed/>
    <w:qFormat/>
    <w:pPr>
      <w:pBdr>
        <w:bottom w:val="single" w:color="999999" w:sz="6" w:space="2"/>
      </w:pBdr>
      <w:spacing w:before="240" w:after="80"/>
      <w:outlineLvl w:val="1"/>
    </w:pPr>
    <w:rPr>
      <w:b/>
      <w:bCs/>
      <w:color w:val="000000"/>
      <w:sz w:val="24"/>
      <w:szCs w:val="24"/>
    </w:rPr>
  </w:style>
  <w:style w:type="paragraph" w:styleId="Heading3">
    <w:name w:val="heading 3"/>
    <w:uiPriority w:val="9"/>
    <w:unhideWhenUsed/>
    <w:qFormat/>
    <w:pPr>
      <w:spacing w:before="180" w:after="60"/>
      <w:outlineLvl w:val="2"/>
    </w:pPr>
    <w:rPr>
      <w:b/>
      <w:bCs/>
      <w:color w:val="00000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Revision">
    <w:name w:val="Revision"/>
    <w:hidden/>
    <w:uiPriority w:val="99"/>
    <w:semiHidden/>
    <w:rsid w:val="00152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b063f11050944b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e24828a-516c-46e3-a777-e0690fad021c}" enabled="0" method="" siteId="{0e24828a-516c-46e3-a777-e0690fad021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Ayyazul Hassan</lastModifiedBy>
  <revision>3</revision>
  <dcterms:created xsi:type="dcterms:W3CDTF">2026-06-18T15:53:00.0000000Z</dcterms:created>
  <dcterms:modified xsi:type="dcterms:W3CDTF">2026-06-18T16:43:20.2389062Z</dcterms:modified>
</coreProperties>
</file>