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YaHei"/>
        </w:rPr>
        <w:t xml:space="preserve">突出“多模态融合、主动巡护、边缘闭环、自学习优化”四个创新点</w:t>
      </w:r>
    </w:p>
    <w:p>
      <w:pPr>
        <w:pStyle w:val="Heading2"/>
        <w:keepNext/>
      </w:pPr>
      <w:r>
        <w:rPr>
          <w:rFonts w:ascii="Calibri" w:hAnsi="Calibri" w:eastAsia="Microsoft YaHei"/>
        </w:rPr>
        <w:t xml:space="preserve">一句话定位</w:t>
      </w:r>
    </w:p>
    <w:p>
      <w:pPr/>
      <w:r>
        <w:rPr>
          <w:rFonts w:ascii="Calibri" w:hAnsi="Calibri" w:eastAsia="Microsoft YaHei"/>
        </w:rPr>
        <w:t xml:space="preserve">“基于边缘智能与多模态感知的河道主动巡护与风险闭环系统”，是一套利用单台边缘计算终端，在本地完成河道风险感知、智能研判、主动取证、现场干预和模型迭代的轻量化河道巡护系统。</w:t>
      </w:r>
    </w:p>
    <w:p>
      <w:pPr>
        <w:pStyle w:val="Heading2"/>
        <w:keepNext/>
      </w:pPr>
      <w:r>
        <w:rPr>
          <w:rFonts w:ascii="Calibri" w:hAnsi="Calibri" w:eastAsia="Microsoft YaHei"/>
        </w:rPr>
        <w:t xml:space="preserve">建议提炼为五项核心功能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1. 河道多模态主动巡护</w:t>
      </w:r>
    </w:p>
    <w:p>
      <w:pPr/>
      <w:r>
        <w:rPr>
          <w:rFonts w:ascii="Calibri" w:hAnsi="Calibri" w:eastAsia="Microsoft YaHei"/>
        </w:rPr>
        <w:t xml:space="preserve">系统统一接入RTSP云台摄像头、6麦克风阵列和九合一传感器，持续采集河道视频、环境声音及温湿度、TVOC、CO₂、人体红外、火焰、光照等数据。</w:t>
      </w:r>
    </w:p>
    <w:p>
      <w:pPr/>
      <w:r>
        <w:rPr>
          <w:rFonts w:ascii="Calibri" w:hAnsi="Calibri" w:eastAsia="Microsoft YaHei"/>
        </w:rPr>
        <w:t xml:space="preserve">核心特点：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云台按照预设路线自动巡航，而非固定角度被动监控。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发现人员、船只、漂浮物或异常声音后，自动调整观察方向。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支持昼夜监控、重点区域定时复查和人工远程控制。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所有数据在边缘终端汇聚处理，不依赖云端。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2. 河道风险本地智能识别</w:t>
      </w:r>
    </w:p>
    <w:p>
      <w:pPr/>
      <w:r>
        <w:rPr>
          <w:rFonts w:ascii="Calibri" w:hAnsi="Calibri" w:eastAsia="Microsoft YaHei"/>
        </w:rPr>
        <w:t xml:space="preserve">依托Jetson Orin Nano的40 TOPS算力，在本地运行视觉、音频和环境数据分析模型，识别四类重点风险：</w:t>
      </w:r>
    </w:p>
    <w:tbl>
      <w:tblPr>
        <w:tblW w:w="9360" w:type="dxa"/>
        <w:tblInd w:w="12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DE3"/>
          <w:insideV w:val="single" w:sz="4" w:color="D7DD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vAlign w:val="center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 xml:space="preserve">风险类别</w:t>
            </w:r>
          </w:p>
        </w:tc>
        <w:tc>
          <w:tcPr>
            <w:tcW w:w="6360" w:type="dxa"/>
            <w:vAlign w:val="center"/>
            <w:shd w:val="clear" w:color="auto"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 xml:space="preserve">主要识别对象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人员安全风险</w:t>
            </w:r>
          </w:p>
        </w:tc>
        <w:tc>
          <w:tcPr>
            <w:tcW w:w="636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野泳、人员长时间临水、疑似落水、呼救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涉水违规行为</w:t>
            </w:r>
          </w:p>
        </w:tc>
        <w:tc>
          <w:tcPr>
            <w:tcW w:w="636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非法垂钓、疑似偷排、违规采砂、船只异常停靠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河面环境风险</w:t>
            </w:r>
          </w:p>
        </w:tc>
        <w:tc>
          <w:tcPr>
            <w:tcW w:w="636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垃圾漂浮物、油污、水葫芦、水体异常变色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岸线环境风险</w:t>
            </w:r>
          </w:p>
        </w:tc>
        <w:tc>
          <w:tcPr>
            <w:tcW w:w="6360" w:type="dxa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岸边明火、焚烧、夜间异常活动、异常机械声</w:t>
            </w:r>
          </w:p>
        </w:tc>
      </w:tr>
    </w:tbl>
    <w:p>
      <w:pPr/>
      <w:r>
        <w:rPr>
          <w:rFonts w:ascii="Calibri" w:hAnsi="Calibri" w:eastAsia="Microsoft YaHei"/>
        </w:rPr>
        <w:t xml:space="preserve">系统可采用目标检测与持续跟踪技术记录风险目标的出现、移动和消失过程，避免同一目标被反复告警。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3. 多模态风险融合研判</w:t>
      </w:r>
    </w:p>
    <w:p>
      <w:pPr/>
      <w:r>
        <w:rPr>
          <w:rFonts w:ascii="Calibri" w:hAnsi="Calibri" w:eastAsia="Microsoft YaHei"/>
        </w:rPr>
        <w:t xml:space="preserve">这是本系统最值得突出的创新功能。系统不根据单一画面或单个传感器立即报警，而是把视觉、声音、环境数据及时间信息组合起来，对事件进行分级判断。</w:t>
      </w:r>
    </w:p>
    <w:p>
      <w:pPr/>
      <w:r>
        <w:rPr>
          <w:rFonts w:ascii="Calibri" w:hAnsi="Calibri" w:eastAsia="Microsoft YaHei"/>
        </w:rPr>
        <w:t xml:space="preserve">例如：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黑色水体画面 + TVOC明显升高 + 排污泵特征声  </w:t>
      </w:r>
    </w:p>
    <w:p>
      <w:pPr/>
      <w:r>
        <w:rPr>
          <w:rFonts w:ascii="Calibri" w:hAnsi="Calibri" w:eastAsia="Microsoft YaHei"/>
        </w:rPr>
        <w:t xml:space="preserve">→ 判定为“疑似偷排高风险事件”。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人体红外触发 + 人员涉水画面 + 呼救声  </w:t>
      </w:r>
    </w:p>
    <w:p>
      <w:pPr/>
      <w:r>
        <w:rPr>
          <w:rFonts w:ascii="Calibri" w:hAnsi="Calibri" w:eastAsia="Microsoft YaHei"/>
        </w:rPr>
        <w:t xml:space="preserve">→ 判定为“人员落水或遇险紧急事件”。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夜间人员出现 + 异常光照变化 + 机械持续运行声  </w:t>
      </w:r>
    </w:p>
    <w:p>
      <w:pPr/>
      <w:r>
        <w:rPr>
          <w:rFonts w:ascii="Calibri" w:hAnsi="Calibri" w:eastAsia="Microsoft YaHei"/>
        </w:rPr>
        <w:t xml:space="preserve">→ 判定为“夜间违规作业可疑事件”。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火焰传感器触发 + 烟火画面  </w:t>
      </w:r>
    </w:p>
    <w:p>
      <w:pPr/>
      <w:r>
        <w:rPr>
          <w:rFonts w:ascii="Calibri" w:hAnsi="Calibri" w:eastAsia="Microsoft YaHei"/>
        </w:rPr>
        <w:t xml:space="preserve">→ 判定为“岸边明火事件”。</w:t>
      </w:r>
    </w:p>
    <w:p>
      <w:pPr/>
      <w:r>
        <w:rPr>
          <w:rFonts w:ascii="Calibri" w:hAnsi="Calibri" w:eastAsia="Microsoft YaHei"/>
        </w:rPr>
        <w:t xml:space="preserve">系统输出“提示、一般、严重、紧急”四级风险，减少仅凭单一传感器造成的误报。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4. 风险触发式主动取证与干预</w:t>
      </w:r>
    </w:p>
    <w:p>
      <w:pPr/>
      <w:r>
        <w:rPr>
          <w:rFonts w:ascii="Calibri" w:hAnsi="Calibri" w:eastAsia="Microsoft YaHei"/>
        </w:rPr>
        <w:t xml:space="preserve">风险出现后，系统从“发现问题”自动转入“跟踪—复核—取证—提示”的处置流程：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锁定风险目标或声源方向；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控制云台转向目标区域；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连续跟踪并抓拍关键画面；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录制事件前后短视频；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通过内置扬声器播放警示或救援提示；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在触控屏显示风险位置、等级和处置状态；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将事件材料保存到256GB SSD；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支持通过摄像头配套App查看实时画面。</w:t>
      </w:r>
    </w:p>
    <w:p>
      <w:pPr/>
      <w:r>
        <w:rPr>
          <w:rFonts w:ascii="Calibri" w:hAnsi="Calibri" w:eastAsia="Microsoft YaHei"/>
        </w:rPr>
        <w:t xml:space="preserve">每个事件自动形成一份“风险证据包”，包括：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事件编号与发生时间；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风险类型和风险等级；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告警截图及短视频；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目标运动轨迹；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同期声音和传感器变化；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系统研判依据；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人工确认及处置结果。</w:t>
      </w:r>
    </w:p>
    <w:p>
      <w:pPr/>
      <w:r>
        <w:rPr>
          <w:rFonts w:ascii="Calibri" w:hAnsi="Calibri" w:eastAsia="Microsoft YaHei"/>
        </w:rPr>
        <w:t xml:space="preserve">这样可以形成完整、可追溯的河道风险闭环。</w:t>
      </w:r>
    </w:p>
    <w:p>
      <w:pPr>
        <w:pStyle w:val="Heading3"/>
        <w:keepNext/>
      </w:pPr>
      <w:r>
        <w:rPr>
          <w:rFonts w:ascii="Calibri" w:hAnsi="Calibri" w:eastAsia="Microsoft YaHei"/>
        </w:rPr>
        <w:t xml:space="preserve">5. 本地风险档案与模型自学习</w:t>
      </w:r>
    </w:p>
    <w:p>
      <w:pPr/>
      <w:r>
        <w:rPr>
          <w:rFonts w:ascii="Calibri" w:hAnsi="Calibri" w:eastAsia="Microsoft YaHei"/>
        </w:rPr>
        <w:t xml:space="preserve">系统将巡护过程中的视频、图片、音频、传感器数据和告警结果统一归档，并提供本地统计分析：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各类风险发生次数和时段分布；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不同巡护区域的风险热度；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TVOC、CO₂、温湿度等变化趋势；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告警准确率、误报率及处置结果；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高频风险目标和重复发生事件。</w:t>
      </w:r>
    </w:p>
    <w:p>
      <w:pPr/>
      <w:r>
        <w:rPr>
          <w:rFonts w:ascii="Calibri" w:hAnsi="Calibri" w:eastAsia="Microsoft YaHei"/>
        </w:rPr>
        <w:t xml:space="preserve">对于误报、漏报和新型风险，可以通过配套标注工具进行人工标注，在JupyterLab及深度学习环境中完成小规模模型微调、转换和重新部署，形成：</w:t>
      </w:r>
    </w:p>
    <w:p>
      <w:pPr>
        <w:ind w:left="480"/>
        <w:shd w:val="clear" w:color="auto" w:fill="F2F4F7"/>
        <w:spacing w:before="80" w:after="120"/>
      </w:pPr>
      <w:r>
        <w:rPr>
          <w:rFonts w:ascii="Calibri" w:hAnsi="Calibri" w:eastAsia="Microsoft YaHei"/>
        </w:rPr>
        <w:t xml:space="preserve">实景采集 → 风险识别 → 人工复核 → 样本标注 → 模型优化 → 再次部署</w:t>
      </w:r>
    </w:p>
    <w:p>
      <w:pPr/>
      <w:r>
        <w:rPr>
          <w:rFonts w:ascii="Calibri" w:hAnsi="Calibri" w:eastAsia="Microsoft YaHei"/>
        </w:rPr>
        <w:t xml:space="preserve">由此实现适应特定河道场景的持续学习。</w:t>
      </w:r>
    </w:p>
    <w:p>
      <w:pPr>
        <w:pStyle w:val="Heading2"/>
        <w:keepNext/>
      </w:pPr>
      <w:r>
        <w:rPr>
          <w:rFonts w:ascii="Calibri" w:hAnsi="Calibri" w:eastAsia="Microsoft YaHei"/>
        </w:rPr>
        <w:t xml:space="preserve">建议重点展示的三项创新功能</w:t>
      </w:r>
    </w:p>
    <w:p>
      <w:pPr/>
      <w:r>
        <w:rPr>
          <w:rFonts w:ascii="Calibri" w:hAnsi="Calibri" w:eastAsia="Microsoft YaHei"/>
        </w:rPr>
        <w:t xml:space="preserve">为了避免项目功能过多、实现难度失控，答辩时建议重点突出：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b/>
        </w:rPr>
        <w:t xml:space="preserve">声音引导的云台主动复核</w:t>
      </w:r>
      <w:r>
        <w:rPr>
          <w:rFonts w:ascii="Calibri" w:hAnsi="Calibri" w:eastAsia="Microsoft YaHei"/>
        </w:rPr>
        <w:t xml:space="preserve">  </w:t>
      </w:r>
    </w:p>
    <w:p>
      <w:pPr/>
      <w:r>
        <w:rPr>
          <w:rFonts w:ascii="Calibri" w:hAnsi="Calibri" w:eastAsia="Microsoft YaHei"/>
        </w:rPr>
        <w:t xml:space="preserve">麦克风阵列发现异常声音后，根据声源方向驱动云台转向，对声音来源进行视觉确认。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b/>
        </w:rPr>
        <w:t xml:space="preserve">多模态事件链研判</w:t>
      </w:r>
      <w:r>
        <w:rPr>
          <w:rFonts w:ascii="Calibri" w:hAnsi="Calibri" w:eastAsia="Microsoft YaHei"/>
        </w:rPr>
        <w:t xml:space="preserve">  </w:t>
      </w:r>
    </w:p>
    <w:p>
      <w:pPr/>
      <w:r>
        <w:rPr>
          <w:rFonts w:ascii="Calibri" w:hAnsi="Calibri" w:eastAsia="Microsoft YaHei"/>
        </w:rPr>
        <w:t xml:space="preserve">将人员、画面、声音、TVOC、火焰等信号组合成风险事件，而不是分别产生大量零散告警。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b/>
        </w:rPr>
        <w:t xml:space="preserve">风险证据包与模型自学习闭环</w:t>
      </w:r>
      <w:r>
        <w:rPr>
          <w:rFonts w:ascii="Calibri" w:hAnsi="Calibri" w:eastAsia="Microsoft YaHei"/>
        </w:rPr>
        <w:t xml:space="preserve">  </w:t>
      </w:r>
    </w:p>
    <w:p>
      <w:pPr/>
      <w:r>
        <w:rPr>
          <w:rFonts w:ascii="Calibri" w:hAnsi="Calibri" w:eastAsia="Microsoft YaHei"/>
        </w:rPr>
        <w:t xml:space="preserve">自动保留风险发生前后的多模态证据，并把误报、漏报转化为后续模型优化样本。</w:t>
      </w:r>
    </w:p>
    <w:p>
      <w:pPr/>
      <w:r>
        <w:rPr>
          <w:rFonts w:ascii="Calibri" w:hAnsi="Calibri" w:eastAsia="Microsoft YaHei"/>
        </w:rPr>
        <w:t xml:space="preserve">这三项能够明显区别于普通河道视频监控系统。</w:t>
      </w:r>
    </w:p>
    <w:p>
      <w:pPr>
        <w:pStyle w:val="Heading2"/>
        <w:keepNext/>
      </w:pPr>
      <w:r>
        <w:rPr>
          <w:rFonts w:ascii="Calibri" w:hAnsi="Calibri" w:eastAsia="Microsoft YaHei"/>
        </w:rPr>
        <w:t xml:space="preserve">极简系统闭环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云台视频、阵列声音、环境传感数据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边缘终端本地AI分析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多模态融合与风险分级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云台复核、目标跟踪、语音提示、自动取证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触控屏展示与事件归档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统计分析、人工复核、模型优化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      ↓</w:t>
      </w:r>
    </w:p>
    <w:p>
      <w:pPr>
        <w:ind w:left="360" w:right="360"/>
        <w:shd w:val="clear" w:color="auto" w:fill="F2F4F7"/>
        <w:spacing w:before="60" w:after="60" w:line="276" w:lineRule="auto"/>
      </w:pPr>
      <w:r>
        <w:rPr>
          <w:rFonts w:ascii="Calibri" w:hAnsi="Calibri" w:eastAsia="Consolas"/>
          <w:sz w:val="19"/>
          <w:szCs w:val="19"/>
        </w:rPr>
        <w:t xml:space="preserve">          新一轮主动巡护</w:t>
      </w:r>
    </w:p>
    <w:p>
      <w:pPr>
        <w:pStyle w:val="Heading2"/>
        <w:keepNext/>
      </w:pPr>
      <w:r>
        <w:rPr>
          <w:rFonts w:ascii="Calibri" w:hAnsi="Calibri" w:eastAsia="Microsoft YaHei"/>
        </w:rPr>
        <w:t xml:space="preserve">需要修正的功能表述</w:t>
      </w:r>
    </w:p>
    <w:p>
      <w:pPr/>
      <w:r>
        <w:rPr>
          <w:rFonts w:ascii="Calibri" w:hAnsi="Calibri" w:eastAsia="Microsoft YaHei"/>
        </w:rPr>
        <w:t xml:space="preserve">依据白皮书，为保证方案可信，建议注意以下边界：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套件包含继电器，但配套执行器仅明确列出小风扇；在“不增加其他硬件”的条件下，不宜写“驱动声光警示灯”。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摄像头支持扬声器和双向语音，可以设计自动语音提醒，但需要自行开发联动程序。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白皮书只明确配套App可以查看摄像头实时画面，未明确支持自定义AI告警推送，因此建议表述为“手机查看现场画面”，不要直接承诺完整告警推送。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九合一传感器没有水质、水位、流速传感器，不能声称直接检测水质或水位；水体变色、漂浮物、水位变化只能通过视觉方式估计。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TVOC升高只能作为疑似污染或偷排的辅助证据，不能单独等同于水体污染。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YOLO、DeepSORT和音频分类模型属于拟开发算法，并非白皮书明确提供的现成功能。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本地环境支持模型训练与部署，但受到8GB内存限制，更适合轻量模型微调、量化和部署，不宜宣传为大规模模型训练平台。</w:t>
      </w:r>
    </w:p>
    <w:sectPr>
      <w:pgSz w:w="12240" w:h="15840"/>
      <w:pgMar w:top="1440" w:right="1440" w:bottom="1440" w:left="1440" w:header="720" w:footer="720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F8C8D"/>
        <w:sz w:val="18"/>
      </w:rPr>
      <w:t>第 </w:t>
    </w:r>
    <w:fldSimple w:instr="PAGE">
      <w:r>
        <w:rPr>
          <w:color w:val="7F8C8D"/>
          <w:sz w:val="18"/>
        </w:rPr>
        <w:t>1</w:t>
      </w:r>
    </w:fldSimple>
    <w:r>
      <w:rPr>
        <w:color w:val="7F8C8D"/>
        <w:sz w:val="18"/>
      </w:rPr>
      <w:t> 页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before="0" w:after="120" w:line="264" w:lineRule="auto"/>
    </w:pPr>
  </w:style>
  <w:style w:type="paragraph" w:styleId="Title">
    <w:name w:val="Title"/>
    <w:basedOn w:val="Normal"/>
    <w:next w:val="Normal"/>
    <w:qFormat/>
    <w:pPr>
      <w:spacing w:before="320" w:after="220"/>
      <w:keepNext/>
    </w:pPr>
    <w:rPr>
      <w:rFonts w:eastAsia="Microsoft YaHei"/>
      <w:b/>
      <w:color w:val="1F4D78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b/>
      <w:color w:val="1F4D78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