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2B3B8">
      <w:pPr>
        <w:spacing w:before="480" w:after="480" w:line="288" w:lineRule="auto"/>
        <w:ind w:left="0"/>
      </w:pPr>
      <w:r>
        <w:rPr>
          <w:rFonts w:ascii="宋体" w:hAnsi="宋体" w:eastAsia="宋体" w:cs="Arial"/>
          <w:b w:val="0"/>
          <w:sz w:val="21"/>
        </w:rPr>
        <w:t>IPD关键技术预研报告</w:t>
      </w:r>
    </w:p>
    <w:p w14:paraId="75C24A38">
      <w:pPr>
        <w:spacing w:before="380" w:after="140" w:line="288" w:lineRule="auto"/>
        <w:ind w:left="0"/>
        <w:jc w:val="left"/>
        <w:outlineLvl w:val="0"/>
      </w:pPr>
      <w:bookmarkStart w:id="0" w:name="heading_0"/>
      <w:r>
        <w:rPr>
          <w:rFonts w:ascii="宋体" w:hAnsi="宋体" w:eastAsia="宋体" w:cs="Arial"/>
          <w:b w:val="0"/>
          <w:sz w:val="21"/>
        </w:rPr>
        <w:t>封面</w:t>
      </w:r>
      <w:bookmarkEnd w:id="0"/>
    </w:p>
    <w:p w14:paraId="5AF72D53">
      <w:pPr>
        <w:spacing w:before="120" w:after="120" w:line="288" w:lineRule="auto"/>
        <w:ind w:left="0"/>
        <w:jc w:val="left"/>
      </w:pPr>
      <w:r>
        <w:rPr>
          <w:rFonts w:ascii="宋体" w:hAnsi="宋体" w:eastAsia="宋体" w:cs="Arial"/>
          <w:b w:val="0"/>
          <w:sz w:val="21"/>
        </w:rPr>
        <w:t>关键技术预研报告</w:t>
      </w:r>
    </w:p>
    <w:p w14:paraId="079CB8BD">
      <w:pPr>
        <w:spacing w:before="120" w:after="120" w:line="288" w:lineRule="auto"/>
        <w:ind w:left="0"/>
        <w:jc w:val="left"/>
      </w:pPr>
      <w:r>
        <w:rPr>
          <w:rFonts w:ascii="宋体" w:hAnsi="宋体" w:eastAsia="宋体" w:cs="Arial"/>
          <w:b w:val="0"/>
          <w:sz w:val="21"/>
        </w:rPr>
        <w:t>文档编号：KY-RIVERAI-001-V1.0</w:t>
      </w:r>
    </w:p>
    <w:p w14:paraId="247D5133">
      <w:pPr>
        <w:spacing w:before="120" w:after="120" w:line="288" w:lineRule="auto"/>
        <w:ind w:left="0"/>
        <w:jc w:val="left"/>
      </w:pPr>
      <w:r>
        <w:rPr>
          <w:rFonts w:ascii="宋体" w:hAnsi="宋体" w:eastAsia="宋体" w:cs="Arial"/>
          <w:b w:val="0"/>
          <w:sz w:val="21"/>
        </w:rPr>
        <w:t>版本：V1.0</w:t>
      </w:r>
    </w:p>
    <w:p w14:paraId="697CC907">
      <w:pPr>
        <w:spacing w:before="120" w:after="120" w:line="288" w:lineRule="auto"/>
        <w:ind w:left="0"/>
        <w:jc w:val="left"/>
      </w:pPr>
      <w:r>
        <w:rPr>
          <w:rFonts w:ascii="宋体" w:hAnsi="宋体" w:eastAsia="宋体" w:cs="Arial"/>
          <w:b w:val="0"/>
          <w:sz w:val="21"/>
        </w:rPr>
        <w:t>编制小组：河道主动巡护系统PDT技术小组（8人）</w:t>
      </w:r>
    </w:p>
    <w:p w14:paraId="6563697F">
      <w:pPr>
        <w:spacing w:before="120" w:after="120" w:line="288" w:lineRule="auto"/>
        <w:ind w:left="0"/>
        <w:jc w:val="left"/>
      </w:pPr>
      <w:r>
        <w:rPr>
          <w:rFonts w:ascii="宋体" w:hAnsi="宋体" w:eastAsia="宋体" w:cs="Arial"/>
          <w:b w:val="0"/>
          <w:sz w:val="21"/>
        </w:rPr>
        <w:t>编制日期：2026年7月17日</w:t>
      </w:r>
    </w:p>
    <w:p w14:paraId="4D86F89A">
      <w:pPr>
        <w:spacing w:before="120" w:after="120" w:line="288" w:lineRule="auto"/>
        <w:ind w:left="0"/>
        <w:jc w:val="left"/>
      </w:pPr>
      <w:r>
        <w:rPr>
          <w:rFonts w:ascii="宋体" w:hAnsi="宋体" w:eastAsia="宋体" w:cs="Arial"/>
          <w:b w:val="0"/>
          <w:sz w:val="21"/>
        </w:rPr>
        <w:t>对应项目名称：基于边缘智能与多模态感知的河道主动巡护与风险闭环系统</w:t>
      </w:r>
    </w:p>
    <w:p w14:paraId="0EDE7447">
      <w:pPr>
        <w:spacing w:before="120" w:after="120" w:line="288" w:lineRule="auto"/>
        <w:ind w:left="0"/>
        <w:jc w:val="left"/>
      </w:pPr>
      <w:r>
        <w:rPr>
          <w:rFonts w:ascii="宋体" w:hAnsi="宋体" w:eastAsia="宋体" w:cs="Arial"/>
          <w:b w:val="0"/>
          <w:sz w:val="21"/>
        </w:rPr>
        <w:t>预研阶段：IPD立项前置 / CDCP准入 / TR1技术准入支撑材料</w:t>
      </w:r>
    </w:p>
    <w:p w14:paraId="504EB734">
      <w:pPr>
        <w:spacing w:before="120" w:after="120" w:line="288" w:lineRule="auto"/>
        <w:ind w:left="0"/>
        <w:jc w:val="left"/>
      </w:pPr>
      <w:r>
        <w:rPr>
          <w:rFonts w:ascii="宋体" w:hAnsi="宋体" w:eastAsia="宋体" w:cs="Arial"/>
          <w:b w:val="0"/>
          <w:sz w:val="21"/>
        </w:rPr>
        <w:t>评审人员：SE架构师、算法负责人、PDT经理、技术评审组</w:t>
      </w:r>
    </w:p>
    <w:p w14:paraId="245752D2">
      <w:pPr>
        <w:pBdr>
          <w:bottom w:val="single" w:color="DEE0E3" w:sz="2" w:space="0"/>
          <w:between w:val="single" w:color="DEE0E3" w:sz="2" w:space="0"/>
        </w:pBdr>
        <w:spacing w:before="120" w:after="120" w:line="288" w:lineRule="auto"/>
        <w:ind w:left="0"/>
      </w:pPr>
    </w:p>
    <w:p w14:paraId="4786D9D6">
      <w:pPr>
        <w:spacing w:before="380" w:after="140" w:line="288" w:lineRule="auto"/>
        <w:ind w:left="0"/>
        <w:jc w:val="left"/>
        <w:outlineLvl w:val="0"/>
      </w:pPr>
      <w:bookmarkStart w:id="1" w:name="heading_1"/>
      <w:r>
        <w:rPr>
          <w:rFonts w:ascii="宋体" w:hAnsi="宋体" w:eastAsia="宋体" w:cs="Arial"/>
          <w:b w:val="0"/>
          <w:sz w:val="21"/>
        </w:rPr>
        <w:t>目录</w:t>
      </w:r>
      <w:bookmarkEnd w:id="1"/>
    </w:p>
    <w:p w14:paraId="1529DE20">
      <w:pPr>
        <w:spacing w:before="120" w:after="120" w:line="288" w:lineRule="auto"/>
        <w:ind w:left="0"/>
        <w:jc w:val="left"/>
      </w:pPr>
      <w:r>
        <w:rPr>
          <w:rFonts w:ascii="宋体" w:hAnsi="宋体" w:eastAsia="宋体" w:cs="Arial"/>
          <w:b w:val="0"/>
          <w:sz w:val="21"/>
        </w:rPr>
        <w:t>1. 执行摘要</w:t>
      </w:r>
    </w:p>
    <w:p w14:paraId="7977E5E7">
      <w:pPr>
        <w:spacing w:before="120" w:after="120" w:line="288" w:lineRule="auto"/>
        <w:ind w:left="0"/>
        <w:jc w:val="left"/>
      </w:pPr>
      <w:r>
        <w:rPr>
          <w:rFonts w:ascii="宋体" w:hAnsi="宋体" w:eastAsia="宋体" w:cs="Arial"/>
          <w:b w:val="0"/>
          <w:sz w:val="21"/>
        </w:rPr>
        <w:t>2. 预研概述（背景、目的、范围、依据）</w:t>
      </w:r>
    </w:p>
    <w:p w14:paraId="35AF47E8">
      <w:pPr>
        <w:spacing w:before="120" w:after="120" w:line="288" w:lineRule="auto"/>
        <w:ind w:left="0"/>
        <w:jc w:val="left"/>
      </w:pPr>
      <w:r>
        <w:rPr>
          <w:rFonts w:ascii="宋体" w:hAnsi="宋体" w:eastAsia="宋体" w:cs="Arial"/>
          <w:b w:val="0"/>
          <w:sz w:val="21"/>
        </w:rPr>
        <w:t>3. 关键技术难点识别（项目核心风险点）</w:t>
      </w:r>
    </w:p>
    <w:p w14:paraId="77B3B26E">
      <w:pPr>
        <w:spacing w:before="120" w:after="120" w:line="288" w:lineRule="auto"/>
        <w:ind w:left="0"/>
        <w:jc w:val="left"/>
      </w:pPr>
      <w:r>
        <w:rPr>
          <w:rFonts w:ascii="宋体" w:hAnsi="宋体" w:eastAsia="宋体" w:cs="Arial"/>
          <w:b w:val="0"/>
          <w:sz w:val="21"/>
        </w:rPr>
        <w:t>4. 各关键技术专项预研验证</w:t>
      </w:r>
    </w:p>
    <w:p w14:paraId="31564AD7">
      <w:pPr>
        <w:spacing w:before="120" w:after="120" w:line="288" w:lineRule="auto"/>
        <w:ind w:left="0"/>
        <w:jc w:val="left"/>
      </w:pPr>
      <w:r>
        <w:rPr>
          <w:rFonts w:ascii="宋体" w:hAnsi="宋体" w:eastAsia="宋体" w:cs="Arial"/>
          <w:b w:val="0"/>
          <w:sz w:val="21"/>
        </w:rPr>
        <w:t>5. 技术方案选型对比与最终结论</w:t>
      </w:r>
    </w:p>
    <w:p w14:paraId="4B916847">
      <w:pPr>
        <w:spacing w:before="120" w:after="120" w:line="288" w:lineRule="auto"/>
        <w:ind w:left="0"/>
        <w:jc w:val="left"/>
      </w:pPr>
      <w:r>
        <w:rPr>
          <w:rFonts w:ascii="宋体" w:hAnsi="宋体" w:eastAsia="宋体" w:cs="Arial"/>
          <w:b w:val="0"/>
          <w:sz w:val="21"/>
        </w:rPr>
        <w:t>6. 技术可行性整体评估</w:t>
      </w:r>
    </w:p>
    <w:p w14:paraId="3219C73B">
      <w:pPr>
        <w:spacing w:before="120" w:after="120" w:line="288" w:lineRule="auto"/>
        <w:ind w:left="0"/>
        <w:jc w:val="left"/>
      </w:pPr>
      <w:r>
        <w:rPr>
          <w:rFonts w:ascii="宋体" w:hAnsi="宋体" w:eastAsia="宋体" w:cs="Arial"/>
          <w:b w:val="0"/>
          <w:sz w:val="21"/>
        </w:rPr>
        <w:t>7. 遗留风险、约束与落地注意事项</w:t>
      </w:r>
    </w:p>
    <w:p w14:paraId="3E3957F2">
      <w:pPr>
        <w:spacing w:before="120" w:after="120" w:line="288" w:lineRule="auto"/>
        <w:ind w:left="0"/>
        <w:jc w:val="left"/>
      </w:pPr>
      <w:r>
        <w:rPr>
          <w:rFonts w:ascii="宋体" w:hAnsi="宋体" w:eastAsia="宋体" w:cs="Arial"/>
          <w:b w:val="0"/>
          <w:sz w:val="21"/>
        </w:rPr>
        <w:t>8. 预研结论与立项/开发建议</w:t>
      </w:r>
    </w:p>
    <w:p w14:paraId="26A93988">
      <w:pPr>
        <w:spacing w:before="120" w:after="120" w:line="288" w:lineRule="auto"/>
        <w:ind w:left="0"/>
        <w:jc w:val="left"/>
      </w:pPr>
      <w:r>
        <w:rPr>
          <w:rFonts w:ascii="宋体" w:hAnsi="宋体" w:eastAsia="宋体" w:cs="Arial"/>
          <w:b w:val="0"/>
          <w:sz w:val="21"/>
        </w:rPr>
        <w:t>9. 预研附件</w:t>
      </w:r>
    </w:p>
    <w:p w14:paraId="5FA61E91">
      <w:pPr>
        <w:pBdr>
          <w:bottom w:val="single" w:color="DEE0E3" w:sz="2" w:space="0"/>
          <w:between w:val="single" w:color="DEE0E3" w:sz="2" w:space="0"/>
        </w:pBdr>
        <w:spacing w:before="120" w:after="60" w:line="324" w:lineRule="auto"/>
        <w:ind w:left="0"/>
      </w:pPr>
    </w:p>
    <w:p w14:paraId="0420BEB5">
      <w:pPr>
        <w:spacing w:before="200" w:after="100" w:line="288" w:lineRule="auto"/>
        <w:ind w:left="0"/>
        <w:jc w:val="left"/>
        <w:outlineLvl w:val="0"/>
      </w:pPr>
      <w:bookmarkStart w:id="2" w:name="heading_2"/>
      <w:r>
        <w:rPr>
          <w:rFonts w:ascii="黑体" w:hAnsi="黑体" w:eastAsia="黑体" w:cs="Arial"/>
          <w:b/>
          <w:sz w:val="30"/>
        </w:rPr>
        <w:t>1 执行摘要</w:t>
      </w:r>
      <w:bookmarkEnd w:id="2"/>
    </w:p>
    <w:p w14:paraId="04F43AC2">
      <w:pPr>
        <w:spacing w:before="120" w:after="60" w:line="324" w:lineRule="auto"/>
        <w:ind w:left="0"/>
        <w:jc w:val="left"/>
      </w:pPr>
      <w:r>
        <w:rPr>
          <w:rFonts w:ascii="宋体" w:hAnsi="宋体" w:eastAsia="宋体" w:cs="Arial"/>
          <w:b w:val="0"/>
          <w:sz w:val="21"/>
        </w:rPr>
        <w:t>本报告对项目立项前的四项关键不确定性进行预研：端侧多路AI并行、多模态时间窗融合、声源方向引导云台复核、事件级证据闭环与模型迭代。基于产品白皮书完成硬件规格、接口和软件环境核验，确认40 TOPS Jetson Orin Nano、RTSP云台、6麦阵列、九合一传感器、256GB SSD及Jupyter/标注/部署环境可支撑原型；但尚无真实河道实测数据，准确率、帧率、联动误差和稳定性不能视为已验证。当前结论为“条件可行”：建议进入原型开发，将端侧性能、复杂水面误检和声源—云台标定列为TR2—TR4强制测试项；仅在达到本文准入门槛后通过技术评审。</w:t>
      </w:r>
    </w:p>
    <w:p w14:paraId="7861FEAB">
      <w:pPr>
        <w:spacing w:before="120" w:after="60" w:line="324" w:lineRule="auto"/>
        <w:ind w:left="0"/>
        <w:jc w:val="left"/>
      </w:pPr>
    </w:p>
    <w:p w14:paraId="323BF66D">
      <w:pPr>
        <w:spacing w:before="120" w:after="60" w:line="324" w:lineRule="auto"/>
        <w:ind w:left="0"/>
        <w:jc w:val="left"/>
      </w:pPr>
    </w:p>
    <w:p w14:paraId="14758407">
      <w:pPr>
        <w:spacing w:before="200" w:after="100" w:line="288" w:lineRule="auto"/>
        <w:ind w:left="0"/>
        <w:jc w:val="left"/>
        <w:outlineLvl w:val="0"/>
      </w:pPr>
      <w:bookmarkStart w:id="3" w:name="heading_3"/>
      <w:r>
        <w:rPr>
          <w:rFonts w:ascii="黑体" w:hAnsi="黑体" w:eastAsia="黑体" w:cs="Arial"/>
          <w:b/>
          <w:sz w:val="30"/>
        </w:rPr>
        <w:t>2 预研概述</w:t>
      </w:r>
      <w:bookmarkEnd w:id="3"/>
    </w:p>
    <w:p w14:paraId="5E14E2FB">
      <w:pPr>
        <w:spacing w:before="120" w:after="100" w:line="288" w:lineRule="auto"/>
        <w:ind w:left="0"/>
        <w:jc w:val="left"/>
        <w:outlineLvl w:val="1"/>
      </w:pPr>
      <w:bookmarkStart w:id="4" w:name="heading_4"/>
      <w:r>
        <w:rPr>
          <w:rFonts w:ascii="黑体" w:hAnsi="黑体" w:eastAsia="黑体" w:cs="Arial"/>
          <w:b/>
          <w:sz w:val="24"/>
        </w:rPr>
        <w:t>2.1 预研背景</w:t>
      </w:r>
      <w:bookmarkEnd w:id="4"/>
    </w:p>
    <w:p w14:paraId="17604D63">
      <w:pPr>
        <w:spacing w:before="120" w:after="60" w:line="324" w:lineRule="auto"/>
        <w:ind w:left="0"/>
        <w:jc w:val="left"/>
      </w:pPr>
      <w:r>
        <w:rPr>
          <w:rFonts w:ascii="宋体" w:hAnsi="宋体" w:eastAsia="宋体" w:cs="Arial"/>
          <w:b w:val="0"/>
          <w:sz w:val="21"/>
        </w:rPr>
        <w:t>功能设计涉及视频、音频、环境传感、云台控制、事件融合、存证和本地模型迭代。尽管终端具备相应硬件与开发环境，但河道场景存在反光、遮挡、风噪、目标稀少和样本不足等问题，且8GB内存下多模型并发性能未知，因此必须在立项前明确技术路线和降级策略。</w:t>
      </w:r>
    </w:p>
    <w:p w14:paraId="0F6660BC">
      <w:pPr>
        <w:spacing w:before="120" w:after="60" w:line="324" w:lineRule="auto"/>
        <w:ind w:left="0"/>
        <w:jc w:val="left"/>
      </w:pPr>
    </w:p>
    <w:p w14:paraId="2464FAD2">
      <w:pPr>
        <w:spacing w:before="120" w:after="60" w:line="324" w:lineRule="auto"/>
        <w:ind w:left="0"/>
        <w:jc w:val="left"/>
      </w:pPr>
    </w:p>
    <w:p w14:paraId="0AE1F566">
      <w:pPr>
        <w:spacing w:before="120" w:after="100" w:line="288" w:lineRule="auto"/>
        <w:ind w:left="0"/>
        <w:jc w:val="left"/>
        <w:outlineLvl w:val="1"/>
      </w:pPr>
      <w:bookmarkStart w:id="5" w:name="heading_5"/>
      <w:r>
        <w:rPr>
          <w:rFonts w:ascii="黑体" w:hAnsi="黑体" w:eastAsia="黑体" w:cs="Arial"/>
          <w:b/>
          <w:sz w:val="24"/>
        </w:rPr>
        <w:t>2.2 预研目的</w:t>
      </w:r>
      <w:bookmarkEnd w:id="5"/>
    </w:p>
    <w:p w14:paraId="16B6BA7F">
      <w:pPr>
        <w:spacing w:before="120" w:after="60" w:line="324" w:lineRule="auto"/>
        <w:ind w:left="0"/>
        <w:jc w:val="left"/>
      </w:pPr>
      <w:r>
        <w:rPr>
          <w:rFonts w:ascii="宋体" w:hAnsi="宋体" w:eastAsia="宋体" w:cs="Arial"/>
          <w:b w:val="0"/>
          <w:sz w:val="21"/>
        </w:rPr>
        <w:t>本次预研目标：</w:t>
      </w:r>
    </w:p>
    <w:p w14:paraId="53EC0334">
      <w:pPr>
        <w:spacing w:before="120" w:after="60" w:line="324" w:lineRule="auto"/>
        <w:ind w:left="0"/>
        <w:jc w:val="left"/>
      </w:pPr>
      <w:r>
        <w:rPr>
          <w:rFonts w:ascii="宋体" w:hAnsi="宋体" w:eastAsia="宋体" w:cs="Arial"/>
          <w:b w:val="0"/>
          <w:sz w:val="21"/>
        </w:rPr>
        <w:t>1. 核验单套终端对视频、音频和传感数据的接入与本地处理能力；</w:t>
      </w:r>
    </w:p>
    <w:p w14:paraId="511184B0">
      <w:pPr>
        <w:spacing w:before="120" w:after="60" w:line="324" w:lineRule="auto"/>
        <w:ind w:left="0"/>
        <w:jc w:val="left"/>
      </w:pPr>
      <w:r>
        <w:rPr>
          <w:rFonts w:ascii="宋体" w:hAnsi="宋体" w:eastAsia="宋体" w:cs="Arial"/>
          <w:b w:val="0"/>
          <w:sz w:val="21"/>
        </w:rPr>
        <w:t>2. 固化轻量视觉、声学分类、多模态融合和事件状态机技术路线；</w:t>
      </w:r>
    </w:p>
    <w:p w14:paraId="6BF73C0E">
      <w:pPr>
        <w:spacing w:before="120" w:after="60" w:line="324" w:lineRule="auto"/>
        <w:ind w:left="0"/>
        <w:jc w:val="left"/>
      </w:pPr>
      <w:r>
        <w:rPr>
          <w:rFonts w:ascii="宋体" w:hAnsi="宋体" w:eastAsia="宋体" w:cs="Arial"/>
          <w:b w:val="0"/>
          <w:sz w:val="21"/>
        </w:rPr>
        <w:t>3. 制定帧率、延迟、内存、联动误差、误报和稳定性准入指标；</w:t>
      </w:r>
    </w:p>
    <w:p w14:paraId="34FCBE07">
      <w:pPr>
        <w:spacing w:before="120" w:after="60" w:line="324" w:lineRule="auto"/>
        <w:ind w:left="0"/>
        <w:jc w:val="left"/>
      </w:pPr>
      <w:r>
        <w:rPr>
          <w:rFonts w:ascii="宋体" w:hAnsi="宋体" w:eastAsia="宋体" w:cs="Arial"/>
          <w:b w:val="0"/>
          <w:sz w:val="21"/>
        </w:rPr>
        <w:t>4. 明确硬件边界、降级方案及TR1—TR4验证计划。</w:t>
      </w:r>
    </w:p>
    <w:p w14:paraId="6FCF59BB">
      <w:pPr>
        <w:spacing w:before="120" w:after="60" w:line="324" w:lineRule="auto"/>
        <w:ind w:left="0"/>
        <w:jc w:val="left"/>
      </w:pPr>
      <w:r>
        <w:rPr>
          <w:rFonts w:ascii="宋体" w:hAnsi="宋体" w:eastAsia="宋体" w:cs="Arial"/>
          <w:b w:val="0"/>
          <w:sz w:val="21"/>
        </w:rPr>
        <w:t>5. 输出可供Charter引用的“条件可行”结论。</w:t>
      </w:r>
    </w:p>
    <w:p w14:paraId="6CAEC738">
      <w:pPr>
        <w:spacing w:before="120" w:after="100" w:line="288" w:lineRule="auto"/>
        <w:ind w:left="0"/>
        <w:jc w:val="left"/>
        <w:outlineLvl w:val="1"/>
      </w:pPr>
      <w:bookmarkStart w:id="6" w:name="heading_6"/>
      <w:r>
        <w:rPr>
          <w:rFonts w:ascii="黑体" w:hAnsi="黑体" w:eastAsia="黑体" w:cs="Arial"/>
          <w:b/>
          <w:sz w:val="24"/>
        </w:rPr>
        <w:t>2.3 预研范围</w:t>
      </w:r>
      <w:bookmarkEnd w:id="6"/>
    </w:p>
    <w:p w14:paraId="3E168CEA">
      <w:pPr>
        <w:spacing w:before="120" w:after="60" w:line="324" w:lineRule="auto"/>
        <w:ind w:left="0"/>
        <w:jc w:val="left"/>
      </w:pPr>
      <w:r>
        <w:rPr>
          <w:rFonts w:ascii="宋体" w:hAnsi="宋体" w:eastAsia="宋体" w:cs="Arial"/>
          <w:b w:val="0"/>
          <w:sz w:val="21"/>
        </w:rPr>
        <w:t>包含：RTSP视频接入、轻量检测跟踪、声学事件分类/声源方向、多传感时序采集、跨模态融合、云台复核、证据包、本地统计、轻量模型部署。</w:t>
      </w:r>
    </w:p>
    <w:p w14:paraId="4DFEB69C">
      <w:pPr>
        <w:spacing w:before="120" w:after="60" w:line="324" w:lineRule="auto"/>
        <w:ind w:left="0"/>
        <w:jc w:val="left"/>
      </w:pPr>
      <w:r>
        <w:rPr>
          <w:rFonts w:ascii="宋体" w:hAnsi="宋体" w:eastAsia="宋体" w:cs="Arial"/>
          <w:b w:val="0"/>
          <w:sz w:val="21"/>
        </w:rPr>
        <w:t>不包含：新增水质/水位/流速硬件，声光警灯，云端监管平台，自定义手机告警App，执法级判定，大规模模型训练和量产级户外可靠性认证。</w:t>
      </w:r>
    </w:p>
    <w:p w14:paraId="691D7D9E">
      <w:pPr>
        <w:spacing w:before="120" w:after="60" w:line="324" w:lineRule="auto"/>
        <w:ind w:left="0"/>
        <w:jc w:val="left"/>
      </w:pPr>
    </w:p>
    <w:p w14:paraId="095ADE8D">
      <w:pPr>
        <w:spacing w:before="120" w:after="100" w:line="288" w:lineRule="auto"/>
        <w:ind w:left="0"/>
        <w:jc w:val="left"/>
        <w:outlineLvl w:val="1"/>
      </w:pPr>
      <w:bookmarkStart w:id="7" w:name="heading_7"/>
      <w:r>
        <w:rPr>
          <w:rFonts w:ascii="黑体" w:hAnsi="黑体" w:eastAsia="黑体" w:cs="Arial"/>
          <w:b/>
          <w:sz w:val="24"/>
        </w:rPr>
        <w:t>2.4 预研依据</w:t>
      </w:r>
      <w:bookmarkEnd w:id="7"/>
    </w:p>
    <w:p w14:paraId="7A26295D">
      <w:pPr>
        <w:spacing w:before="120" w:after="60" w:line="324" w:lineRule="auto"/>
        <w:ind w:left="0"/>
        <w:jc w:val="left"/>
      </w:pPr>
      <w:r>
        <w:rPr>
          <w:rFonts w:ascii="宋体" w:hAnsi="宋体" w:eastAsia="宋体" w:cs="Arial"/>
          <w:b w:val="0"/>
          <w:sz w:val="21"/>
        </w:rPr>
        <w:t>依据《功能设计》、边缘计算终端模块V1.0产品白皮书、终端配套实验案例与开发环境说明。算法选型参考成熟开源实现，但具体版本、许可证和指标须在TR2登记。</w:t>
      </w:r>
    </w:p>
    <w:p w14:paraId="6FBD6287">
      <w:pPr>
        <w:spacing w:before="120" w:after="60" w:line="324" w:lineRule="auto"/>
        <w:ind w:left="0"/>
        <w:jc w:val="left"/>
      </w:pPr>
    </w:p>
    <w:p w14:paraId="637DFA76">
      <w:pPr>
        <w:spacing w:before="120" w:after="60" w:line="324" w:lineRule="auto"/>
        <w:ind w:left="0"/>
        <w:jc w:val="left"/>
      </w:pPr>
    </w:p>
    <w:p w14:paraId="7AAA100C">
      <w:pPr>
        <w:spacing w:before="200" w:after="100" w:line="288" w:lineRule="auto"/>
        <w:ind w:left="0"/>
        <w:jc w:val="left"/>
        <w:outlineLvl w:val="0"/>
      </w:pPr>
      <w:bookmarkStart w:id="8" w:name="heading_8"/>
      <w:r>
        <w:rPr>
          <w:rFonts w:ascii="黑体" w:hAnsi="黑体" w:eastAsia="黑体" w:cs="Arial"/>
          <w:b/>
          <w:sz w:val="30"/>
        </w:rPr>
        <w:t>3 项目关键技术难点识别</w:t>
      </w:r>
      <w:bookmarkEnd w:id="8"/>
    </w:p>
    <w:p w14:paraId="0FCB9686">
      <w:pPr>
        <w:spacing w:before="120" w:after="60" w:line="324" w:lineRule="auto"/>
        <w:ind w:left="0"/>
        <w:jc w:val="left"/>
      </w:pPr>
      <w:r>
        <w:rPr>
          <w:rFonts w:ascii="宋体" w:hAnsi="宋体" w:eastAsia="宋体" w:cs="Arial"/>
          <w:b w:val="0"/>
          <w:sz w:val="21"/>
        </w:rPr>
        <w:t>四项难点均直接影响核心创新链路：</w:t>
      </w:r>
    </w:p>
    <w:p w14:paraId="4F665603">
      <w:pPr>
        <w:spacing w:before="120" w:after="60" w:line="324" w:lineRule="auto"/>
        <w:ind w:left="0"/>
        <w:jc w:val="left"/>
      </w:pPr>
    </w:p>
    <w:p w14:paraId="238B9A21">
      <w:pPr>
        <w:spacing w:before="120" w:after="60" w:line="324" w:lineRule="auto"/>
        <w:ind w:left="0"/>
        <w:jc w:val="left"/>
      </w:pPr>
      <w:r>
        <w:rPr>
          <w:rFonts w:ascii="宋体" w:hAnsi="宋体" w:eastAsia="宋体" w:cs="Arial"/>
          <w:b w:val="0"/>
          <w:sz w:val="21"/>
        </w:rPr>
        <w:t>1. 8GB内存条件下视觉、声学和传感处理的并行调度与实时性。</w:t>
      </w:r>
    </w:p>
    <w:p w14:paraId="54C31B1F">
      <w:pPr>
        <w:spacing w:before="120" w:after="60" w:line="324" w:lineRule="auto"/>
        <w:ind w:left="0"/>
        <w:jc w:val="left"/>
      </w:pPr>
      <w:r>
        <w:rPr>
          <w:rFonts w:ascii="宋体" w:hAnsi="宋体" w:eastAsia="宋体" w:cs="Arial"/>
          <w:b w:val="0"/>
          <w:sz w:val="21"/>
        </w:rPr>
        <w:t>2. 异步多源数据的时间对齐、证据加权、风险分级和重复事件抑制。</w:t>
      </w:r>
    </w:p>
    <w:p w14:paraId="1A1A37A1">
      <w:pPr>
        <w:spacing w:before="120" w:after="60" w:line="324" w:lineRule="auto"/>
        <w:ind w:left="0"/>
        <w:jc w:val="left"/>
      </w:pPr>
      <w:r>
        <w:rPr>
          <w:rFonts w:ascii="宋体" w:hAnsi="宋体" w:eastAsia="宋体" w:cs="Arial"/>
          <w:b w:val="0"/>
          <w:sz w:val="21"/>
        </w:rPr>
        <w:t>3. 麦阵列声源角度到云台方位的标定、追踪和视觉复核。</w:t>
      </w:r>
    </w:p>
    <w:p w14:paraId="0CD2CD18">
      <w:pPr>
        <w:spacing w:before="120" w:after="60" w:line="324" w:lineRule="auto"/>
        <w:ind w:left="0"/>
        <w:jc w:val="left"/>
      </w:pPr>
      <w:r>
        <w:rPr>
          <w:rFonts w:ascii="宋体" w:hAnsi="宋体" w:eastAsia="宋体" w:cs="Arial"/>
          <w:b w:val="0"/>
          <w:sz w:val="21"/>
        </w:rPr>
        <w:t>4. 事件前后缓存、证据包一致性、可追溯归档及轻量模型迭代。</w:t>
      </w:r>
    </w:p>
    <w:p w14:paraId="6AE5121C">
      <w:pPr>
        <w:spacing w:before="200" w:after="100" w:line="288" w:lineRule="auto"/>
        <w:ind w:left="0"/>
        <w:jc w:val="left"/>
        <w:outlineLvl w:val="0"/>
      </w:pPr>
      <w:bookmarkStart w:id="9" w:name="heading_9"/>
      <w:r>
        <w:rPr>
          <w:rFonts w:ascii="黑体" w:hAnsi="黑体" w:eastAsia="黑体" w:cs="Arial"/>
          <w:b/>
          <w:sz w:val="30"/>
        </w:rPr>
        <w:t>4 关键技术专项预研验证（核心章节）</w:t>
      </w:r>
      <w:bookmarkEnd w:id="9"/>
    </w:p>
    <w:p w14:paraId="6A552913">
      <w:pPr>
        <w:spacing w:before="120" w:after="60" w:line="324" w:lineRule="auto"/>
        <w:ind w:left="0"/>
        <w:jc w:val="left"/>
      </w:pPr>
      <w:r>
        <w:rPr>
          <w:rFonts w:ascii="宋体" w:hAnsi="宋体" w:eastAsia="宋体" w:cs="Arial"/>
          <w:b w:val="0"/>
          <w:sz w:val="21"/>
        </w:rPr>
        <w:t>以下为规格核验结果和原型验证计划。凡未取得真实测试数据的指标均标注为“待实测”，不得作为已达成性能。</w:t>
      </w:r>
    </w:p>
    <w:p w14:paraId="38F4AD2C">
      <w:pPr>
        <w:spacing w:before="120" w:after="100" w:line="288" w:lineRule="auto"/>
        <w:ind w:left="0"/>
        <w:jc w:val="left"/>
        <w:outlineLvl w:val="1"/>
      </w:pPr>
      <w:bookmarkStart w:id="10" w:name="heading_10"/>
      <w:r>
        <w:rPr>
          <w:rFonts w:ascii="黑体" w:hAnsi="黑体" w:eastAsia="黑体" w:cs="Arial"/>
          <w:b/>
          <w:sz w:val="24"/>
        </w:rPr>
        <w:t>4.1 关键技术一：端侧轻量视觉检测与持续跟踪</w:t>
      </w:r>
      <w:bookmarkEnd w:id="10"/>
    </w:p>
    <w:p w14:paraId="65D30AF1">
      <w:pPr>
        <w:spacing w:before="120" w:after="60" w:line="324" w:lineRule="auto"/>
        <w:ind w:left="0"/>
        <w:jc w:val="left"/>
      </w:pPr>
      <w:r>
        <w:rPr>
          <w:rFonts w:ascii="宋体" w:hAnsi="宋体" w:eastAsia="宋体" w:cs="Arial"/>
          <w:b w:val="0"/>
          <w:sz w:val="21"/>
        </w:rPr>
        <w:t>1）预研目标：确认单路1080P RTSP输入下可完成典型河道目标检测、短时跟踪和事件去重。</w:t>
      </w:r>
    </w:p>
    <w:p w14:paraId="3B9DBC16">
      <w:pPr>
        <w:spacing w:before="120" w:after="60" w:line="324" w:lineRule="auto"/>
        <w:ind w:left="0"/>
        <w:jc w:val="left"/>
      </w:pPr>
      <w:r>
        <w:rPr>
          <w:rFonts w:ascii="宋体" w:hAnsi="宋体" w:eastAsia="宋体" w:cs="Arial"/>
          <w:b w:val="0"/>
          <w:sz w:val="21"/>
        </w:rPr>
        <w:t>验证风险：复杂水面反光、小目标、夜间红外和8GB内存限制。</w:t>
      </w:r>
    </w:p>
    <w:p w14:paraId="486F55A5">
      <w:pPr>
        <w:spacing w:before="120" w:after="60" w:line="324" w:lineRule="auto"/>
        <w:ind w:left="0"/>
        <w:jc w:val="left"/>
      </w:pPr>
      <w:r>
        <w:rPr>
          <w:rFonts w:ascii="宋体" w:hAnsi="宋体" w:eastAsia="宋体" w:cs="Arial"/>
          <w:b w:val="0"/>
          <w:sz w:val="21"/>
        </w:rPr>
        <w:t>2）方案：优先选用轻量YOLO类检测器并通过TensorRT/FP16部署；跟踪采用ByteTrack或DeepSORT候选对比；按风险类别建立ROI、持续时间和冷却规则。</w:t>
      </w:r>
    </w:p>
    <w:p w14:paraId="6CAFE548">
      <w:pPr>
        <w:spacing w:before="120" w:after="60" w:line="324" w:lineRule="auto"/>
        <w:ind w:left="0"/>
        <w:jc w:val="left"/>
      </w:pPr>
      <w:r>
        <w:rPr>
          <w:rFonts w:ascii="宋体" w:hAnsi="宋体" w:eastAsia="宋体" w:cs="Arial"/>
          <w:b w:val="0"/>
          <w:sz w:val="21"/>
        </w:rPr>
        <w:t>验证步骤：离线视频基准→RTSP实时输入→检测跟踪→事件触发→资源监控。</w:t>
      </w:r>
    </w:p>
    <w:p w14:paraId="77B97256">
      <w:pPr>
        <w:spacing w:before="120" w:after="60" w:line="324" w:lineRule="auto"/>
        <w:ind w:left="0"/>
        <w:jc w:val="left"/>
      </w:pPr>
      <w:r>
        <w:rPr>
          <w:rFonts w:ascii="宋体" w:hAnsi="宋体" w:eastAsia="宋体" w:cs="Arial"/>
          <w:b w:val="0"/>
          <w:sz w:val="21"/>
        </w:rPr>
        <w:t>3）环境：Jetson Orin Nano 8GB、40 TOPS；1080P RTSP摄像头；256GB SSD；具体JetPack/CUDA/TensorRT及模型版本在TR2登记。</w:t>
      </w:r>
    </w:p>
    <w:p w14:paraId="4CDB3402">
      <w:pPr>
        <w:spacing w:before="120" w:after="60" w:line="324" w:lineRule="auto"/>
        <w:ind w:left="0"/>
        <w:jc w:val="left"/>
      </w:pPr>
    </w:p>
    <w:p w14:paraId="282CADEE">
      <w:pPr>
        <w:spacing w:before="120" w:after="60" w:line="324" w:lineRule="auto"/>
        <w:ind w:left="0"/>
        <w:jc w:val="left"/>
      </w:pPr>
      <w:r>
        <w:rPr>
          <w:rFonts w:ascii="宋体" w:hAnsi="宋体" w:eastAsia="宋体" w:cs="Arial"/>
          <w:b w:val="0"/>
          <w:sz w:val="21"/>
        </w:rPr>
        <w:t>4）准入指标（待实测）：演示链路处理速度≥10 FPS；单帧推理P95≤100 ms；连续2小时无崩溃；核心演示类别在自建测试集上Precision、Recall均≥80%；同一目标重复告警率≤10%。</w:t>
      </w:r>
    </w:p>
    <w:p w14:paraId="69955A6B">
      <w:pPr>
        <w:spacing w:before="120" w:after="60" w:line="324" w:lineRule="auto"/>
        <w:ind w:left="0"/>
        <w:jc w:val="left"/>
      </w:pPr>
    </w:p>
    <w:p w14:paraId="35E37B5C">
      <w:pPr>
        <w:spacing w:before="120" w:after="60" w:line="324" w:lineRule="auto"/>
        <w:ind w:left="0"/>
        <w:jc w:val="left"/>
      </w:pPr>
      <w:r>
        <w:rPr>
          <w:rFonts w:ascii="宋体" w:hAnsi="宋体" w:eastAsia="宋体" w:cs="Arial"/>
          <w:b w:val="0"/>
          <w:sz w:val="21"/>
        </w:rPr>
        <w:t>5）已知问题：缺少真实河道标注集，油污/黑水与阴影反光易混淆。</w:t>
      </w:r>
    </w:p>
    <w:p w14:paraId="53F9973B">
      <w:pPr>
        <w:spacing w:before="120" w:after="60" w:line="324" w:lineRule="auto"/>
        <w:ind w:left="0"/>
        <w:jc w:val="left"/>
      </w:pPr>
    </w:p>
    <w:p w14:paraId="29265D82">
      <w:pPr>
        <w:spacing w:before="120" w:after="60" w:line="324" w:lineRule="auto"/>
        <w:ind w:left="0"/>
        <w:jc w:val="left"/>
      </w:pPr>
      <w:r>
        <w:rPr>
          <w:rFonts w:ascii="宋体" w:hAnsi="宋体" w:eastAsia="宋体" w:cs="Arial"/>
          <w:b w:val="0"/>
          <w:sz w:val="21"/>
        </w:rPr>
        <w:t>6）措施：一期限定人员、船只、漂浮物、明火等可视类别；黑水/油污只作疑似提示；难例回流标注；未达性能时降分辨率或降帧。</w:t>
      </w:r>
    </w:p>
    <w:p w14:paraId="6EECCAF6">
      <w:pPr>
        <w:spacing w:before="120" w:after="60" w:line="324" w:lineRule="auto"/>
        <w:ind w:left="0"/>
        <w:jc w:val="left"/>
      </w:pPr>
    </w:p>
    <w:p w14:paraId="7427C622">
      <w:pPr>
        <w:spacing w:before="120" w:after="60" w:line="324" w:lineRule="auto"/>
        <w:ind w:left="0"/>
        <w:jc w:val="left"/>
      </w:pPr>
      <w:r>
        <w:rPr>
          <w:rFonts w:ascii="宋体" w:hAnsi="宋体" w:eastAsia="宋体" w:cs="Arial"/>
          <w:b w:val="0"/>
          <w:sz w:val="21"/>
        </w:rPr>
        <w:t>7）结论：规格与方案条件可行，性能和精度待TR4实测。</w:t>
      </w:r>
    </w:p>
    <w:p w14:paraId="0DF616A5">
      <w:pPr>
        <w:spacing w:before="120" w:after="60" w:line="324" w:lineRule="auto"/>
        <w:ind w:left="0"/>
        <w:jc w:val="left"/>
      </w:pPr>
    </w:p>
    <w:p w14:paraId="19D8B43C">
      <w:pPr>
        <w:spacing w:before="120" w:after="100" w:line="288" w:lineRule="auto"/>
        <w:ind w:left="0"/>
        <w:jc w:val="left"/>
        <w:outlineLvl w:val="1"/>
      </w:pPr>
      <w:bookmarkStart w:id="11" w:name="heading_11"/>
      <w:r>
        <w:rPr>
          <w:rFonts w:ascii="黑体" w:hAnsi="黑体" w:eastAsia="黑体" w:cs="Arial"/>
          <w:b/>
          <w:sz w:val="24"/>
        </w:rPr>
        <w:t>4.2 关键技术二：多模态时间窗融合与事件状态机</w:t>
      </w:r>
      <w:bookmarkEnd w:id="11"/>
    </w:p>
    <w:p w14:paraId="28AC104C">
      <w:pPr>
        <w:spacing w:before="120" w:after="60" w:line="324" w:lineRule="auto"/>
        <w:ind w:left="0"/>
        <w:jc w:val="left"/>
      </w:pPr>
      <w:r>
        <w:rPr>
          <w:rFonts w:ascii="宋体" w:hAnsi="宋体" w:eastAsia="宋体" w:cs="Arial"/>
          <w:b w:val="0"/>
          <w:sz w:val="21"/>
        </w:rPr>
        <w:t>采用统一时间戳和滑动时间窗汇聚视觉、音频、TVOC、人体红外、火焰与光照信号；用可解释规则/加权评分输出四级风险；事件状态机管理“候选—确认—处置—关闭”，通过目标ID、区域和冷却时间抑制重复告警。准入目标：融合链路P95附加延迟≤500 ms；规则命中依据可追溯；同一事件证据完整率≥95%；相对单源基线误报率下降≥20%（待实测）。结论：条件可行。</w:t>
      </w:r>
    </w:p>
    <w:p w14:paraId="7D396932">
      <w:pPr>
        <w:spacing w:before="120" w:after="100" w:line="288" w:lineRule="auto"/>
        <w:ind w:left="0"/>
        <w:jc w:val="left"/>
        <w:outlineLvl w:val="1"/>
      </w:pPr>
      <w:bookmarkStart w:id="12" w:name="heading_12"/>
      <w:r>
        <w:rPr>
          <w:rFonts w:ascii="黑体" w:hAnsi="黑体" w:eastAsia="黑体" w:cs="Arial"/>
          <w:b/>
          <w:sz w:val="24"/>
        </w:rPr>
        <w:t>4.3 关键技术三：声源引导的云台主动复核</w:t>
      </w:r>
      <w:bookmarkEnd w:id="12"/>
    </w:p>
    <w:p w14:paraId="0ED40A50">
      <w:pPr>
        <w:spacing w:before="120" w:after="60" w:line="324" w:lineRule="auto"/>
        <w:ind w:left="0"/>
        <w:jc w:val="left"/>
      </w:pPr>
      <w:r>
        <w:rPr>
          <w:rFonts w:ascii="宋体" w:hAnsi="宋体" w:eastAsia="宋体" w:cs="Arial"/>
          <w:b w:val="0"/>
          <w:sz w:val="21"/>
        </w:rPr>
        <w:t>利用6麦阵列输出声源方向，经过安装偏角标定映射为云台目标方位；持续声学事件触发转向，摄像头在目标区域执行视觉复核和取证。需测试风噪、多声源和云台控制延迟。准入目标：安静室内/半开放模拟场景角度误差≤15°、云台开始响应≤2 s、有效目标进入画面成功率≥80%（均待实测）。超差时降级为“方向提示+人工转向”。结论：条件可行。</w:t>
      </w:r>
    </w:p>
    <w:p w14:paraId="455841C5">
      <w:pPr>
        <w:spacing w:before="120" w:after="100" w:line="288" w:lineRule="auto"/>
        <w:ind w:left="0"/>
        <w:jc w:val="left"/>
        <w:outlineLvl w:val="1"/>
      </w:pPr>
      <w:bookmarkStart w:id="13" w:name="heading_13"/>
      <w:r>
        <w:rPr>
          <w:rFonts w:ascii="黑体" w:hAnsi="黑体" w:eastAsia="黑体" w:cs="Arial"/>
          <w:b/>
          <w:sz w:val="24"/>
        </w:rPr>
        <w:t>4.4 关键技术四：风险证据包与本地模型迭代</w:t>
      </w:r>
      <w:bookmarkEnd w:id="13"/>
    </w:p>
    <w:p w14:paraId="19FA5A32">
      <w:pPr>
        <w:spacing w:before="120" w:after="60" w:line="324" w:lineRule="auto"/>
        <w:ind w:left="0"/>
        <w:jc w:val="left"/>
      </w:pPr>
      <w:r>
        <w:rPr>
          <w:rFonts w:ascii="宋体" w:hAnsi="宋体" w:eastAsia="宋体" w:cs="Arial"/>
          <w:b w:val="0"/>
          <w:sz w:val="21"/>
        </w:rPr>
        <w:t>采用环形缓存保存事件前后视频片段，将截图、音频摘要、传感时序、风险等级、规则依据和处置结果按事件ID写入SSD；建立校验字段和留存策略。误报/漏报进入标注工具，导出VOC等格式后进行轻量微调、量化与回归测试。准入目标：事件材料写入成功率≥99%、关键字段完整率100%、断电异常不破坏已关闭事件；模型更新必须通过旧/新版本回归对比。结论：条件可行。</w:t>
      </w:r>
    </w:p>
    <w:p w14:paraId="0A4497E7">
      <w:pPr>
        <w:spacing w:before="200" w:after="100" w:line="288" w:lineRule="auto"/>
        <w:ind w:left="0"/>
        <w:jc w:val="left"/>
        <w:outlineLvl w:val="0"/>
      </w:pPr>
      <w:bookmarkStart w:id="14" w:name="heading_14"/>
      <w:r>
        <w:rPr>
          <w:rFonts w:ascii="黑体" w:hAnsi="黑体" w:eastAsia="黑体" w:cs="Arial"/>
          <w:b/>
          <w:sz w:val="30"/>
        </w:rPr>
        <w:t>5 技术方案选型对比与固化结论</w:t>
      </w:r>
      <w:bookmarkEnd w:id="14"/>
    </w:p>
    <w:p w14:paraId="4A682C2D">
      <w:pPr>
        <w:spacing w:before="120" w:after="60" w:line="324" w:lineRule="auto"/>
        <w:ind w:left="0"/>
        <w:jc w:val="left"/>
      </w:pPr>
      <w:r>
        <w:rPr>
          <w:rFonts w:ascii="宋体" w:hAnsi="宋体" w:eastAsia="宋体" w:cs="Arial"/>
          <w:b w:val="0"/>
          <w:sz w:val="21"/>
        </w:rPr>
        <w:t>对一期原型的候选路线进行对比，优先选择资源可控、可解释、可离线部署的方案。</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66D2107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vAlign w:val="center"/>
          </w:tcPr>
          <w:p w14:paraId="3A7CA03B">
            <w:pPr>
              <w:spacing w:before="120" w:after="0" w:line="276" w:lineRule="auto"/>
              <w:ind w:left="0"/>
              <w:jc w:val="left"/>
            </w:pPr>
            <w:r>
              <w:rPr>
                <w:rFonts w:ascii="宋体" w:hAnsi="宋体" w:eastAsia="宋体" w:cs="Arial"/>
                <w:sz w:val="18"/>
              </w:rPr>
              <w:t>备选技术方案</w:t>
            </w:r>
          </w:p>
        </w:tc>
        <w:tc>
          <w:tcPr>
            <w:tcW w:w="1185" w:type="dxa"/>
            <w:tcMar>
              <w:top w:w="60" w:type="dxa"/>
              <w:left w:w="120" w:type="dxa"/>
              <w:bottom w:w="30" w:type="dxa"/>
              <w:right w:w="120" w:type="dxa"/>
            </w:tcMar>
            <w:vAlign w:val="center"/>
          </w:tcPr>
          <w:p w14:paraId="5CE61B00">
            <w:pPr>
              <w:spacing w:before="120" w:after="0" w:line="276" w:lineRule="auto"/>
              <w:ind w:left="0"/>
              <w:jc w:val="left"/>
            </w:pPr>
            <w:r>
              <w:rPr>
                <w:rFonts w:ascii="宋体" w:hAnsi="宋体" w:eastAsia="宋体" w:cs="Arial"/>
                <w:sz w:val="18"/>
              </w:rPr>
              <w:t>优势</w:t>
            </w:r>
          </w:p>
        </w:tc>
        <w:tc>
          <w:tcPr>
            <w:tcW w:w="1185" w:type="dxa"/>
            <w:tcMar>
              <w:top w:w="60" w:type="dxa"/>
              <w:left w:w="120" w:type="dxa"/>
              <w:bottom w:w="30" w:type="dxa"/>
              <w:right w:w="120" w:type="dxa"/>
            </w:tcMar>
            <w:vAlign w:val="center"/>
          </w:tcPr>
          <w:p w14:paraId="514E6371">
            <w:pPr>
              <w:spacing w:before="120" w:after="0" w:line="276" w:lineRule="auto"/>
              <w:ind w:left="0"/>
              <w:jc w:val="left"/>
            </w:pPr>
            <w:r>
              <w:rPr>
                <w:rFonts w:ascii="宋体" w:hAnsi="宋体" w:eastAsia="宋体" w:cs="Arial"/>
                <w:sz w:val="18"/>
              </w:rPr>
              <w:t>劣势</w:t>
            </w:r>
          </w:p>
        </w:tc>
        <w:tc>
          <w:tcPr>
            <w:tcW w:w="1185" w:type="dxa"/>
            <w:tcMar>
              <w:top w:w="60" w:type="dxa"/>
              <w:left w:w="120" w:type="dxa"/>
              <w:bottom w:w="30" w:type="dxa"/>
              <w:right w:w="120" w:type="dxa"/>
            </w:tcMar>
            <w:vAlign w:val="center"/>
          </w:tcPr>
          <w:p w14:paraId="5E2B2CDD">
            <w:pPr>
              <w:spacing w:before="120" w:after="0" w:line="276" w:lineRule="auto"/>
              <w:ind w:left="0"/>
              <w:jc w:val="left"/>
            </w:pPr>
            <w:r>
              <w:rPr>
                <w:rFonts w:ascii="宋体" w:hAnsi="宋体" w:eastAsia="宋体" w:cs="Arial"/>
                <w:sz w:val="18"/>
              </w:rPr>
              <w:t>性能表现</w:t>
            </w:r>
          </w:p>
        </w:tc>
        <w:tc>
          <w:tcPr>
            <w:tcW w:w="1185" w:type="dxa"/>
            <w:tcMar>
              <w:top w:w="60" w:type="dxa"/>
              <w:left w:w="120" w:type="dxa"/>
              <w:bottom w:w="30" w:type="dxa"/>
              <w:right w:w="120" w:type="dxa"/>
            </w:tcMar>
            <w:vAlign w:val="center"/>
          </w:tcPr>
          <w:p w14:paraId="68000514">
            <w:pPr>
              <w:spacing w:before="120" w:after="0" w:line="276" w:lineRule="auto"/>
              <w:ind w:left="0"/>
              <w:jc w:val="left"/>
            </w:pPr>
            <w:r>
              <w:rPr>
                <w:rFonts w:ascii="宋体" w:hAnsi="宋体" w:eastAsia="宋体" w:cs="Arial"/>
                <w:sz w:val="18"/>
              </w:rPr>
              <w:t>开发成本</w:t>
            </w:r>
          </w:p>
        </w:tc>
        <w:tc>
          <w:tcPr>
            <w:tcW w:w="1185" w:type="dxa"/>
            <w:tcMar>
              <w:top w:w="60" w:type="dxa"/>
              <w:left w:w="120" w:type="dxa"/>
              <w:bottom w:w="30" w:type="dxa"/>
              <w:right w:w="120" w:type="dxa"/>
            </w:tcMar>
            <w:vAlign w:val="center"/>
          </w:tcPr>
          <w:p w14:paraId="3E3661FA">
            <w:pPr>
              <w:spacing w:before="120" w:after="0" w:line="276" w:lineRule="auto"/>
              <w:ind w:left="0"/>
              <w:jc w:val="left"/>
            </w:pPr>
            <w:r>
              <w:rPr>
                <w:rFonts w:ascii="宋体" w:hAnsi="宋体" w:eastAsia="宋体" w:cs="Arial"/>
                <w:sz w:val="18"/>
              </w:rPr>
              <w:t>稳定性</w:t>
            </w:r>
          </w:p>
        </w:tc>
        <w:tc>
          <w:tcPr>
            <w:tcW w:w="1185" w:type="dxa"/>
            <w:tcMar>
              <w:top w:w="60" w:type="dxa"/>
              <w:left w:w="120" w:type="dxa"/>
              <w:bottom w:w="30" w:type="dxa"/>
              <w:right w:w="120" w:type="dxa"/>
            </w:tcMar>
            <w:vAlign w:val="center"/>
          </w:tcPr>
          <w:p w14:paraId="696FF196">
            <w:pPr>
              <w:spacing w:before="120" w:after="0" w:line="276" w:lineRule="auto"/>
              <w:ind w:left="0"/>
              <w:jc w:val="left"/>
            </w:pPr>
            <w:r>
              <w:rPr>
                <w:rFonts w:ascii="宋体" w:hAnsi="宋体" w:eastAsia="宋体" w:cs="Arial"/>
                <w:sz w:val="18"/>
              </w:rPr>
              <w:t>最终选择</w:t>
            </w:r>
          </w:p>
        </w:tc>
      </w:tr>
      <w:tr w14:paraId="344CD2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vAlign w:val="center"/>
          </w:tcPr>
          <w:p w14:paraId="6CB19AA1">
            <w:pPr>
              <w:spacing w:after="0" w:line="276" w:lineRule="auto"/>
            </w:pPr>
            <w:r>
              <w:rPr>
                <w:rFonts w:ascii="宋体" w:hAnsi="宋体" w:eastAsia="宋体"/>
                <w:sz w:val="18"/>
              </w:rPr>
              <w:t>轻量检测+ByteTrack</w:t>
            </w:r>
          </w:p>
        </w:tc>
        <w:tc>
          <w:tcPr>
            <w:tcW w:w="1185" w:type="dxa"/>
            <w:tcMar>
              <w:top w:w="60" w:type="dxa"/>
              <w:left w:w="120" w:type="dxa"/>
              <w:bottom w:w="30" w:type="dxa"/>
              <w:right w:w="120" w:type="dxa"/>
            </w:tcMar>
            <w:vAlign w:val="center"/>
          </w:tcPr>
          <w:p w14:paraId="04FCDFF6">
            <w:pPr>
              <w:spacing w:after="0" w:line="276" w:lineRule="auto"/>
            </w:pPr>
            <w:r>
              <w:rPr>
                <w:rFonts w:ascii="宋体" w:hAnsi="宋体" w:eastAsia="宋体"/>
                <w:sz w:val="18"/>
              </w:rPr>
              <w:t>资源较低、速度快</w:t>
            </w:r>
          </w:p>
        </w:tc>
        <w:tc>
          <w:tcPr>
            <w:tcW w:w="1185" w:type="dxa"/>
            <w:tcMar>
              <w:top w:w="60" w:type="dxa"/>
              <w:left w:w="120" w:type="dxa"/>
              <w:bottom w:w="30" w:type="dxa"/>
              <w:right w:w="120" w:type="dxa"/>
            </w:tcMar>
            <w:vAlign w:val="center"/>
          </w:tcPr>
          <w:p w14:paraId="7D0122F7">
            <w:pPr>
              <w:spacing w:after="0" w:line="276" w:lineRule="auto"/>
            </w:pPr>
            <w:r>
              <w:rPr>
                <w:rFonts w:ascii="宋体" w:hAnsi="宋体" w:eastAsia="宋体"/>
                <w:sz w:val="18"/>
              </w:rPr>
              <w:t>遮挡重识别弱</w:t>
            </w:r>
          </w:p>
        </w:tc>
        <w:tc>
          <w:tcPr>
            <w:tcW w:w="1185" w:type="dxa"/>
            <w:tcMar>
              <w:top w:w="60" w:type="dxa"/>
              <w:left w:w="120" w:type="dxa"/>
              <w:bottom w:w="30" w:type="dxa"/>
              <w:right w:w="120" w:type="dxa"/>
            </w:tcMar>
            <w:vAlign w:val="center"/>
          </w:tcPr>
          <w:p w14:paraId="6B093E77">
            <w:pPr>
              <w:spacing w:after="0" w:line="276" w:lineRule="auto"/>
            </w:pPr>
            <w:r>
              <w:rPr>
                <w:rFonts w:ascii="宋体" w:hAnsi="宋体" w:eastAsia="宋体"/>
                <w:sz w:val="18"/>
              </w:rPr>
              <w:t>目标≥10 FPS</w:t>
            </w:r>
          </w:p>
        </w:tc>
        <w:tc>
          <w:tcPr>
            <w:tcW w:w="1185" w:type="dxa"/>
            <w:tcMar>
              <w:top w:w="60" w:type="dxa"/>
              <w:left w:w="120" w:type="dxa"/>
              <w:bottom w:w="30" w:type="dxa"/>
              <w:right w:w="120" w:type="dxa"/>
            </w:tcMar>
            <w:vAlign w:val="center"/>
          </w:tcPr>
          <w:p w14:paraId="7DEE3BFC">
            <w:pPr>
              <w:spacing w:after="0" w:line="276" w:lineRule="auto"/>
            </w:pPr>
            <w:r>
              <w:rPr>
                <w:rFonts w:ascii="宋体" w:hAnsi="宋体" w:eastAsia="宋体"/>
                <w:sz w:val="18"/>
              </w:rPr>
              <w:t>中</w:t>
            </w:r>
          </w:p>
        </w:tc>
        <w:tc>
          <w:tcPr>
            <w:tcW w:w="1185" w:type="dxa"/>
            <w:tcMar>
              <w:top w:w="60" w:type="dxa"/>
              <w:left w:w="120" w:type="dxa"/>
              <w:bottom w:w="30" w:type="dxa"/>
              <w:right w:w="120" w:type="dxa"/>
            </w:tcMar>
            <w:vAlign w:val="center"/>
          </w:tcPr>
          <w:p w14:paraId="0FC0CA8A">
            <w:pPr>
              <w:spacing w:after="0" w:line="276" w:lineRule="auto"/>
            </w:pPr>
            <w:r>
              <w:rPr>
                <w:rFonts w:ascii="宋体" w:hAnsi="宋体" w:eastAsia="宋体"/>
                <w:sz w:val="18"/>
              </w:rPr>
              <w:t>较高</w:t>
            </w:r>
          </w:p>
        </w:tc>
        <w:tc>
          <w:tcPr>
            <w:tcW w:w="1185" w:type="dxa"/>
            <w:tcMar>
              <w:top w:w="60" w:type="dxa"/>
              <w:left w:w="120" w:type="dxa"/>
              <w:bottom w:w="30" w:type="dxa"/>
              <w:right w:w="120" w:type="dxa"/>
            </w:tcMar>
            <w:vAlign w:val="center"/>
          </w:tcPr>
          <w:p w14:paraId="2365EC19">
            <w:pPr>
              <w:spacing w:after="0" w:line="276" w:lineRule="auto"/>
            </w:pPr>
            <w:r>
              <w:rPr>
                <w:rFonts w:ascii="宋体" w:hAnsi="宋体" w:eastAsia="宋体"/>
                <w:sz w:val="18"/>
              </w:rPr>
              <w:t>是（优先）</w:t>
            </w:r>
          </w:p>
        </w:tc>
      </w:tr>
      <w:tr w14:paraId="327FC83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185" w:type="dxa"/>
            <w:tcMar>
              <w:top w:w="60" w:type="dxa"/>
              <w:left w:w="120" w:type="dxa"/>
              <w:bottom w:w="30" w:type="dxa"/>
              <w:right w:w="120" w:type="dxa"/>
            </w:tcMar>
            <w:vAlign w:val="center"/>
          </w:tcPr>
          <w:p w14:paraId="7C6FE7B6">
            <w:pPr>
              <w:spacing w:after="0" w:line="276" w:lineRule="auto"/>
            </w:pPr>
            <w:r>
              <w:rPr>
                <w:rFonts w:ascii="宋体" w:hAnsi="宋体" w:eastAsia="宋体"/>
                <w:sz w:val="18"/>
              </w:rPr>
              <w:t>轻量检测+DeepSORT</w:t>
            </w:r>
          </w:p>
        </w:tc>
        <w:tc>
          <w:tcPr>
            <w:tcW w:w="1185" w:type="dxa"/>
            <w:tcMar>
              <w:top w:w="60" w:type="dxa"/>
              <w:left w:w="120" w:type="dxa"/>
              <w:bottom w:w="30" w:type="dxa"/>
              <w:right w:w="120" w:type="dxa"/>
            </w:tcMar>
            <w:vAlign w:val="center"/>
          </w:tcPr>
          <w:p w14:paraId="14CB72A5">
            <w:pPr>
              <w:spacing w:after="0" w:line="276" w:lineRule="auto"/>
            </w:pPr>
            <w:r>
              <w:rPr>
                <w:rFonts w:ascii="宋体" w:hAnsi="宋体" w:eastAsia="宋体"/>
                <w:sz w:val="18"/>
              </w:rPr>
              <w:t>重识别能力较强</w:t>
            </w:r>
          </w:p>
        </w:tc>
        <w:tc>
          <w:tcPr>
            <w:tcW w:w="1185" w:type="dxa"/>
            <w:tcMar>
              <w:top w:w="60" w:type="dxa"/>
              <w:left w:w="120" w:type="dxa"/>
              <w:bottom w:w="30" w:type="dxa"/>
              <w:right w:w="120" w:type="dxa"/>
            </w:tcMar>
            <w:vAlign w:val="center"/>
          </w:tcPr>
          <w:p w14:paraId="176AA8FB">
            <w:pPr>
              <w:spacing w:after="0" w:line="276" w:lineRule="auto"/>
            </w:pPr>
            <w:r>
              <w:rPr>
                <w:rFonts w:ascii="宋体" w:hAnsi="宋体" w:eastAsia="宋体"/>
                <w:sz w:val="18"/>
              </w:rPr>
              <w:t>显存和计算开销较高</w:t>
            </w:r>
          </w:p>
        </w:tc>
        <w:tc>
          <w:tcPr>
            <w:tcW w:w="1185" w:type="dxa"/>
            <w:tcMar>
              <w:top w:w="60" w:type="dxa"/>
              <w:left w:w="120" w:type="dxa"/>
              <w:bottom w:w="30" w:type="dxa"/>
              <w:right w:w="120" w:type="dxa"/>
            </w:tcMar>
            <w:vAlign w:val="center"/>
          </w:tcPr>
          <w:p w14:paraId="414872C0">
            <w:pPr>
              <w:spacing w:after="0" w:line="276" w:lineRule="auto"/>
            </w:pPr>
            <w:r>
              <w:rPr>
                <w:rFonts w:ascii="宋体" w:hAnsi="宋体" w:eastAsia="宋体"/>
                <w:sz w:val="18"/>
              </w:rPr>
              <w:t>待同集对比</w:t>
            </w:r>
          </w:p>
        </w:tc>
        <w:tc>
          <w:tcPr>
            <w:tcW w:w="1185" w:type="dxa"/>
            <w:tcMar>
              <w:top w:w="60" w:type="dxa"/>
              <w:left w:w="120" w:type="dxa"/>
              <w:bottom w:w="30" w:type="dxa"/>
              <w:right w:w="120" w:type="dxa"/>
            </w:tcMar>
            <w:vAlign w:val="center"/>
          </w:tcPr>
          <w:p w14:paraId="2F74F356">
            <w:pPr>
              <w:spacing w:after="0" w:line="276" w:lineRule="auto"/>
            </w:pPr>
            <w:r>
              <w:rPr>
                <w:rFonts w:ascii="宋体" w:hAnsi="宋体" w:eastAsia="宋体"/>
                <w:sz w:val="18"/>
              </w:rPr>
              <w:t>较高</w:t>
            </w:r>
          </w:p>
        </w:tc>
        <w:tc>
          <w:tcPr>
            <w:tcW w:w="1185" w:type="dxa"/>
            <w:tcMar>
              <w:top w:w="60" w:type="dxa"/>
              <w:left w:w="120" w:type="dxa"/>
              <w:bottom w:w="30" w:type="dxa"/>
              <w:right w:w="120" w:type="dxa"/>
            </w:tcMar>
            <w:vAlign w:val="center"/>
          </w:tcPr>
          <w:p w14:paraId="6603E1BA">
            <w:pPr>
              <w:spacing w:after="0" w:line="276" w:lineRule="auto"/>
            </w:pPr>
            <w:r>
              <w:rPr>
                <w:rFonts w:ascii="宋体" w:hAnsi="宋体" w:eastAsia="宋体"/>
                <w:sz w:val="18"/>
              </w:rPr>
              <w:t>中</w:t>
            </w:r>
          </w:p>
        </w:tc>
        <w:tc>
          <w:tcPr>
            <w:tcW w:w="1185" w:type="dxa"/>
            <w:tcMar>
              <w:top w:w="60" w:type="dxa"/>
              <w:left w:w="120" w:type="dxa"/>
              <w:bottom w:w="30" w:type="dxa"/>
              <w:right w:w="120" w:type="dxa"/>
            </w:tcMar>
            <w:vAlign w:val="center"/>
          </w:tcPr>
          <w:p w14:paraId="38E88497">
            <w:pPr>
              <w:spacing w:after="0" w:line="276" w:lineRule="auto"/>
            </w:pPr>
            <w:r>
              <w:rPr>
                <w:rFonts w:ascii="宋体" w:hAnsi="宋体" w:eastAsia="宋体"/>
                <w:sz w:val="18"/>
              </w:rPr>
              <w:t>条件备选</w:t>
            </w:r>
          </w:p>
        </w:tc>
      </w:tr>
    </w:tbl>
    <w:p w14:paraId="1125FE3D">
      <w:pPr>
        <w:spacing w:before="120" w:after="60" w:line="324" w:lineRule="auto"/>
        <w:ind w:left="0"/>
        <w:jc w:val="left"/>
      </w:pPr>
      <w:r>
        <w:rPr>
          <w:rFonts w:ascii="宋体" w:hAnsi="宋体" w:eastAsia="宋体" w:cs="Arial"/>
          <w:b w:val="0"/>
          <w:sz w:val="21"/>
        </w:rPr>
        <w:t>最终固化技术路线总结：</w:t>
      </w:r>
    </w:p>
    <w:p w14:paraId="19C12FB5">
      <w:pPr>
        <w:spacing w:before="120" w:after="60" w:line="324" w:lineRule="auto"/>
        <w:ind w:left="0"/>
        <w:jc w:val="left"/>
      </w:pPr>
      <w:r>
        <w:rPr>
          <w:rFonts w:ascii="宋体" w:hAnsi="宋体" w:eastAsia="宋体" w:cs="Arial"/>
          <w:b w:val="0"/>
          <w:sz w:val="21"/>
        </w:rPr>
        <w:t>单路RTSP+轻量检测器+目标跟踪；麦阵列声学分类与方向估计；传感器时序采集；统一时间戳滑动窗；规则/加权评分融合；事件状态机去重；云台复核；SSD风险证据包；触控界面；Jupyter/标注工具支持轻量模型迭代。全流程端侧运行，不依赖云端。</w:t>
      </w:r>
    </w:p>
    <w:p w14:paraId="66F95007">
      <w:pPr>
        <w:spacing w:before="200" w:after="100" w:line="288" w:lineRule="auto"/>
        <w:ind w:left="0"/>
        <w:jc w:val="left"/>
        <w:outlineLvl w:val="0"/>
      </w:pPr>
      <w:bookmarkStart w:id="15" w:name="heading_15"/>
      <w:r>
        <w:rPr>
          <w:rFonts w:ascii="黑体" w:hAnsi="黑体" w:eastAsia="黑体" w:cs="Arial"/>
          <w:b/>
          <w:sz w:val="30"/>
        </w:rPr>
        <w:t>6 技术可行性整体评估</w:t>
      </w:r>
      <w:bookmarkEnd w:id="15"/>
    </w:p>
    <w:p w14:paraId="0BCD704A">
      <w:pPr>
        <w:spacing w:before="320" w:after="60" w:line="324" w:lineRule="auto"/>
        <w:ind w:left="0"/>
        <w:jc w:val="left"/>
        <w:outlineLvl w:val="1"/>
      </w:pPr>
      <w:bookmarkStart w:id="16" w:name="heading_16"/>
      <w:r>
        <w:rPr>
          <w:rFonts w:ascii="宋体" w:hAnsi="宋体" w:eastAsia="宋体" w:cs="Arial"/>
          <w:b w:val="0"/>
          <w:sz w:val="21"/>
        </w:rPr>
        <w:t>现有终端覆盖采集、推理、交互和存储基础，一期五项功能具备实现路径；水质/水位直接检测、外接声光警示和自定义手机推送不在能力边界内。</w:t>
      </w:r>
      <w:bookmarkEnd w:id="16"/>
    </w:p>
    <w:p w14:paraId="716388DD">
      <w:pPr>
        <w:spacing w:before="120" w:after="60" w:line="324" w:lineRule="auto"/>
        <w:ind w:left="0"/>
        <w:jc w:val="left"/>
      </w:pPr>
    </w:p>
    <w:p w14:paraId="519F0071">
      <w:pPr>
        <w:spacing w:before="200" w:after="100" w:line="288" w:lineRule="auto"/>
        <w:ind w:left="0"/>
        <w:jc w:val="left"/>
        <w:outlineLvl w:val="1"/>
      </w:pPr>
      <w:bookmarkStart w:id="17" w:name="heading_17"/>
      <w:r>
        <w:rPr>
          <w:rFonts w:ascii="黑体" w:hAnsi="黑体" w:eastAsia="黑体" w:cs="Arial"/>
          <w:b/>
          <w:sz w:val="30"/>
        </w:rPr>
        <w:t>40 TOPS算力具备轻量模型推理基础，但8GB内存和多任务竞争需实测。以≥10 FPS、P95推理≤100 ms、连续2小时稳定为原型准入目标，未达标时采用量化、降帧和任务调度。</w:t>
      </w:r>
      <w:bookmarkEnd w:id="17"/>
    </w:p>
    <w:p w14:paraId="54248F7C">
      <w:pPr>
        <w:spacing w:before="120" w:after="60" w:line="324" w:lineRule="auto"/>
        <w:ind w:left="0"/>
        <w:jc w:val="left"/>
      </w:pPr>
    </w:p>
    <w:p w14:paraId="6E959FCF">
      <w:pPr>
        <w:spacing w:before="320" w:after="60" w:line="324" w:lineRule="auto"/>
        <w:ind w:left="0"/>
        <w:jc w:val="left"/>
        <w:outlineLvl w:val="1"/>
      </w:pPr>
      <w:bookmarkStart w:id="18" w:name="heading_18"/>
      <w:r>
        <w:rPr>
          <w:rFonts w:ascii="宋体" w:hAnsi="宋体" w:eastAsia="宋体" w:cs="Arial"/>
          <w:b w:val="0"/>
          <w:sz w:val="21"/>
        </w:rPr>
        <w:t>通过进程守护、资源监控、环形缓存、异常恢复和长稳测试降低风险；量产级户外可靠性未纳入本次结论。</w:t>
      </w:r>
      <w:bookmarkEnd w:id="18"/>
    </w:p>
    <w:p w14:paraId="74BD96B8">
      <w:pPr>
        <w:spacing w:before="120" w:after="60" w:line="324" w:lineRule="auto"/>
        <w:ind w:left="0"/>
        <w:jc w:val="left"/>
      </w:pPr>
    </w:p>
    <w:p w14:paraId="0B692437">
      <w:pPr>
        <w:spacing w:before="320" w:after="60" w:line="324" w:lineRule="auto"/>
        <w:ind w:left="0"/>
        <w:jc w:val="left"/>
        <w:outlineLvl w:val="1"/>
      </w:pPr>
      <w:bookmarkStart w:id="19" w:name="heading_19"/>
      <w:r>
        <w:rPr>
          <w:rFonts w:ascii="宋体" w:hAnsi="宋体" w:eastAsia="宋体" w:cs="Arial"/>
          <w:b w:val="0"/>
          <w:sz w:val="21"/>
        </w:rPr>
        <w:t>8人、12周可完成受控范围原型；复用终端和开源框架，不使用常态云API。最大成本在样本采集、标注、集成和测试。</w:t>
      </w:r>
      <w:bookmarkEnd w:id="19"/>
    </w:p>
    <w:p w14:paraId="0F926A56">
      <w:pPr>
        <w:spacing w:before="120" w:after="60" w:line="324" w:lineRule="auto"/>
        <w:ind w:left="0"/>
        <w:jc w:val="left"/>
      </w:pPr>
    </w:p>
    <w:p w14:paraId="13FD8E69">
      <w:pPr>
        <w:spacing w:before="320" w:after="60" w:line="324" w:lineRule="auto"/>
        <w:ind w:left="0"/>
        <w:jc w:val="left"/>
        <w:outlineLvl w:val="1"/>
      </w:pPr>
      <w:bookmarkStart w:id="20" w:name="heading_20"/>
      <w:r>
        <w:rPr>
          <w:rFonts w:ascii="宋体" w:hAnsi="宋体" w:eastAsia="宋体" w:cs="Arial"/>
          <w:b w:val="0"/>
          <w:sz w:val="21"/>
        </w:rPr>
        <w:t>本地处理有利于降低数据外传，但仍须实施告知、最小化采集、分级权限、留存期限和操作日志；系统仅作风险辅助研判。</w:t>
      </w:r>
      <w:bookmarkEnd w:id="20"/>
    </w:p>
    <w:p w14:paraId="66A99FBA">
      <w:pPr>
        <w:spacing w:before="120" w:after="60" w:line="324" w:lineRule="auto"/>
        <w:ind w:left="0"/>
        <w:jc w:val="left"/>
      </w:pPr>
    </w:p>
    <w:p w14:paraId="78343E07">
      <w:pPr>
        <w:spacing w:before="200" w:after="100" w:line="288" w:lineRule="auto"/>
        <w:ind w:left="0"/>
        <w:jc w:val="left"/>
        <w:outlineLvl w:val="0"/>
      </w:pPr>
      <w:bookmarkStart w:id="21" w:name="heading_21"/>
      <w:r>
        <w:rPr>
          <w:rFonts w:ascii="黑体" w:hAnsi="黑体" w:eastAsia="黑体" w:cs="Arial"/>
          <w:b/>
          <w:sz w:val="30"/>
        </w:rPr>
        <w:t>7 遗留技术风险与落地约束</w:t>
      </w:r>
      <w:bookmarkEnd w:id="21"/>
    </w:p>
    <w:p w14:paraId="6A53D436">
      <w:pPr>
        <w:spacing w:before="120" w:after="60" w:line="324" w:lineRule="auto"/>
        <w:ind w:left="0"/>
        <w:jc w:val="left"/>
      </w:pPr>
      <w:r>
        <w:rPr>
          <w:rFonts w:ascii="宋体" w:hAnsi="宋体" w:eastAsia="宋体" w:cs="Arial"/>
          <w:b w:val="0"/>
          <w:sz w:val="21"/>
        </w:rPr>
        <w:t>遗留风险集中在真实河道数据不足、端侧并发性能、声源—云台标定和硬件能力边界。后续按TR2确定环境与基线、TR3完成模块设计、TR4用统一测试集和长稳测试闭环；任何未达指标项须记录降级或延期决策。</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6313681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vAlign w:val="center"/>
          </w:tcPr>
          <w:p w14:paraId="03FF35AC">
            <w:pPr>
              <w:spacing w:before="120" w:after="0" w:line="276" w:lineRule="auto"/>
              <w:ind w:left="0"/>
              <w:jc w:val="left"/>
            </w:pPr>
            <w:r>
              <w:rPr>
                <w:rFonts w:ascii="宋体" w:hAnsi="宋体" w:eastAsia="宋体" w:cs="Arial"/>
                <w:sz w:val="18"/>
              </w:rPr>
              <w:t>风险编号</w:t>
            </w:r>
          </w:p>
        </w:tc>
        <w:tc>
          <w:tcPr>
            <w:tcW w:w="1650" w:type="dxa"/>
            <w:tcMar>
              <w:top w:w="60" w:type="dxa"/>
              <w:left w:w="120" w:type="dxa"/>
              <w:bottom w:w="30" w:type="dxa"/>
              <w:right w:w="120" w:type="dxa"/>
            </w:tcMar>
            <w:vAlign w:val="center"/>
          </w:tcPr>
          <w:p w14:paraId="2C1B26BB">
            <w:pPr>
              <w:spacing w:before="120" w:after="0" w:line="276" w:lineRule="auto"/>
              <w:ind w:left="0"/>
              <w:jc w:val="left"/>
            </w:pPr>
            <w:r>
              <w:rPr>
                <w:rFonts w:ascii="宋体" w:hAnsi="宋体" w:eastAsia="宋体" w:cs="Arial"/>
                <w:sz w:val="18"/>
              </w:rPr>
              <w:t>遗留风险描述</w:t>
            </w:r>
          </w:p>
        </w:tc>
        <w:tc>
          <w:tcPr>
            <w:tcW w:w="1650" w:type="dxa"/>
            <w:tcMar>
              <w:top w:w="60" w:type="dxa"/>
              <w:left w:w="120" w:type="dxa"/>
              <w:bottom w:w="30" w:type="dxa"/>
              <w:right w:w="120" w:type="dxa"/>
            </w:tcMar>
            <w:vAlign w:val="center"/>
          </w:tcPr>
          <w:p w14:paraId="275FCAAC">
            <w:pPr>
              <w:spacing w:before="120" w:after="0" w:line="276" w:lineRule="auto"/>
              <w:ind w:left="0"/>
              <w:jc w:val="left"/>
            </w:pPr>
            <w:r>
              <w:rPr>
                <w:rFonts w:ascii="宋体" w:hAnsi="宋体" w:eastAsia="宋体" w:cs="Arial"/>
                <w:sz w:val="18"/>
              </w:rPr>
              <w:t>风险等级高/中/低</w:t>
            </w:r>
          </w:p>
        </w:tc>
        <w:tc>
          <w:tcPr>
            <w:tcW w:w="1650" w:type="dxa"/>
            <w:tcMar>
              <w:top w:w="60" w:type="dxa"/>
              <w:left w:w="120" w:type="dxa"/>
              <w:bottom w:w="30" w:type="dxa"/>
              <w:right w:w="120" w:type="dxa"/>
            </w:tcMar>
            <w:vAlign w:val="center"/>
          </w:tcPr>
          <w:p w14:paraId="6E9B36B0">
            <w:pPr>
              <w:spacing w:before="120" w:after="0" w:line="276" w:lineRule="auto"/>
              <w:ind w:left="0"/>
              <w:jc w:val="left"/>
            </w:pPr>
            <w:r>
              <w:rPr>
                <w:rFonts w:ascii="宋体" w:hAnsi="宋体" w:eastAsia="宋体" w:cs="Arial"/>
                <w:sz w:val="18"/>
              </w:rPr>
              <w:t>后续管控措施</w:t>
            </w:r>
          </w:p>
        </w:tc>
        <w:tc>
          <w:tcPr>
            <w:tcW w:w="1650" w:type="dxa"/>
            <w:tcMar>
              <w:top w:w="60" w:type="dxa"/>
              <w:left w:w="120" w:type="dxa"/>
              <w:bottom w:w="30" w:type="dxa"/>
              <w:right w:w="120" w:type="dxa"/>
            </w:tcMar>
            <w:vAlign w:val="center"/>
          </w:tcPr>
          <w:p w14:paraId="7DA5651F">
            <w:pPr>
              <w:spacing w:before="120" w:after="0" w:line="276" w:lineRule="auto"/>
              <w:ind w:left="0"/>
              <w:jc w:val="left"/>
            </w:pPr>
            <w:r>
              <w:rPr>
                <w:rFonts w:ascii="宋体" w:hAnsi="宋体" w:eastAsia="宋体" w:cs="Arial"/>
                <w:sz w:val="18"/>
              </w:rPr>
              <w:t>管控阶段TR1/TR2/TR3/TR4</w:t>
            </w:r>
          </w:p>
        </w:tc>
      </w:tr>
      <w:tr w14:paraId="5BB61A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vAlign w:val="center"/>
          </w:tcPr>
          <w:p w14:paraId="0EAB765E">
            <w:pPr>
              <w:spacing w:after="0" w:line="276" w:lineRule="auto"/>
            </w:pPr>
            <w:r>
              <w:rPr>
                <w:rFonts w:ascii="宋体" w:hAnsi="宋体" w:eastAsia="宋体"/>
                <w:sz w:val="18"/>
              </w:rPr>
              <w:t>T01</w:t>
            </w:r>
          </w:p>
        </w:tc>
        <w:tc>
          <w:tcPr>
            <w:tcW w:w="1650" w:type="dxa"/>
            <w:tcMar>
              <w:top w:w="60" w:type="dxa"/>
              <w:left w:w="120" w:type="dxa"/>
              <w:bottom w:w="30" w:type="dxa"/>
              <w:right w:w="120" w:type="dxa"/>
            </w:tcMar>
            <w:vAlign w:val="center"/>
          </w:tcPr>
          <w:p w14:paraId="68E8FB4B">
            <w:pPr>
              <w:spacing w:after="0" w:line="276" w:lineRule="auto"/>
            </w:pPr>
            <w:r>
              <w:rPr>
                <w:rFonts w:ascii="宋体" w:hAnsi="宋体" w:eastAsia="宋体"/>
                <w:sz w:val="18"/>
              </w:rPr>
              <w:t>真实河道样本不足导致精度不确定</w:t>
            </w:r>
          </w:p>
        </w:tc>
        <w:tc>
          <w:tcPr>
            <w:tcW w:w="1650" w:type="dxa"/>
            <w:tcMar>
              <w:top w:w="60" w:type="dxa"/>
              <w:left w:w="120" w:type="dxa"/>
              <w:bottom w:w="30" w:type="dxa"/>
              <w:right w:w="120" w:type="dxa"/>
            </w:tcMar>
            <w:vAlign w:val="center"/>
          </w:tcPr>
          <w:p w14:paraId="71759B78">
            <w:pPr>
              <w:spacing w:after="0" w:line="276" w:lineRule="auto"/>
            </w:pPr>
            <w:r>
              <w:rPr>
                <w:rFonts w:ascii="宋体" w:hAnsi="宋体" w:eastAsia="宋体"/>
                <w:sz w:val="18"/>
              </w:rPr>
              <w:t>高</w:t>
            </w:r>
          </w:p>
        </w:tc>
        <w:tc>
          <w:tcPr>
            <w:tcW w:w="1650" w:type="dxa"/>
            <w:tcMar>
              <w:top w:w="60" w:type="dxa"/>
              <w:left w:w="120" w:type="dxa"/>
              <w:bottom w:w="30" w:type="dxa"/>
              <w:right w:w="120" w:type="dxa"/>
            </w:tcMar>
            <w:vAlign w:val="center"/>
          </w:tcPr>
          <w:p w14:paraId="60590968">
            <w:pPr>
              <w:spacing w:after="0" w:line="276" w:lineRule="auto"/>
            </w:pPr>
            <w:r>
              <w:rPr>
                <w:rFonts w:ascii="宋体" w:hAnsi="宋体" w:eastAsia="宋体"/>
                <w:sz w:val="18"/>
              </w:rPr>
              <w:t>采样、难例回流、限定一期类别</w:t>
            </w:r>
          </w:p>
        </w:tc>
        <w:tc>
          <w:tcPr>
            <w:tcW w:w="1650" w:type="dxa"/>
            <w:tcMar>
              <w:top w:w="60" w:type="dxa"/>
              <w:left w:w="120" w:type="dxa"/>
              <w:bottom w:w="30" w:type="dxa"/>
              <w:right w:w="120" w:type="dxa"/>
            </w:tcMar>
            <w:vAlign w:val="center"/>
          </w:tcPr>
          <w:p w14:paraId="7CCF5839">
            <w:pPr>
              <w:spacing w:after="0" w:line="276" w:lineRule="auto"/>
            </w:pPr>
            <w:r>
              <w:rPr>
                <w:rFonts w:ascii="宋体" w:hAnsi="宋体" w:eastAsia="宋体"/>
                <w:sz w:val="18"/>
              </w:rPr>
              <w:t>TR1/TR4</w:t>
            </w:r>
          </w:p>
        </w:tc>
      </w:tr>
      <w:tr w14:paraId="73807E2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vAlign w:val="center"/>
          </w:tcPr>
          <w:p w14:paraId="5D0F6785">
            <w:pPr>
              <w:spacing w:after="0" w:line="276" w:lineRule="auto"/>
            </w:pPr>
            <w:r>
              <w:rPr>
                <w:rFonts w:ascii="宋体" w:hAnsi="宋体" w:eastAsia="宋体"/>
                <w:sz w:val="18"/>
              </w:rPr>
              <w:t>T02</w:t>
            </w:r>
          </w:p>
        </w:tc>
        <w:tc>
          <w:tcPr>
            <w:tcW w:w="1650" w:type="dxa"/>
            <w:vAlign w:val="center"/>
          </w:tcPr>
          <w:p w14:paraId="1F73B72B">
            <w:pPr>
              <w:spacing w:after="0" w:line="276" w:lineRule="auto"/>
            </w:pPr>
            <w:r>
              <w:rPr>
                <w:rFonts w:ascii="宋体" w:hAnsi="宋体" w:eastAsia="宋体"/>
                <w:sz w:val="18"/>
              </w:rPr>
              <w:t>8GB内存下多模型并发性能不足</w:t>
            </w:r>
          </w:p>
        </w:tc>
        <w:tc>
          <w:tcPr>
            <w:tcW w:w="1650" w:type="dxa"/>
            <w:vAlign w:val="center"/>
          </w:tcPr>
          <w:p w14:paraId="5A00B415">
            <w:pPr>
              <w:spacing w:after="0" w:line="276" w:lineRule="auto"/>
            </w:pPr>
            <w:r>
              <w:rPr>
                <w:rFonts w:ascii="宋体" w:hAnsi="宋体" w:eastAsia="宋体"/>
                <w:sz w:val="18"/>
              </w:rPr>
              <w:t>高</w:t>
            </w:r>
          </w:p>
        </w:tc>
        <w:tc>
          <w:tcPr>
            <w:tcW w:w="1650" w:type="dxa"/>
            <w:vAlign w:val="center"/>
          </w:tcPr>
          <w:p w14:paraId="2A1F1D22">
            <w:pPr>
              <w:spacing w:after="0" w:line="276" w:lineRule="auto"/>
            </w:pPr>
            <w:r>
              <w:rPr>
                <w:rFonts w:ascii="宋体" w:hAnsi="宋体" w:eastAsia="宋体"/>
                <w:sz w:val="18"/>
              </w:rPr>
              <w:t>量化、降帧、调度与资源门</w:t>
            </w:r>
          </w:p>
        </w:tc>
        <w:tc>
          <w:tcPr>
            <w:tcW w:w="1650" w:type="dxa"/>
            <w:vAlign w:val="center"/>
          </w:tcPr>
          <w:p w14:paraId="4A5B7E7D">
            <w:pPr>
              <w:spacing w:after="0" w:line="276" w:lineRule="auto"/>
            </w:pPr>
            <w:r>
              <w:rPr>
                <w:rFonts w:ascii="宋体" w:hAnsi="宋体" w:eastAsia="宋体"/>
                <w:sz w:val="18"/>
              </w:rPr>
              <w:t>TR2/TR4</w:t>
            </w:r>
          </w:p>
        </w:tc>
      </w:tr>
      <w:tr w14:paraId="3BAD2C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vAlign w:val="center"/>
          </w:tcPr>
          <w:p w14:paraId="47D1C4D2">
            <w:pPr>
              <w:spacing w:after="0" w:line="276" w:lineRule="auto"/>
            </w:pPr>
            <w:r>
              <w:rPr>
                <w:rFonts w:ascii="宋体" w:hAnsi="宋体" w:eastAsia="宋体"/>
                <w:sz w:val="18"/>
              </w:rPr>
              <w:t>T03</w:t>
            </w:r>
          </w:p>
        </w:tc>
        <w:tc>
          <w:tcPr>
            <w:tcW w:w="1650" w:type="dxa"/>
            <w:vAlign w:val="center"/>
          </w:tcPr>
          <w:p w14:paraId="21BA9A34">
            <w:pPr>
              <w:spacing w:after="0" w:line="276" w:lineRule="auto"/>
            </w:pPr>
            <w:r>
              <w:rPr>
                <w:rFonts w:ascii="宋体" w:hAnsi="宋体" w:eastAsia="宋体"/>
                <w:sz w:val="18"/>
              </w:rPr>
              <w:t>声源到云台映射误差</w:t>
            </w:r>
          </w:p>
        </w:tc>
        <w:tc>
          <w:tcPr>
            <w:tcW w:w="1650" w:type="dxa"/>
            <w:vAlign w:val="center"/>
          </w:tcPr>
          <w:p w14:paraId="4778ACB4">
            <w:pPr>
              <w:spacing w:after="0" w:line="276" w:lineRule="auto"/>
            </w:pPr>
            <w:r>
              <w:rPr>
                <w:rFonts w:ascii="宋体" w:hAnsi="宋体" w:eastAsia="宋体"/>
                <w:sz w:val="18"/>
              </w:rPr>
              <w:t>中</w:t>
            </w:r>
          </w:p>
        </w:tc>
        <w:tc>
          <w:tcPr>
            <w:tcW w:w="1650" w:type="dxa"/>
            <w:vAlign w:val="center"/>
          </w:tcPr>
          <w:p w14:paraId="5E769EF6">
            <w:pPr>
              <w:spacing w:after="0" w:line="276" w:lineRule="auto"/>
            </w:pPr>
            <w:r>
              <w:rPr>
                <w:rFonts w:ascii="宋体" w:hAnsi="宋体" w:eastAsia="宋体"/>
                <w:sz w:val="18"/>
              </w:rPr>
              <w:t>安装标定、方向提示降级</w:t>
            </w:r>
          </w:p>
        </w:tc>
        <w:tc>
          <w:tcPr>
            <w:tcW w:w="1650" w:type="dxa"/>
            <w:vAlign w:val="center"/>
          </w:tcPr>
          <w:p w14:paraId="5D4EB4DC">
            <w:pPr>
              <w:spacing w:after="0" w:line="276" w:lineRule="auto"/>
            </w:pPr>
            <w:r>
              <w:rPr>
                <w:rFonts w:ascii="宋体" w:hAnsi="宋体" w:eastAsia="宋体"/>
                <w:sz w:val="18"/>
              </w:rPr>
              <w:t>TR3/TR5</w:t>
            </w:r>
          </w:p>
        </w:tc>
      </w:tr>
      <w:tr w14:paraId="269E32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vAlign w:val="center"/>
          </w:tcPr>
          <w:p w14:paraId="342EA93A">
            <w:pPr>
              <w:spacing w:after="0" w:line="276" w:lineRule="auto"/>
            </w:pPr>
            <w:r>
              <w:rPr>
                <w:rFonts w:ascii="宋体" w:hAnsi="宋体" w:eastAsia="宋体"/>
                <w:sz w:val="18"/>
              </w:rPr>
              <w:t>T04</w:t>
            </w:r>
          </w:p>
        </w:tc>
        <w:tc>
          <w:tcPr>
            <w:tcW w:w="1650" w:type="dxa"/>
            <w:vAlign w:val="center"/>
          </w:tcPr>
          <w:p w14:paraId="6BB0583B">
            <w:pPr>
              <w:spacing w:after="0" w:line="276" w:lineRule="auto"/>
            </w:pPr>
            <w:r>
              <w:rPr>
                <w:rFonts w:ascii="宋体" w:hAnsi="宋体" w:eastAsia="宋体"/>
                <w:sz w:val="18"/>
              </w:rPr>
              <w:t>视频/音频采集合规风险</w:t>
            </w:r>
          </w:p>
        </w:tc>
        <w:tc>
          <w:tcPr>
            <w:tcW w:w="1650" w:type="dxa"/>
            <w:vAlign w:val="center"/>
          </w:tcPr>
          <w:p w14:paraId="704B0A69">
            <w:pPr>
              <w:spacing w:after="0" w:line="276" w:lineRule="auto"/>
            </w:pPr>
            <w:r>
              <w:rPr>
                <w:rFonts w:ascii="宋体" w:hAnsi="宋体" w:eastAsia="宋体"/>
                <w:sz w:val="18"/>
              </w:rPr>
              <w:t>中</w:t>
            </w:r>
          </w:p>
        </w:tc>
        <w:tc>
          <w:tcPr>
            <w:tcW w:w="1650" w:type="dxa"/>
            <w:vAlign w:val="center"/>
          </w:tcPr>
          <w:p w14:paraId="02E94CB5">
            <w:pPr>
              <w:spacing w:after="0" w:line="276" w:lineRule="auto"/>
            </w:pPr>
            <w:r>
              <w:rPr>
                <w:rFonts w:ascii="宋体" w:hAnsi="宋体" w:eastAsia="宋体"/>
                <w:sz w:val="18"/>
              </w:rPr>
              <w:t>告知、权限、留存和日志</w:t>
            </w:r>
          </w:p>
        </w:tc>
        <w:tc>
          <w:tcPr>
            <w:tcW w:w="1650" w:type="dxa"/>
            <w:vAlign w:val="center"/>
          </w:tcPr>
          <w:p w14:paraId="785B6780">
            <w:pPr>
              <w:spacing w:after="0" w:line="276" w:lineRule="auto"/>
            </w:pPr>
            <w:r>
              <w:rPr>
                <w:rFonts w:ascii="宋体" w:hAnsi="宋体" w:eastAsia="宋体"/>
                <w:sz w:val="18"/>
              </w:rPr>
              <w:t>TR1/TR6</w:t>
            </w:r>
          </w:p>
        </w:tc>
      </w:tr>
    </w:tbl>
    <w:p w14:paraId="440C634A">
      <w:pPr>
        <w:spacing w:before="200" w:after="100" w:line="288" w:lineRule="auto"/>
        <w:ind w:left="0"/>
        <w:jc w:val="left"/>
        <w:outlineLvl w:val="0"/>
      </w:pPr>
      <w:bookmarkStart w:id="22" w:name="heading_22"/>
      <w:r>
        <w:rPr>
          <w:rFonts w:ascii="黑体" w:hAnsi="黑体" w:eastAsia="黑体" w:cs="Arial"/>
          <w:b/>
          <w:sz w:val="30"/>
        </w:rPr>
        <w:t>8 预研结论与立项/开发建议</w:t>
      </w:r>
      <w:bookmarkEnd w:id="22"/>
    </w:p>
    <w:p w14:paraId="7A07A383">
      <w:pPr>
        <w:spacing w:before="120" w:after="100" w:line="288" w:lineRule="auto"/>
        <w:ind w:left="0"/>
        <w:jc w:val="left"/>
        <w:outlineLvl w:val="1"/>
      </w:pPr>
      <w:bookmarkStart w:id="23" w:name="heading_23"/>
      <w:r>
        <w:rPr>
          <w:rFonts w:ascii="黑体" w:hAnsi="黑体" w:eastAsia="黑体" w:cs="Arial"/>
          <w:b/>
          <w:sz w:val="24"/>
        </w:rPr>
        <w:t>8.1 整体预研结论</w:t>
      </w:r>
      <w:bookmarkEnd w:id="23"/>
    </w:p>
    <w:p w14:paraId="3457BED6">
      <w:pPr>
        <w:spacing w:before="120" w:after="60" w:line="324" w:lineRule="auto"/>
        <w:ind w:left="0"/>
        <w:jc w:val="left"/>
      </w:pPr>
      <w:r>
        <w:rPr>
          <w:rFonts w:ascii="宋体" w:hAnsi="宋体" w:eastAsia="宋体" w:cs="Arial"/>
          <w:b w:val="0"/>
          <w:sz w:val="21"/>
        </w:rPr>
        <w:t>四项关键技术从规格和架构角度均具备实现路径，但尚未完成真实河道实测，因此总体结论为“条件可行”，不是“全部验证通过”。满足本文准入门槛并完成风险闭环后，方可进入系统集成。</w:t>
      </w:r>
    </w:p>
    <w:p w14:paraId="019253A1">
      <w:pPr>
        <w:spacing w:before="120" w:after="100" w:line="288" w:lineRule="auto"/>
        <w:ind w:left="0"/>
        <w:jc w:val="left"/>
        <w:outlineLvl w:val="1"/>
      </w:pPr>
      <w:bookmarkStart w:id="24" w:name="heading_24"/>
      <w:r>
        <w:rPr>
          <w:rFonts w:ascii="黑体" w:hAnsi="黑体" w:eastAsia="黑体" w:cs="Arial"/>
          <w:b/>
          <w:sz w:val="24"/>
        </w:rPr>
        <w:t>8.2 IPD流程准入建议</w:t>
      </w:r>
      <w:bookmarkEnd w:id="24"/>
    </w:p>
    <w:p w14:paraId="28687910">
      <w:pPr>
        <w:spacing w:before="120" w:after="60" w:line="324" w:lineRule="auto"/>
        <w:ind w:left="0"/>
        <w:jc w:val="left"/>
      </w:pPr>
      <w:r>
        <w:rPr>
          <w:rFonts w:ascii="宋体" w:hAnsi="宋体" w:eastAsia="宋体" w:cs="Arial"/>
          <w:b w:val="0"/>
          <w:sz w:val="21"/>
        </w:rPr>
        <w:t>☑ 建议有条件立项：允许进入需求和原型阶段，并将TR2—TR4实测作为继续投入条件。</w:t>
      </w:r>
    </w:p>
    <w:p w14:paraId="196742BE">
      <w:pPr>
        <w:spacing w:before="120" w:after="60" w:line="324" w:lineRule="auto"/>
        <w:ind w:left="0"/>
        <w:jc w:val="left"/>
      </w:pPr>
      <w:r>
        <w:rPr>
          <w:rFonts w:ascii="宋体" w:hAnsi="宋体" w:eastAsia="宋体" w:cs="Arial"/>
          <w:b w:val="0"/>
          <w:sz w:val="21"/>
        </w:rPr>
        <w:t>□ 暂缓立项：若无法获得代表性样本或端侧性能明显低于门槛，则补充预研。</w:t>
      </w:r>
    </w:p>
    <w:p w14:paraId="4D84CA34">
      <w:pPr>
        <w:spacing w:before="120" w:after="60" w:line="324" w:lineRule="auto"/>
        <w:ind w:left="0"/>
        <w:jc w:val="left"/>
      </w:pPr>
      <w:r>
        <w:rPr>
          <w:rFonts w:ascii="宋体" w:hAnsi="宋体" w:eastAsia="宋体" w:cs="Arial"/>
          <w:b w:val="0"/>
          <w:sz w:val="21"/>
        </w:rPr>
        <w:t>□ 终止立项：若核心声源复核或事件闭环在限定硬件上不可实现且无可接受降级方案。</w:t>
      </w:r>
    </w:p>
    <w:p w14:paraId="79107878">
      <w:pPr>
        <w:spacing w:before="200" w:after="100" w:line="288" w:lineRule="auto"/>
        <w:ind w:left="0"/>
        <w:jc w:val="left"/>
        <w:outlineLvl w:val="0"/>
      </w:pPr>
      <w:bookmarkStart w:id="25" w:name="heading_25"/>
      <w:r>
        <w:rPr>
          <w:rFonts w:ascii="黑体" w:hAnsi="黑体" w:eastAsia="黑体" w:cs="Arial"/>
          <w:b/>
          <w:sz w:val="30"/>
        </w:rPr>
        <w:t>9 附件清单</w:t>
      </w:r>
      <w:bookmarkEnd w:id="25"/>
    </w:p>
    <w:p w14:paraId="44F05AA3">
      <w:pPr>
        <w:spacing w:before="120" w:after="60" w:line="324" w:lineRule="auto"/>
        <w:ind w:left="0"/>
        <w:jc w:val="left"/>
      </w:pPr>
      <w:r>
        <w:rPr>
          <w:rFonts w:ascii="宋体" w:hAnsi="宋体" w:eastAsia="宋体" w:cs="Arial"/>
          <w:b w:val="0"/>
          <w:sz w:val="21"/>
        </w:rPr>
        <w:t>附件1：终端规格核验表及接口清单（待整理）</w:t>
      </w:r>
    </w:p>
    <w:p w14:paraId="45009B8A">
      <w:pPr>
        <w:spacing w:before="120" w:after="60" w:line="324" w:lineRule="auto"/>
        <w:ind w:left="0"/>
        <w:jc w:val="left"/>
      </w:pPr>
      <w:r>
        <w:rPr>
          <w:rFonts w:ascii="宋体" w:hAnsi="宋体" w:eastAsia="宋体" w:cs="Arial"/>
          <w:b w:val="0"/>
          <w:sz w:val="21"/>
        </w:rPr>
        <w:t>附件2：关键技术原型测试记录表（TR4填写）</w:t>
      </w:r>
    </w:p>
    <w:p w14:paraId="389138EB">
      <w:pPr>
        <w:spacing w:before="120" w:after="60" w:line="324" w:lineRule="auto"/>
        <w:ind w:left="0"/>
        <w:jc w:val="left"/>
      </w:pPr>
      <w:r>
        <w:rPr>
          <w:rFonts w:ascii="宋体" w:hAnsi="宋体" w:eastAsia="宋体" w:cs="Arial"/>
          <w:b w:val="0"/>
          <w:sz w:val="21"/>
        </w:rPr>
        <w:t>附件3：模型候选与许可证对比表（TR2填写）</w:t>
      </w:r>
    </w:p>
    <w:p w14:paraId="559A7344">
      <w:pPr>
        <w:spacing w:before="120" w:after="60" w:line="324" w:lineRule="auto"/>
        <w:ind w:left="0"/>
        <w:jc w:val="left"/>
      </w:pPr>
      <w:r>
        <w:rPr>
          <w:rFonts w:ascii="宋体" w:hAnsi="宋体" w:eastAsia="宋体" w:cs="Arial"/>
          <w:b w:val="0"/>
          <w:sz w:val="21"/>
        </w:rPr>
        <w:t>附件4：河道数据采集与标注规范（待编制）</w:t>
      </w:r>
    </w:p>
    <w:p w14:paraId="66165BE5">
      <w:pPr>
        <w:spacing w:before="120" w:after="60" w:line="324" w:lineRule="auto"/>
        <w:ind w:left="0"/>
        <w:jc w:val="left"/>
      </w:pPr>
      <w:r>
        <w:rPr>
          <w:rFonts w:ascii="宋体" w:hAnsi="宋体" w:eastAsia="宋体" w:cs="Arial"/>
          <w:b w:val="0"/>
          <w:sz w:val="21"/>
        </w:rPr>
        <w:t>附件5：《功能设计》与产品白皮书</w:t>
      </w:r>
    </w:p>
    <w:p w14:paraId="3666541D">
      <w:pPr>
        <w:pBdr>
          <w:bottom w:val="single" w:color="DEE0E3" w:sz="2" w:space="0"/>
          <w:between w:val="single" w:color="DEE0E3" w:sz="2" w:space="0"/>
        </w:pBdr>
        <w:spacing w:before="120" w:after="60" w:line="324" w:lineRule="auto"/>
        <w:ind w:left="0"/>
      </w:pPr>
    </w:p>
    <w:p w14:paraId="796A5900">
      <w:pPr>
        <w:spacing w:before="380" w:after="60" w:line="324" w:lineRule="auto"/>
        <w:ind w:left="0"/>
        <w:jc w:val="left"/>
        <w:outlineLvl w:val="0"/>
      </w:pPr>
      <w:bookmarkStart w:id="26" w:name="heading_26"/>
      <w:r>
        <w:rPr>
          <w:rFonts w:ascii="宋体" w:hAnsi="宋体" w:eastAsia="宋体" w:cs="Arial"/>
          <w:b w:val="0"/>
          <w:sz w:val="21"/>
        </w:rPr>
        <w:t>审批签字栏</w:t>
      </w:r>
      <w:bookmarkEnd w:id="26"/>
    </w:p>
    <w:p w14:paraId="224C8E8E">
      <w:pPr>
        <w:spacing w:before="120" w:after="60" w:line="324" w:lineRule="auto"/>
        <w:ind w:left="0"/>
        <w:jc w:val="left"/>
      </w:pPr>
      <w:r>
        <w:rPr>
          <w:rFonts w:ascii="宋体" w:hAnsi="宋体" w:eastAsia="宋体" w:cs="Arial"/>
          <w:b w:val="0"/>
          <w:sz w:val="21"/>
        </w:rPr>
        <w:t>预研负责人签字：__________ 日期：__________</w:t>
      </w:r>
    </w:p>
    <w:p w14:paraId="6F8C5F3A">
      <w:pPr>
        <w:spacing w:before="120" w:after="60" w:line="324" w:lineRule="auto"/>
        <w:ind w:left="0"/>
        <w:jc w:val="left"/>
      </w:pPr>
      <w:r>
        <w:rPr>
          <w:rFonts w:ascii="宋体" w:hAnsi="宋体" w:eastAsia="宋体" w:cs="Arial"/>
          <w:b w:val="0"/>
          <w:sz w:val="21"/>
        </w:rPr>
        <w:t>系统架构师签字：__________ 日期：__________</w:t>
      </w:r>
    </w:p>
    <w:p w14:paraId="1DCEF741">
      <w:pPr>
        <w:spacing w:before="120" w:after="60" w:line="324" w:lineRule="auto"/>
        <w:ind w:left="0"/>
        <w:jc w:val="left"/>
      </w:pPr>
      <w:r>
        <w:rPr>
          <w:rFonts w:ascii="宋体" w:hAnsi="宋体" w:eastAsia="宋体" w:cs="Arial"/>
          <w:b w:val="0"/>
          <w:sz w:val="21"/>
        </w:rPr>
        <w:t>PDT经理签字：__________ 日期：__________</w:t>
      </w:r>
    </w:p>
    <w:p w14:paraId="01B578DF">
      <w:pPr>
        <w:spacing w:before="120" w:after="60" w:line="324" w:lineRule="auto"/>
        <w:ind w:left="0"/>
        <w:jc w:val="left"/>
      </w:pPr>
      <w:r>
        <w:rPr>
          <w:rFonts w:ascii="宋体" w:hAnsi="宋体" w:eastAsia="宋体" w:cs="Arial"/>
          <w:b w:val="0"/>
          <w:sz w:val="21"/>
        </w:rPr>
        <w:t>技术</w:t>
      </w:r>
      <w:bookmarkStart w:id="27" w:name="_GoBack"/>
      <w:bookmarkEnd w:id="27"/>
      <w:r>
        <w:rPr>
          <w:rFonts w:ascii="宋体" w:hAnsi="宋体" w:eastAsia="宋体" w:cs="Arial"/>
          <w:b w:val="0"/>
          <w:sz w:val="21"/>
        </w:rPr>
        <w:t>评审组意见：____________________________________</w:t>
      </w:r>
    </w:p>
    <w:sectPr>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compat>
    <w:useFELayout/>
    <w:splitPgBreakAndParaMark/>
    <w:compatSetting w:name="compatibilityMode" w:uri="http://schemas.microsoft.com/office/word" w:val="12"/>
  </w:compat>
  <w:rsids>
    <w:rsidRoot w:val="00000000"/>
    <w:rsid w:val="5C5765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3284</Words>
  <Characters>3775</Characters>
  <TotalTime>77</TotalTime>
  <ScaleCrop>false</ScaleCrop>
  <LinksUpToDate>false</LinksUpToDate>
  <CharactersWithSpaces>3842</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2026-07-15T03:07:00Z</dcterms:created>
  <dc:creator>Apache POI</dc:creator>
  <cp:lastModifiedBy>WPS_1647763376</cp:lastModifiedBy>
  <dcterms:modified xsi:type="dcterms:W3CDTF">2026-07-22T02:24:56Z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{"Label":"1","ContentProducer":"001191110102MACQD9K64010000","ProduceID":"7662586120898792418","ReservedCode1":"","ContentPropagator":"","PropagateID":"","ReservedCode2":""}</vt:lpwstr>
  </property>
  <property fmtid="{D5CDD505-2E9C-101B-9397-08002B2CF9AE}" pid="3" name="KSOTemplateDocerSaveRecord">
    <vt:lpwstr>eyJoZGlkIjoiM2VkYTEyOTU2MGI4OTQzYzJkZTM5MTIyMWFhNTVjMmIiLCJ1c2VySWQiOiIxMzQ5NjA4NzEwIn0=</vt:lpwstr>
  </property>
  <property fmtid="{D5CDD505-2E9C-101B-9397-08002B2CF9AE}" pid="4" name="KSOProductBuildVer">
    <vt:lpwstr>2052-12.1.0.26895</vt:lpwstr>
  </property>
  <property fmtid="{D5CDD505-2E9C-101B-9397-08002B2CF9AE}" pid="5" name="ICV">
    <vt:lpwstr>A45F834650394CDC962937BBCA066045_12</vt:lpwstr>
  </property>
</Properties>
</file>