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1F2D41">
      <w:pPr>
        <w:keepNext w:val="0"/>
        <w:keepLines w:val="0"/>
        <w:pageBreakBefore w:val="0"/>
        <w:widowControl/>
        <w:kinsoku/>
        <w:wordWrap/>
        <w:overflowPunct/>
        <w:topLinePunct w:val="0"/>
        <w:autoSpaceDE/>
        <w:autoSpaceDN/>
        <w:bidi w:val="0"/>
        <w:adjustRightInd/>
        <w:snapToGrid/>
        <w:spacing w:before="0" w:beforeLines="1000" w:after="0" w:line="360" w:lineRule="auto"/>
        <w:jc w:val="center"/>
        <w:textAlignment w:val="auto"/>
        <w:rPr>
          <w:rFonts w:hint="default" w:ascii="Times New Roman" w:hAnsi="Times New Roman" w:eastAsia="宋体" w:cs="Times New Roman"/>
          <w:b w:val="0"/>
          <w:bCs/>
          <w:color w:val="000000" w:themeColor="text1"/>
          <w:sz w:val="44"/>
          <w:szCs w:val="44"/>
          <w14:textFill>
            <w14:solidFill>
              <w14:schemeClr w14:val="tx1"/>
            </w14:solidFill>
          </w14:textFill>
        </w:rPr>
      </w:pPr>
      <w:r>
        <w:rPr>
          <w:rFonts w:hint="default" w:ascii="Times New Roman" w:hAnsi="Times New Roman" w:eastAsia="黑体" w:cs="Times New Roman"/>
          <w:b w:val="0"/>
          <w:bCs/>
          <w:color w:val="000000" w:themeColor="text1"/>
          <w:sz w:val="44"/>
          <w:szCs w:val="44"/>
          <w14:textFill>
            <w14:solidFill>
              <w14:schemeClr w14:val="tx1"/>
            </w14:solidFill>
          </w14:textFill>
        </w:rPr>
        <w:t>项目Charter立项任务书</w:t>
      </w:r>
    </w:p>
    <w:p w14:paraId="663DC0B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b w:val="0"/>
          <w:bCs/>
          <w:color w:val="000000" w:themeColor="text1"/>
          <w:sz w:val="44"/>
          <w:szCs w:val="44"/>
          <w14:textFill>
            <w14:solidFill>
              <w14:schemeClr w14:val="tx1"/>
            </w14:solidFill>
          </w14:textFill>
        </w:rPr>
      </w:pPr>
    </w:p>
    <w:p w14:paraId="65336F53">
      <w:pPr>
        <w:keepNext w:val="0"/>
        <w:keepLines w:val="0"/>
        <w:pageBreakBefore w:val="0"/>
        <w:widowControl/>
        <w:kinsoku/>
        <w:wordWrap/>
        <w:overflowPunct/>
        <w:topLinePunct w:val="0"/>
        <w:autoSpaceDE/>
        <w:autoSpaceDN/>
        <w:bidi w:val="0"/>
        <w:adjustRightInd/>
        <w:snapToGrid/>
        <w:spacing w:after="0" w:line="360" w:lineRule="auto"/>
        <w:ind w:left="0"/>
        <w:jc w:val="center"/>
        <w:textAlignment w:val="auto"/>
        <w:rPr>
          <w:rFonts w:hint="default" w:ascii="Times New Roman" w:hAnsi="Times New Roman" w:eastAsia="宋体" w:cs="Times New Roman"/>
          <w:b w:val="0"/>
          <w:bCs/>
          <w:sz w:val="28"/>
          <w:szCs w:val="28"/>
        </w:rPr>
      </w:pPr>
      <w:r>
        <w:rPr>
          <w:rFonts w:hint="default" w:ascii="Times New Roman" w:hAnsi="Times New Roman" w:eastAsia="宋体" w:cs="Times New Roman"/>
          <w:b w:val="0"/>
          <w:bCs/>
          <w:sz w:val="28"/>
          <w:szCs w:val="28"/>
          <w:lang w:val="en-US" w:eastAsia="zh-CN"/>
        </w:rPr>
        <w:t>文档</w:t>
      </w:r>
      <w:r>
        <w:rPr>
          <w:rFonts w:hint="default" w:ascii="Times New Roman" w:hAnsi="Times New Roman" w:eastAsia="宋体" w:cs="Times New Roman"/>
          <w:b w:val="0"/>
          <w:bCs/>
          <w:sz w:val="28"/>
          <w:szCs w:val="28"/>
        </w:rPr>
        <w:t>编号：</w:t>
      </w:r>
      <w:r>
        <w:rPr>
          <w:rFonts w:hint="default" w:ascii="Times New Roman" w:hAnsi="Times New Roman" w:eastAsia="宋体" w:cs="Times New Roman"/>
          <w:b w:val="0"/>
          <w:bCs/>
          <w:sz w:val="28"/>
          <w:szCs w:val="28"/>
          <w:lang w:val="en-US" w:eastAsia="zh-CN"/>
        </w:rPr>
        <w:t>MA</w:t>
      </w:r>
      <w:r>
        <w:rPr>
          <w:rFonts w:hint="default" w:ascii="Times New Roman" w:hAnsi="Times New Roman" w:eastAsia="宋体" w:cs="Times New Roman"/>
          <w:b w:val="0"/>
          <w:bCs/>
          <w:sz w:val="28"/>
          <w:szCs w:val="28"/>
        </w:rPr>
        <w:t>-001-V1.0</w:t>
      </w:r>
    </w:p>
    <w:p w14:paraId="3930EC09">
      <w:pPr>
        <w:keepNext w:val="0"/>
        <w:keepLines w:val="0"/>
        <w:pageBreakBefore w:val="0"/>
        <w:widowControl/>
        <w:kinsoku/>
        <w:wordWrap/>
        <w:overflowPunct/>
        <w:topLinePunct w:val="0"/>
        <w:autoSpaceDE/>
        <w:autoSpaceDN/>
        <w:bidi w:val="0"/>
        <w:adjustRightInd/>
        <w:snapToGrid/>
        <w:spacing w:after="0" w:line="360" w:lineRule="auto"/>
        <w:ind w:left="0"/>
        <w:jc w:val="center"/>
        <w:textAlignment w:val="auto"/>
        <w:rPr>
          <w:rFonts w:hint="default" w:ascii="Times New Roman" w:hAnsi="Times New Roman" w:eastAsia="宋体" w:cs="Times New Roman"/>
          <w:b w:val="0"/>
          <w:bCs/>
          <w:sz w:val="28"/>
          <w:szCs w:val="28"/>
        </w:rPr>
      </w:pPr>
      <w:r>
        <w:rPr>
          <w:rFonts w:hint="default" w:ascii="Times New Roman" w:hAnsi="Times New Roman" w:eastAsia="宋体" w:cs="Times New Roman"/>
          <w:b w:val="0"/>
          <w:bCs/>
          <w:sz w:val="28"/>
          <w:szCs w:val="28"/>
        </w:rPr>
        <w:t>版本：V1.0</w:t>
      </w:r>
    </w:p>
    <w:p w14:paraId="3CF40A15">
      <w:pPr>
        <w:keepNext w:val="0"/>
        <w:keepLines w:val="0"/>
        <w:pageBreakBefore w:val="0"/>
        <w:widowControl/>
        <w:kinsoku/>
        <w:wordWrap/>
        <w:overflowPunct/>
        <w:topLinePunct w:val="0"/>
        <w:autoSpaceDE/>
        <w:autoSpaceDN/>
        <w:bidi w:val="0"/>
        <w:adjustRightInd/>
        <w:snapToGrid/>
        <w:spacing w:after="0" w:line="360" w:lineRule="auto"/>
        <w:ind w:left="0"/>
        <w:jc w:val="center"/>
        <w:textAlignment w:val="auto"/>
        <w:rPr>
          <w:rFonts w:hint="default" w:ascii="Times New Roman" w:hAnsi="Times New Roman" w:eastAsia="宋体" w:cs="Times New Roman"/>
          <w:b w:val="0"/>
          <w:bCs/>
          <w:sz w:val="28"/>
          <w:szCs w:val="28"/>
        </w:rPr>
      </w:pPr>
      <w:r>
        <w:rPr>
          <w:rFonts w:hint="default" w:ascii="Times New Roman" w:hAnsi="Times New Roman" w:eastAsia="宋体" w:cs="Times New Roman"/>
          <w:b w:val="0"/>
          <w:bCs/>
          <w:sz w:val="28"/>
          <w:szCs w:val="28"/>
        </w:rPr>
        <w:t>编制团队：迭代器（PDT跨职能小组）</w:t>
      </w:r>
    </w:p>
    <w:p w14:paraId="42356C4E">
      <w:pPr>
        <w:keepNext w:val="0"/>
        <w:keepLines w:val="0"/>
        <w:pageBreakBefore w:val="0"/>
        <w:widowControl/>
        <w:kinsoku/>
        <w:wordWrap/>
        <w:overflowPunct/>
        <w:topLinePunct w:val="0"/>
        <w:autoSpaceDE/>
        <w:autoSpaceDN/>
        <w:bidi w:val="0"/>
        <w:adjustRightInd/>
        <w:snapToGrid/>
        <w:spacing w:after="0" w:line="360" w:lineRule="auto"/>
        <w:ind w:left="0"/>
        <w:jc w:val="center"/>
        <w:textAlignment w:val="auto"/>
        <w:rPr>
          <w:rFonts w:hint="default" w:ascii="Times New Roman" w:hAnsi="Times New Roman" w:eastAsia="宋体" w:cs="Times New Roman"/>
          <w:b w:val="0"/>
          <w:bCs/>
          <w:sz w:val="28"/>
          <w:szCs w:val="28"/>
        </w:rPr>
      </w:pPr>
      <w:r>
        <w:rPr>
          <w:rFonts w:hint="default" w:ascii="Times New Roman" w:hAnsi="Times New Roman" w:eastAsia="宋体" w:cs="Times New Roman"/>
          <w:b w:val="0"/>
          <w:bCs/>
          <w:sz w:val="28"/>
          <w:szCs w:val="28"/>
        </w:rPr>
        <w:t>编制日期：2026年7月17日</w:t>
      </w:r>
    </w:p>
    <w:p w14:paraId="6507E68E">
      <w:pPr>
        <w:keepNext w:val="0"/>
        <w:keepLines w:val="0"/>
        <w:pageBreakBefore w:val="0"/>
        <w:widowControl/>
        <w:kinsoku/>
        <w:wordWrap/>
        <w:overflowPunct/>
        <w:topLinePunct w:val="0"/>
        <w:autoSpaceDE/>
        <w:autoSpaceDN/>
        <w:bidi w:val="0"/>
        <w:adjustRightInd/>
        <w:snapToGrid/>
        <w:spacing w:after="0" w:line="360" w:lineRule="auto"/>
        <w:ind w:left="0"/>
        <w:jc w:val="center"/>
        <w:textAlignment w:val="auto"/>
        <w:rPr>
          <w:rFonts w:hint="default" w:ascii="Times New Roman" w:hAnsi="Times New Roman" w:eastAsia="宋体" w:cs="Times New Roman"/>
          <w:b w:val="0"/>
          <w:bCs/>
          <w:sz w:val="28"/>
          <w:szCs w:val="28"/>
          <w:lang w:val="en-US" w:eastAsia="zh-CN"/>
        </w:rPr>
      </w:pPr>
      <w:r>
        <w:rPr>
          <w:rFonts w:hint="default" w:ascii="Times New Roman" w:hAnsi="Times New Roman" w:eastAsia="宋体" w:cs="Times New Roman"/>
          <w:b w:val="0"/>
          <w:bCs/>
          <w:sz w:val="28"/>
          <w:szCs w:val="28"/>
        </w:rPr>
        <w:t>对应产品线：AI+智慧</w:t>
      </w:r>
      <w:r>
        <w:rPr>
          <w:rFonts w:hint="default" w:ascii="Times New Roman" w:hAnsi="Times New Roman" w:eastAsia="宋体" w:cs="Times New Roman"/>
          <w:b w:val="0"/>
          <w:bCs/>
          <w:sz w:val="28"/>
          <w:szCs w:val="28"/>
          <w:lang w:val="en-US" w:eastAsia="zh-CN"/>
        </w:rPr>
        <w:t>河道</w:t>
      </w:r>
    </w:p>
    <w:p w14:paraId="26D6728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b w:val="0"/>
          <w:bCs/>
          <w:sz w:val="28"/>
          <w:szCs w:val="28"/>
          <w:u w:val="none"/>
        </w:rPr>
      </w:pPr>
      <w:r>
        <w:rPr>
          <w:rFonts w:hint="default" w:ascii="Times New Roman" w:hAnsi="Times New Roman" w:eastAsia="宋体" w:cs="Times New Roman"/>
          <w:color w:val="000000" w:themeColor="text1"/>
          <w:sz w:val="28"/>
          <w:szCs w:val="28"/>
          <w:lang w:val="en-US" w:eastAsia="zh-CN"/>
          <w14:textFill>
            <w14:solidFill>
              <w14:schemeClr w14:val="tx1"/>
            </w14:solidFill>
          </w14:textFill>
        </w:rPr>
        <w:t>项目名称：</w:t>
      </w:r>
      <w:r>
        <w:rPr>
          <w:rFonts w:hint="default" w:ascii="Times New Roman" w:hAnsi="Times New Roman" w:eastAsia="宋体" w:cs="Times New Roman"/>
          <w:color w:val="000000" w:themeColor="text1"/>
          <w:sz w:val="28"/>
          <w:szCs w:val="28"/>
          <w:u w:val="none"/>
          <w14:textFill>
            <w14:solidFill>
              <w14:schemeClr w14:val="tx1"/>
            </w14:solidFill>
          </w14:textFill>
        </w:rPr>
        <w:t>基于边缘智能与多模态感知的河道主动巡护与风险闭环系统</w:t>
      </w:r>
    </w:p>
    <w:p w14:paraId="3C33558E">
      <w:pPr>
        <w:keepNext w:val="0"/>
        <w:keepLines w:val="0"/>
        <w:pageBreakBefore w:val="0"/>
        <w:widowControl/>
        <w:kinsoku/>
        <w:wordWrap/>
        <w:overflowPunct/>
        <w:topLinePunct w:val="0"/>
        <w:autoSpaceDE/>
        <w:autoSpaceDN/>
        <w:bidi w:val="0"/>
        <w:adjustRightInd/>
        <w:snapToGrid/>
        <w:spacing w:after="0" w:line="360" w:lineRule="auto"/>
        <w:ind w:left="0"/>
        <w:jc w:val="center"/>
        <w:textAlignment w:val="auto"/>
        <w:rPr>
          <w:rFonts w:hint="default" w:ascii="Times New Roman" w:hAnsi="Times New Roman" w:eastAsia="宋体" w:cs="Times New Roman"/>
          <w:b w:val="0"/>
          <w:bCs/>
          <w:sz w:val="28"/>
          <w:szCs w:val="28"/>
        </w:rPr>
      </w:pPr>
      <w:r>
        <w:rPr>
          <w:rFonts w:hint="default" w:ascii="Times New Roman" w:hAnsi="Times New Roman" w:eastAsia="宋体" w:cs="Times New Roman"/>
          <w:b w:val="0"/>
          <w:bCs/>
          <w:sz w:val="28"/>
          <w:szCs w:val="28"/>
        </w:rPr>
        <w:t>用途：IPD CDCP立项决策评审核心材料，立项通过后作为全流程研发基线</w:t>
      </w:r>
    </w:p>
    <w:p w14:paraId="7933B4DA">
      <w:pPr>
        <w:keepNext w:val="0"/>
        <w:keepLines w:val="0"/>
        <w:pageBreakBefore w:val="0"/>
        <w:widowControl/>
        <w:kinsoku/>
        <w:wordWrap/>
        <w:overflowPunct/>
        <w:topLinePunct w:val="0"/>
        <w:autoSpaceDE/>
        <w:autoSpaceDN/>
        <w:bidi w:val="0"/>
        <w:adjustRightInd/>
        <w:snapToGrid/>
        <w:spacing w:after="0" w:line="360" w:lineRule="auto"/>
        <w:ind w:left="0"/>
        <w:jc w:val="center"/>
        <w:textAlignment w:val="auto"/>
        <w:rPr>
          <w:rFonts w:hint="default" w:ascii="Times New Roman" w:hAnsi="Times New Roman" w:eastAsia="宋体" w:cs="Times New Roman"/>
          <w:b w:val="0"/>
          <w:bCs/>
          <w:sz w:val="28"/>
          <w:szCs w:val="28"/>
        </w:rPr>
      </w:pPr>
      <w:r>
        <w:rPr>
          <w:rFonts w:hint="default" w:ascii="Times New Roman" w:hAnsi="Times New Roman" w:eastAsia="宋体" w:cs="Times New Roman"/>
          <w:b w:val="0"/>
          <w:bCs/>
          <w:sz w:val="28"/>
          <w:szCs w:val="28"/>
        </w:rPr>
        <w:t>审批决策层：IPMT投资评审委员会</w:t>
      </w:r>
    </w:p>
    <w:p w14:paraId="161734BE">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color w:val="000000" w:themeColor="text1"/>
          <w14:textFill>
            <w14:solidFill>
              <w14:schemeClr w14:val="tx1"/>
            </w14:solidFill>
          </w14:textFill>
        </w:rPr>
      </w:pPr>
    </w:p>
    <w:p w14:paraId="3D2C16BF">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color w:val="000000" w:themeColor="text1"/>
          <w14:textFill>
            <w14:solidFill>
              <w14:schemeClr w14:val="tx1"/>
            </w14:solidFill>
          </w14:textFill>
        </w:rPr>
        <w:sectPr>
          <w:pgMar w:top="1440" w:right="1440" w:bottom="1440" w:left="1440" w:header="720" w:footer="720" w:gutter="0"/>
          <w:cols w:space="720" w:num="1"/>
        </w:sectPr>
      </w:pPr>
      <w:bookmarkStart w:id="30" w:name="_GoBack"/>
      <w:bookmarkEnd w:id="30"/>
    </w:p>
    <w:p w14:paraId="48E55EA8">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color w:val="000000" w:themeColor="text1"/>
          <w14:textFill>
            <w14:solidFill>
              <w14:schemeClr w14:val="tx1"/>
            </w14:solidFill>
          </w14:textFill>
        </w:rPr>
      </w:pPr>
    </w:p>
    <w:sdt>
      <w:sdtPr>
        <w:rPr>
          <w:rFonts w:hint="default" w:ascii="Times New Roman" w:hAnsi="Times New Roman" w:eastAsia="宋体" w:cs="Times New Roman"/>
          <w:sz w:val="21"/>
          <w:szCs w:val="22"/>
          <w:lang w:val="en-US" w:eastAsia="en-US" w:bidi="ar-SA"/>
        </w:rPr>
        <w:id w:val="147455318"/>
        <w15:color w:val="DBDBDB"/>
        <w:docPartObj>
          <w:docPartGallery w:val="Table of Contents"/>
          <w:docPartUnique/>
        </w:docPartObj>
      </w:sdtPr>
      <w:sdtEndPr>
        <w:rPr>
          <w:rFonts w:hint="default" w:ascii="Times New Roman" w:hAnsi="Times New Roman" w:eastAsia="宋体" w:cs="Times New Roman"/>
          <w:color w:val="000000" w:themeColor="text1"/>
          <w:sz w:val="22"/>
          <w:szCs w:val="22"/>
          <w:lang w:val="en-US" w:eastAsia="en-US" w:bidi="ar-SA"/>
          <w14:textFill>
            <w14:solidFill>
              <w14:schemeClr w14:val="tx1"/>
            </w14:solidFill>
          </w14:textFill>
        </w:rPr>
      </w:sdtEndPr>
      <w:sdtContent>
        <w:p w14:paraId="5BAEDFA6">
          <w:pPr>
            <w:keepNext w:val="0"/>
            <w:keepLines w:val="0"/>
            <w:pageBreakBefore w:val="0"/>
            <w:widowControl/>
            <w:kinsoku/>
            <w:wordWrap/>
            <w:overflowPunct/>
            <w:topLinePunct w:val="0"/>
            <w:autoSpaceDE/>
            <w:autoSpaceDN/>
            <w:bidi w:val="0"/>
            <w:adjustRightInd/>
            <w:spacing w:after="0" w:line="360" w:lineRule="auto"/>
            <w:ind w:left="0" w:leftChars="0" w:right="0" w:rightChars="0" w:firstLine="0" w:firstLineChars="0"/>
            <w:jc w:val="center"/>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目录</w:t>
          </w:r>
        </w:p>
        <w:p w14:paraId="02A851EA">
          <w:pPr>
            <w:pStyle w:val="26"/>
            <w:keepNext w:val="0"/>
            <w:keepLines w:val="0"/>
            <w:pageBreakBefore w:val="0"/>
            <w:widowControl/>
            <w:tabs>
              <w:tab w:val="right" w:leader="dot" w:pos="9360"/>
            </w:tabs>
            <w:kinsoku/>
            <w:wordWrap/>
            <w:overflowPunct/>
            <w:topLinePunct w:val="0"/>
            <w:autoSpaceDE/>
            <w:autoSpaceDN/>
            <w:bidi w:val="0"/>
            <w:adjustRightInd/>
            <w:spacing w:after="0"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000000" w:themeColor="text1"/>
              <w:sz w:val="28"/>
              <w:szCs w:val="28"/>
              <w14:textFill>
                <w14:solidFill>
                  <w14:schemeClr w14:val="tx1"/>
                </w14:solidFill>
              </w14:textFill>
            </w:rPr>
            <w:fldChar w:fldCharType="begin"/>
          </w:r>
          <w:r>
            <w:rPr>
              <w:rFonts w:hint="default" w:ascii="Times New Roman" w:hAnsi="Times New Roman" w:eastAsia="宋体" w:cs="Times New Roman"/>
              <w:color w:val="000000" w:themeColor="text1"/>
              <w:sz w:val="28"/>
              <w:szCs w:val="28"/>
              <w14:textFill>
                <w14:solidFill>
                  <w14:schemeClr w14:val="tx1"/>
                </w14:solidFill>
              </w14:textFill>
            </w:rPr>
            <w:instrText xml:space="preserve">TOC \o "1-1" \h \u </w:instrText>
          </w:r>
          <w:r>
            <w:rPr>
              <w:rFonts w:hint="default" w:ascii="Times New Roman" w:hAnsi="Times New Roman" w:eastAsia="宋体" w:cs="Times New Roman"/>
              <w:color w:val="000000" w:themeColor="text1"/>
              <w:sz w:val="28"/>
              <w:szCs w:val="28"/>
              <w14:textFill>
                <w14:solidFill>
                  <w14:schemeClr w14:val="tx1"/>
                </w14:solidFill>
              </w14:textFill>
            </w:rPr>
            <w:fldChar w:fldCharType="separate"/>
          </w:r>
          <w:r>
            <w:rPr>
              <w:rFonts w:hint="default" w:ascii="Times New Roman" w:hAnsi="Times New Roman" w:eastAsia="宋体" w:cs="Times New Roman"/>
              <w:color w:val="000000" w:themeColor="text1"/>
              <w:sz w:val="28"/>
              <w:szCs w:val="28"/>
              <w14:textFill>
                <w14:solidFill>
                  <w14:schemeClr w14:val="tx1"/>
                </w14:solidFill>
              </w14:textFill>
            </w:rPr>
            <w:fldChar w:fldCharType="begin"/>
          </w:r>
          <w:r>
            <w:rPr>
              <w:rFonts w:hint="default" w:ascii="Times New Roman" w:hAnsi="Times New Roman" w:eastAsia="宋体" w:cs="Times New Roman"/>
              <w:sz w:val="28"/>
              <w:szCs w:val="28"/>
            </w:rPr>
            <w:instrText xml:space="preserve"> HYPERLINK \l _Toc17327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1 执行摘要</w:t>
          </w:r>
          <w:r>
            <w:rPr>
              <w:rFonts w:hint="default" w:ascii="Times New Roman" w:hAnsi="Times New Roman" w:eastAsia="宋体" w:cs="Times New Roman"/>
              <w:sz w:val="28"/>
              <w:szCs w:val="28"/>
            </w:rPr>
            <w:tab/>
          </w:r>
          <w:r>
            <w:rPr>
              <w:rFonts w:hint="default" w:ascii="Times New Roman" w:hAnsi="Times New Roman" w:eastAsia="宋体" w:cs="Times New Roman"/>
              <w:sz w:val="28"/>
              <w:szCs w:val="28"/>
            </w:rPr>
            <w:fldChar w:fldCharType="begin"/>
          </w:r>
          <w:r>
            <w:rPr>
              <w:rFonts w:hint="default" w:ascii="Times New Roman" w:hAnsi="Times New Roman" w:eastAsia="宋体" w:cs="Times New Roman"/>
              <w:sz w:val="28"/>
              <w:szCs w:val="28"/>
            </w:rPr>
            <w:instrText xml:space="preserve"> PAGEREF _Toc17327 \h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1</w:t>
          </w:r>
          <w:r>
            <w:rPr>
              <w:rFonts w:hint="default" w:ascii="Times New Roman" w:hAnsi="Times New Roman" w:eastAsia="宋体" w:cs="Times New Roman"/>
              <w:sz w:val="28"/>
              <w:szCs w:val="28"/>
            </w:rPr>
            <w:fldChar w:fldCharType="end"/>
          </w:r>
          <w:r>
            <w:rPr>
              <w:rFonts w:hint="default" w:ascii="Times New Roman" w:hAnsi="Times New Roman" w:eastAsia="宋体" w:cs="Times New Roman"/>
              <w:color w:val="000000" w:themeColor="text1"/>
              <w:sz w:val="28"/>
              <w:szCs w:val="28"/>
              <w14:textFill>
                <w14:solidFill>
                  <w14:schemeClr w14:val="tx1"/>
                </w14:solidFill>
              </w14:textFill>
            </w:rPr>
            <w:fldChar w:fldCharType="end"/>
          </w:r>
        </w:p>
        <w:p w14:paraId="0F994C7E">
          <w:pPr>
            <w:pStyle w:val="26"/>
            <w:keepNext w:val="0"/>
            <w:keepLines w:val="0"/>
            <w:pageBreakBefore w:val="0"/>
            <w:widowControl/>
            <w:tabs>
              <w:tab w:val="right" w:leader="dot" w:pos="9360"/>
            </w:tabs>
            <w:kinsoku/>
            <w:wordWrap/>
            <w:overflowPunct/>
            <w:topLinePunct w:val="0"/>
            <w:autoSpaceDE/>
            <w:autoSpaceDN/>
            <w:bidi w:val="0"/>
            <w:adjustRightInd/>
            <w:spacing w:after="0"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000000" w:themeColor="text1"/>
              <w:sz w:val="28"/>
              <w:szCs w:val="28"/>
              <w14:textFill>
                <w14:solidFill>
                  <w14:schemeClr w14:val="tx1"/>
                </w14:solidFill>
              </w14:textFill>
            </w:rPr>
            <w:fldChar w:fldCharType="begin"/>
          </w:r>
          <w:r>
            <w:rPr>
              <w:rFonts w:hint="default" w:ascii="Times New Roman" w:hAnsi="Times New Roman" w:eastAsia="宋体" w:cs="Times New Roman"/>
              <w:sz w:val="28"/>
              <w:szCs w:val="28"/>
            </w:rPr>
            <w:instrText xml:space="preserve"> HYPERLINK \l _Toc1669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2 项目背景与战略匹配</w:t>
          </w:r>
          <w:r>
            <w:rPr>
              <w:rFonts w:hint="default" w:ascii="Times New Roman" w:hAnsi="Times New Roman" w:eastAsia="宋体" w:cs="Times New Roman"/>
              <w:sz w:val="28"/>
              <w:szCs w:val="28"/>
            </w:rPr>
            <w:tab/>
          </w:r>
          <w:r>
            <w:rPr>
              <w:rFonts w:hint="default" w:ascii="Times New Roman" w:hAnsi="Times New Roman" w:eastAsia="宋体" w:cs="Times New Roman"/>
              <w:sz w:val="28"/>
              <w:szCs w:val="28"/>
            </w:rPr>
            <w:fldChar w:fldCharType="begin"/>
          </w:r>
          <w:r>
            <w:rPr>
              <w:rFonts w:hint="default" w:ascii="Times New Roman" w:hAnsi="Times New Roman" w:eastAsia="宋体" w:cs="Times New Roman"/>
              <w:sz w:val="28"/>
              <w:szCs w:val="28"/>
            </w:rPr>
            <w:instrText xml:space="preserve"> PAGEREF _Toc1669 \h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1</w:t>
          </w:r>
          <w:r>
            <w:rPr>
              <w:rFonts w:hint="default" w:ascii="Times New Roman" w:hAnsi="Times New Roman" w:eastAsia="宋体" w:cs="Times New Roman"/>
              <w:sz w:val="28"/>
              <w:szCs w:val="28"/>
            </w:rPr>
            <w:fldChar w:fldCharType="end"/>
          </w:r>
          <w:r>
            <w:rPr>
              <w:rFonts w:hint="default" w:ascii="Times New Roman" w:hAnsi="Times New Roman" w:eastAsia="宋体" w:cs="Times New Roman"/>
              <w:color w:val="000000" w:themeColor="text1"/>
              <w:sz w:val="28"/>
              <w:szCs w:val="28"/>
              <w14:textFill>
                <w14:solidFill>
                  <w14:schemeClr w14:val="tx1"/>
                </w14:solidFill>
              </w14:textFill>
            </w:rPr>
            <w:fldChar w:fldCharType="end"/>
          </w:r>
        </w:p>
        <w:p w14:paraId="373A68B8">
          <w:pPr>
            <w:pStyle w:val="26"/>
            <w:keepNext w:val="0"/>
            <w:keepLines w:val="0"/>
            <w:pageBreakBefore w:val="0"/>
            <w:widowControl/>
            <w:tabs>
              <w:tab w:val="right" w:leader="dot" w:pos="9360"/>
            </w:tabs>
            <w:kinsoku/>
            <w:wordWrap/>
            <w:overflowPunct/>
            <w:topLinePunct w:val="0"/>
            <w:autoSpaceDE/>
            <w:autoSpaceDN/>
            <w:bidi w:val="0"/>
            <w:adjustRightInd/>
            <w:spacing w:after="0"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000000" w:themeColor="text1"/>
              <w:sz w:val="28"/>
              <w:szCs w:val="28"/>
              <w14:textFill>
                <w14:solidFill>
                  <w14:schemeClr w14:val="tx1"/>
                </w14:solidFill>
              </w14:textFill>
            </w:rPr>
            <w:fldChar w:fldCharType="begin"/>
          </w:r>
          <w:r>
            <w:rPr>
              <w:rFonts w:hint="default" w:ascii="Times New Roman" w:hAnsi="Times New Roman" w:eastAsia="宋体" w:cs="Times New Roman"/>
              <w:sz w:val="28"/>
              <w:szCs w:val="28"/>
            </w:rPr>
            <w:instrText xml:space="preserve"> HYPERLINK \l _Toc14815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3 市场机会简要概述</w:t>
          </w:r>
          <w:r>
            <w:rPr>
              <w:rFonts w:hint="default" w:ascii="Times New Roman" w:hAnsi="Times New Roman" w:eastAsia="宋体" w:cs="Times New Roman"/>
              <w:sz w:val="28"/>
              <w:szCs w:val="28"/>
            </w:rPr>
            <w:tab/>
          </w:r>
          <w:r>
            <w:rPr>
              <w:rFonts w:hint="default" w:ascii="Times New Roman" w:hAnsi="Times New Roman" w:eastAsia="宋体" w:cs="Times New Roman"/>
              <w:sz w:val="28"/>
              <w:szCs w:val="28"/>
            </w:rPr>
            <w:fldChar w:fldCharType="begin"/>
          </w:r>
          <w:r>
            <w:rPr>
              <w:rFonts w:hint="default" w:ascii="Times New Roman" w:hAnsi="Times New Roman" w:eastAsia="宋体" w:cs="Times New Roman"/>
              <w:sz w:val="28"/>
              <w:szCs w:val="28"/>
            </w:rPr>
            <w:instrText xml:space="preserve"> PAGEREF _Toc14815 \h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1</w:t>
          </w:r>
          <w:r>
            <w:rPr>
              <w:rFonts w:hint="default" w:ascii="Times New Roman" w:hAnsi="Times New Roman" w:eastAsia="宋体" w:cs="Times New Roman"/>
              <w:sz w:val="28"/>
              <w:szCs w:val="28"/>
            </w:rPr>
            <w:fldChar w:fldCharType="end"/>
          </w:r>
          <w:r>
            <w:rPr>
              <w:rFonts w:hint="default" w:ascii="Times New Roman" w:hAnsi="Times New Roman" w:eastAsia="宋体" w:cs="Times New Roman"/>
              <w:color w:val="000000" w:themeColor="text1"/>
              <w:sz w:val="28"/>
              <w:szCs w:val="28"/>
              <w14:textFill>
                <w14:solidFill>
                  <w14:schemeClr w14:val="tx1"/>
                </w14:solidFill>
              </w14:textFill>
            </w:rPr>
            <w:fldChar w:fldCharType="end"/>
          </w:r>
        </w:p>
        <w:p w14:paraId="2AE550E0">
          <w:pPr>
            <w:pStyle w:val="26"/>
            <w:keepNext w:val="0"/>
            <w:keepLines w:val="0"/>
            <w:pageBreakBefore w:val="0"/>
            <w:widowControl/>
            <w:tabs>
              <w:tab w:val="right" w:leader="dot" w:pos="9360"/>
            </w:tabs>
            <w:kinsoku/>
            <w:wordWrap/>
            <w:overflowPunct/>
            <w:topLinePunct w:val="0"/>
            <w:autoSpaceDE/>
            <w:autoSpaceDN/>
            <w:bidi w:val="0"/>
            <w:adjustRightInd/>
            <w:spacing w:after="0"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000000" w:themeColor="text1"/>
              <w:sz w:val="28"/>
              <w:szCs w:val="28"/>
              <w14:textFill>
                <w14:solidFill>
                  <w14:schemeClr w14:val="tx1"/>
                </w14:solidFill>
              </w14:textFill>
            </w:rPr>
            <w:fldChar w:fldCharType="begin"/>
          </w:r>
          <w:r>
            <w:rPr>
              <w:rFonts w:hint="default" w:ascii="Times New Roman" w:hAnsi="Times New Roman" w:eastAsia="宋体" w:cs="Times New Roman"/>
              <w:sz w:val="28"/>
              <w:szCs w:val="28"/>
            </w:rPr>
            <w:instrText xml:space="preserve"> HYPERLINK \l _Toc2543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4 产品完整定义</w:t>
          </w:r>
          <w:r>
            <w:rPr>
              <w:rFonts w:hint="default" w:ascii="Times New Roman" w:hAnsi="Times New Roman" w:eastAsia="宋体" w:cs="Times New Roman"/>
              <w:sz w:val="28"/>
              <w:szCs w:val="28"/>
            </w:rPr>
            <w:tab/>
          </w:r>
          <w:r>
            <w:rPr>
              <w:rFonts w:hint="default" w:ascii="Times New Roman" w:hAnsi="Times New Roman" w:eastAsia="宋体" w:cs="Times New Roman"/>
              <w:sz w:val="28"/>
              <w:szCs w:val="28"/>
            </w:rPr>
            <w:fldChar w:fldCharType="begin"/>
          </w:r>
          <w:r>
            <w:rPr>
              <w:rFonts w:hint="default" w:ascii="Times New Roman" w:hAnsi="Times New Roman" w:eastAsia="宋体" w:cs="Times New Roman"/>
              <w:sz w:val="28"/>
              <w:szCs w:val="28"/>
            </w:rPr>
            <w:instrText xml:space="preserve"> PAGEREF _Toc2543 \h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2</w:t>
          </w:r>
          <w:r>
            <w:rPr>
              <w:rFonts w:hint="default" w:ascii="Times New Roman" w:hAnsi="Times New Roman" w:eastAsia="宋体" w:cs="Times New Roman"/>
              <w:sz w:val="28"/>
              <w:szCs w:val="28"/>
            </w:rPr>
            <w:fldChar w:fldCharType="end"/>
          </w:r>
          <w:r>
            <w:rPr>
              <w:rFonts w:hint="default" w:ascii="Times New Roman" w:hAnsi="Times New Roman" w:eastAsia="宋体" w:cs="Times New Roman"/>
              <w:color w:val="000000" w:themeColor="text1"/>
              <w:sz w:val="28"/>
              <w:szCs w:val="28"/>
              <w14:textFill>
                <w14:solidFill>
                  <w14:schemeClr w14:val="tx1"/>
                </w14:solidFill>
              </w14:textFill>
            </w:rPr>
            <w:fldChar w:fldCharType="end"/>
          </w:r>
        </w:p>
        <w:p w14:paraId="2E399755">
          <w:pPr>
            <w:pStyle w:val="26"/>
            <w:keepNext w:val="0"/>
            <w:keepLines w:val="0"/>
            <w:pageBreakBefore w:val="0"/>
            <w:widowControl/>
            <w:tabs>
              <w:tab w:val="right" w:leader="dot" w:pos="9360"/>
            </w:tabs>
            <w:kinsoku/>
            <w:wordWrap/>
            <w:overflowPunct/>
            <w:topLinePunct w:val="0"/>
            <w:autoSpaceDE/>
            <w:autoSpaceDN/>
            <w:bidi w:val="0"/>
            <w:adjustRightInd/>
            <w:spacing w:after="0"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000000" w:themeColor="text1"/>
              <w:sz w:val="28"/>
              <w:szCs w:val="28"/>
              <w14:textFill>
                <w14:solidFill>
                  <w14:schemeClr w14:val="tx1"/>
                </w14:solidFill>
              </w14:textFill>
            </w:rPr>
            <w:fldChar w:fldCharType="begin"/>
          </w:r>
          <w:r>
            <w:rPr>
              <w:rFonts w:hint="default" w:ascii="Times New Roman" w:hAnsi="Times New Roman" w:eastAsia="宋体" w:cs="Times New Roman"/>
              <w:sz w:val="28"/>
              <w:szCs w:val="28"/>
            </w:rPr>
            <w:instrText xml:space="preserve"> HYPERLINK \l _Toc599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5 商业论证BR（课程项目测算）</w:t>
          </w:r>
          <w:r>
            <w:rPr>
              <w:rFonts w:hint="default" w:ascii="Times New Roman" w:hAnsi="Times New Roman" w:eastAsia="宋体" w:cs="Times New Roman"/>
              <w:sz w:val="28"/>
              <w:szCs w:val="28"/>
            </w:rPr>
            <w:tab/>
          </w:r>
          <w:r>
            <w:rPr>
              <w:rFonts w:hint="default" w:ascii="Times New Roman" w:hAnsi="Times New Roman" w:eastAsia="宋体" w:cs="Times New Roman"/>
              <w:sz w:val="28"/>
              <w:szCs w:val="28"/>
            </w:rPr>
            <w:fldChar w:fldCharType="begin"/>
          </w:r>
          <w:r>
            <w:rPr>
              <w:rFonts w:hint="default" w:ascii="Times New Roman" w:hAnsi="Times New Roman" w:eastAsia="宋体" w:cs="Times New Roman"/>
              <w:sz w:val="28"/>
              <w:szCs w:val="28"/>
            </w:rPr>
            <w:instrText xml:space="preserve"> PAGEREF _Toc599 \h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2</w:t>
          </w:r>
          <w:r>
            <w:rPr>
              <w:rFonts w:hint="default" w:ascii="Times New Roman" w:hAnsi="Times New Roman" w:eastAsia="宋体" w:cs="Times New Roman"/>
              <w:sz w:val="28"/>
              <w:szCs w:val="28"/>
            </w:rPr>
            <w:fldChar w:fldCharType="end"/>
          </w:r>
          <w:r>
            <w:rPr>
              <w:rFonts w:hint="default" w:ascii="Times New Roman" w:hAnsi="Times New Roman" w:eastAsia="宋体" w:cs="Times New Roman"/>
              <w:color w:val="000000" w:themeColor="text1"/>
              <w:sz w:val="28"/>
              <w:szCs w:val="28"/>
              <w14:textFill>
                <w14:solidFill>
                  <w14:schemeClr w14:val="tx1"/>
                </w14:solidFill>
              </w14:textFill>
            </w:rPr>
            <w:fldChar w:fldCharType="end"/>
          </w:r>
        </w:p>
        <w:p w14:paraId="268BD56D">
          <w:pPr>
            <w:pStyle w:val="26"/>
            <w:keepNext w:val="0"/>
            <w:keepLines w:val="0"/>
            <w:pageBreakBefore w:val="0"/>
            <w:widowControl/>
            <w:tabs>
              <w:tab w:val="right" w:leader="dot" w:pos="9360"/>
            </w:tabs>
            <w:kinsoku/>
            <w:wordWrap/>
            <w:overflowPunct/>
            <w:topLinePunct w:val="0"/>
            <w:autoSpaceDE/>
            <w:autoSpaceDN/>
            <w:bidi w:val="0"/>
            <w:adjustRightInd/>
            <w:spacing w:after="0"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000000" w:themeColor="text1"/>
              <w:sz w:val="28"/>
              <w:szCs w:val="28"/>
              <w14:textFill>
                <w14:solidFill>
                  <w14:schemeClr w14:val="tx1"/>
                </w14:solidFill>
              </w14:textFill>
            </w:rPr>
            <w:fldChar w:fldCharType="begin"/>
          </w:r>
          <w:r>
            <w:rPr>
              <w:rFonts w:hint="default" w:ascii="Times New Roman" w:hAnsi="Times New Roman" w:eastAsia="宋体" w:cs="Times New Roman"/>
              <w:sz w:val="28"/>
              <w:szCs w:val="28"/>
            </w:rPr>
            <w:instrText xml:space="preserve"> HYPERLINK \l _Toc10884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6 关键技术可行性结论</w:t>
          </w:r>
          <w:r>
            <w:rPr>
              <w:rFonts w:hint="default" w:ascii="Times New Roman" w:hAnsi="Times New Roman" w:eastAsia="宋体" w:cs="Times New Roman"/>
              <w:sz w:val="28"/>
              <w:szCs w:val="28"/>
            </w:rPr>
            <w:tab/>
          </w:r>
          <w:r>
            <w:rPr>
              <w:rFonts w:hint="default" w:ascii="Times New Roman" w:hAnsi="Times New Roman" w:eastAsia="宋体" w:cs="Times New Roman"/>
              <w:sz w:val="28"/>
              <w:szCs w:val="28"/>
            </w:rPr>
            <w:fldChar w:fldCharType="begin"/>
          </w:r>
          <w:r>
            <w:rPr>
              <w:rFonts w:hint="default" w:ascii="Times New Roman" w:hAnsi="Times New Roman" w:eastAsia="宋体" w:cs="Times New Roman"/>
              <w:sz w:val="28"/>
              <w:szCs w:val="28"/>
            </w:rPr>
            <w:instrText xml:space="preserve"> PAGEREF _Toc10884 \h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3</w:t>
          </w:r>
          <w:r>
            <w:rPr>
              <w:rFonts w:hint="default" w:ascii="Times New Roman" w:hAnsi="Times New Roman" w:eastAsia="宋体" w:cs="Times New Roman"/>
              <w:sz w:val="28"/>
              <w:szCs w:val="28"/>
            </w:rPr>
            <w:fldChar w:fldCharType="end"/>
          </w:r>
          <w:r>
            <w:rPr>
              <w:rFonts w:hint="default" w:ascii="Times New Roman" w:hAnsi="Times New Roman" w:eastAsia="宋体" w:cs="Times New Roman"/>
              <w:color w:val="000000" w:themeColor="text1"/>
              <w:sz w:val="28"/>
              <w:szCs w:val="28"/>
              <w14:textFill>
                <w14:solidFill>
                  <w14:schemeClr w14:val="tx1"/>
                </w14:solidFill>
              </w14:textFill>
            </w:rPr>
            <w:fldChar w:fldCharType="end"/>
          </w:r>
        </w:p>
        <w:p w14:paraId="71993361">
          <w:pPr>
            <w:pStyle w:val="26"/>
            <w:keepNext w:val="0"/>
            <w:keepLines w:val="0"/>
            <w:pageBreakBefore w:val="0"/>
            <w:widowControl/>
            <w:tabs>
              <w:tab w:val="right" w:leader="dot" w:pos="9360"/>
            </w:tabs>
            <w:kinsoku/>
            <w:wordWrap/>
            <w:overflowPunct/>
            <w:topLinePunct w:val="0"/>
            <w:autoSpaceDE/>
            <w:autoSpaceDN/>
            <w:bidi w:val="0"/>
            <w:adjustRightInd/>
            <w:spacing w:after="0"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000000" w:themeColor="text1"/>
              <w:sz w:val="28"/>
              <w:szCs w:val="28"/>
              <w14:textFill>
                <w14:solidFill>
                  <w14:schemeClr w14:val="tx1"/>
                </w14:solidFill>
              </w14:textFill>
            </w:rPr>
            <w:fldChar w:fldCharType="begin"/>
          </w:r>
          <w:r>
            <w:rPr>
              <w:rFonts w:hint="default" w:ascii="Times New Roman" w:hAnsi="Times New Roman" w:eastAsia="宋体" w:cs="Times New Roman"/>
              <w:sz w:val="28"/>
              <w:szCs w:val="28"/>
            </w:rPr>
            <w:instrText xml:space="preserve"> HYPERLINK \l _Toc23615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7 项目范围边界</w:t>
          </w:r>
          <w:r>
            <w:rPr>
              <w:rFonts w:hint="default" w:ascii="Times New Roman" w:hAnsi="Times New Roman" w:eastAsia="宋体" w:cs="Times New Roman"/>
              <w:sz w:val="28"/>
              <w:szCs w:val="28"/>
            </w:rPr>
            <w:tab/>
          </w:r>
          <w:r>
            <w:rPr>
              <w:rFonts w:hint="default" w:ascii="Times New Roman" w:hAnsi="Times New Roman" w:eastAsia="宋体" w:cs="Times New Roman"/>
              <w:sz w:val="28"/>
              <w:szCs w:val="28"/>
            </w:rPr>
            <w:fldChar w:fldCharType="begin"/>
          </w:r>
          <w:r>
            <w:rPr>
              <w:rFonts w:hint="default" w:ascii="Times New Roman" w:hAnsi="Times New Roman" w:eastAsia="宋体" w:cs="Times New Roman"/>
              <w:sz w:val="28"/>
              <w:szCs w:val="28"/>
            </w:rPr>
            <w:instrText xml:space="preserve"> PAGEREF _Toc23615 \h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3</w:t>
          </w:r>
          <w:r>
            <w:rPr>
              <w:rFonts w:hint="default" w:ascii="Times New Roman" w:hAnsi="Times New Roman" w:eastAsia="宋体" w:cs="Times New Roman"/>
              <w:sz w:val="28"/>
              <w:szCs w:val="28"/>
            </w:rPr>
            <w:fldChar w:fldCharType="end"/>
          </w:r>
          <w:r>
            <w:rPr>
              <w:rFonts w:hint="default" w:ascii="Times New Roman" w:hAnsi="Times New Roman" w:eastAsia="宋体" w:cs="Times New Roman"/>
              <w:color w:val="000000" w:themeColor="text1"/>
              <w:sz w:val="28"/>
              <w:szCs w:val="28"/>
              <w14:textFill>
                <w14:solidFill>
                  <w14:schemeClr w14:val="tx1"/>
                </w14:solidFill>
              </w14:textFill>
            </w:rPr>
            <w:fldChar w:fldCharType="end"/>
          </w:r>
        </w:p>
        <w:p w14:paraId="73502AE6">
          <w:pPr>
            <w:pStyle w:val="26"/>
            <w:keepNext w:val="0"/>
            <w:keepLines w:val="0"/>
            <w:pageBreakBefore w:val="0"/>
            <w:widowControl/>
            <w:tabs>
              <w:tab w:val="right" w:leader="dot" w:pos="9360"/>
            </w:tabs>
            <w:kinsoku/>
            <w:wordWrap/>
            <w:overflowPunct/>
            <w:topLinePunct w:val="0"/>
            <w:autoSpaceDE/>
            <w:autoSpaceDN/>
            <w:bidi w:val="0"/>
            <w:adjustRightInd/>
            <w:spacing w:after="0"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000000" w:themeColor="text1"/>
              <w:sz w:val="28"/>
              <w:szCs w:val="28"/>
              <w14:textFill>
                <w14:solidFill>
                  <w14:schemeClr w14:val="tx1"/>
                </w14:solidFill>
              </w14:textFill>
            </w:rPr>
            <w:fldChar w:fldCharType="begin"/>
          </w:r>
          <w:r>
            <w:rPr>
              <w:rFonts w:hint="default" w:ascii="Times New Roman" w:hAnsi="Times New Roman" w:eastAsia="宋体" w:cs="Times New Roman"/>
              <w:sz w:val="28"/>
              <w:szCs w:val="28"/>
            </w:rPr>
            <w:instrText xml:space="preserve"> HYPERLINK \l _Toc27898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8 IPD全流程关键里程碑计划</w:t>
          </w:r>
          <w:r>
            <w:rPr>
              <w:rFonts w:hint="default" w:ascii="Times New Roman" w:hAnsi="Times New Roman" w:eastAsia="宋体" w:cs="Times New Roman"/>
              <w:sz w:val="28"/>
              <w:szCs w:val="28"/>
            </w:rPr>
            <w:tab/>
          </w:r>
          <w:r>
            <w:rPr>
              <w:rFonts w:hint="default" w:ascii="Times New Roman" w:hAnsi="Times New Roman" w:eastAsia="宋体" w:cs="Times New Roman"/>
              <w:sz w:val="28"/>
              <w:szCs w:val="28"/>
            </w:rPr>
            <w:fldChar w:fldCharType="begin"/>
          </w:r>
          <w:r>
            <w:rPr>
              <w:rFonts w:hint="default" w:ascii="Times New Roman" w:hAnsi="Times New Roman" w:eastAsia="宋体" w:cs="Times New Roman"/>
              <w:sz w:val="28"/>
              <w:szCs w:val="28"/>
            </w:rPr>
            <w:instrText xml:space="preserve"> PAGEREF _Toc27898 \h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3</w:t>
          </w:r>
          <w:r>
            <w:rPr>
              <w:rFonts w:hint="default" w:ascii="Times New Roman" w:hAnsi="Times New Roman" w:eastAsia="宋体" w:cs="Times New Roman"/>
              <w:sz w:val="28"/>
              <w:szCs w:val="28"/>
            </w:rPr>
            <w:fldChar w:fldCharType="end"/>
          </w:r>
          <w:r>
            <w:rPr>
              <w:rFonts w:hint="default" w:ascii="Times New Roman" w:hAnsi="Times New Roman" w:eastAsia="宋体" w:cs="Times New Roman"/>
              <w:color w:val="000000" w:themeColor="text1"/>
              <w:sz w:val="28"/>
              <w:szCs w:val="28"/>
              <w14:textFill>
                <w14:solidFill>
                  <w14:schemeClr w14:val="tx1"/>
                </w14:solidFill>
              </w14:textFill>
            </w:rPr>
            <w:fldChar w:fldCharType="end"/>
          </w:r>
        </w:p>
        <w:p w14:paraId="50B5ED93">
          <w:pPr>
            <w:pStyle w:val="26"/>
            <w:keepNext w:val="0"/>
            <w:keepLines w:val="0"/>
            <w:pageBreakBefore w:val="0"/>
            <w:widowControl/>
            <w:tabs>
              <w:tab w:val="right" w:leader="dot" w:pos="9360"/>
            </w:tabs>
            <w:kinsoku/>
            <w:wordWrap/>
            <w:overflowPunct/>
            <w:topLinePunct w:val="0"/>
            <w:autoSpaceDE/>
            <w:autoSpaceDN/>
            <w:bidi w:val="0"/>
            <w:adjustRightInd/>
            <w:spacing w:after="0"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000000" w:themeColor="text1"/>
              <w:sz w:val="28"/>
              <w:szCs w:val="28"/>
              <w14:textFill>
                <w14:solidFill>
                  <w14:schemeClr w14:val="tx1"/>
                </w14:solidFill>
              </w14:textFill>
            </w:rPr>
            <w:fldChar w:fldCharType="begin"/>
          </w:r>
          <w:r>
            <w:rPr>
              <w:rFonts w:hint="default" w:ascii="Times New Roman" w:hAnsi="Times New Roman" w:eastAsia="宋体" w:cs="Times New Roman"/>
              <w:sz w:val="28"/>
              <w:szCs w:val="28"/>
            </w:rPr>
            <w:instrText xml:space="preserve"> HYPERLINK \l _Toc6900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9 PDT跨职能团队组织与RACI权责</w:t>
          </w:r>
          <w:r>
            <w:rPr>
              <w:rFonts w:hint="default" w:ascii="Times New Roman" w:hAnsi="Times New Roman" w:eastAsia="宋体" w:cs="Times New Roman"/>
              <w:sz w:val="28"/>
              <w:szCs w:val="28"/>
            </w:rPr>
            <w:tab/>
          </w:r>
          <w:r>
            <w:rPr>
              <w:rFonts w:hint="default" w:ascii="Times New Roman" w:hAnsi="Times New Roman" w:eastAsia="宋体" w:cs="Times New Roman"/>
              <w:sz w:val="28"/>
              <w:szCs w:val="28"/>
            </w:rPr>
            <w:fldChar w:fldCharType="begin"/>
          </w:r>
          <w:r>
            <w:rPr>
              <w:rFonts w:hint="default" w:ascii="Times New Roman" w:hAnsi="Times New Roman" w:eastAsia="宋体" w:cs="Times New Roman"/>
              <w:sz w:val="28"/>
              <w:szCs w:val="28"/>
            </w:rPr>
            <w:instrText xml:space="preserve"> PAGEREF _Toc6900 \h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4</w:t>
          </w:r>
          <w:r>
            <w:rPr>
              <w:rFonts w:hint="default" w:ascii="Times New Roman" w:hAnsi="Times New Roman" w:eastAsia="宋体" w:cs="Times New Roman"/>
              <w:sz w:val="28"/>
              <w:szCs w:val="28"/>
            </w:rPr>
            <w:fldChar w:fldCharType="end"/>
          </w:r>
          <w:r>
            <w:rPr>
              <w:rFonts w:hint="default" w:ascii="Times New Roman" w:hAnsi="Times New Roman" w:eastAsia="宋体" w:cs="Times New Roman"/>
              <w:color w:val="000000" w:themeColor="text1"/>
              <w:sz w:val="28"/>
              <w:szCs w:val="28"/>
              <w14:textFill>
                <w14:solidFill>
                  <w14:schemeClr w14:val="tx1"/>
                </w14:solidFill>
              </w14:textFill>
            </w:rPr>
            <w:fldChar w:fldCharType="end"/>
          </w:r>
        </w:p>
        <w:p w14:paraId="6F16E7A9">
          <w:pPr>
            <w:pStyle w:val="26"/>
            <w:keepNext w:val="0"/>
            <w:keepLines w:val="0"/>
            <w:pageBreakBefore w:val="0"/>
            <w:widowControl/>
            <w:tabs>
              <w:tab w:val="right" w:leader="dot" w:pos="9360"/>
            </w:tabs>
            <w:kinsoku/>
            <w:wordWrap/>
            <w:overflowPunct/>
            <w:topLinePunct w:val="0"/>
            <w:autoSpaceDE/>
            <w:autoSpaceDN/>
            <w:bidi w:val="0"/>
            <w:adjustRightInd/>
            <w:spacing w:after="0"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000000" w:themeColor="text1"/>
              <w:sz w:val="28"/>
              <w:szCs w:val="28"/>
              <w14:textFill>
                <w14:solidFill>
                  <w14:schemeClr w14:val="tx1"/>
                </w14:solidFill>
              </w14:textFill>
            </w:rPr>
            <w:fldChar w:fldCharType="begin"/>
          </w:r>
          <w:r>
            <w:rPr>
              <w:rFonts w:hint="default" w:ascii="Times New Roman" w:hAnsi="Times New Roman" w:eastAsia="宋体" w:cs="Times New Roman"/>
              <w:sz w:val="28"/>
              <w:szCs w:val="28"/>
            </w:rPr>
            <w:instrText xml:space="preserve"> HYPERLINK \l _Toc15024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10 项目资源预算配置</w:t>
          </w:r>
          <w:r>
            <w:rPr>
              <w:rFonts w:hint="default" w:ascii="Times New Roman" w:hAnsi="Times New Roman" w:eastAsia="宋体" w:cs="Times New Roman"/>
              <w:sz w:val="28"/>
              <w:szCs w:val="28"/>
            </w:rPr>
            <w:tab/>
          </w:r>
          <w:r>
            <w:rPr>
              <w:rFonts w:hint="default" w:ascii="Times New Roman" w:hAnsi="Times New Roman" w:eastAsia="宋体" w:cs="Times New Roman"/>
              <w:sz w:val="28"/>
              <w:szCs w:val="28"/>
            </w:rPr>
            <w:fldChar w:fldCharType="begin"/>
          </w:r>
          <w:r>
            <w:rPr>
              <w:rFonts w:hint="default" w:ascii="Times New Roman" w:hAnsi="Times New Roman" w:eastAsia="宋体" w:cs="Times New Roman"/>
              <w:sz w:val="28"/>
              <w:szCs w:val="28"/>
            </w:rPr>
            <w:instrText xml:space="preserve"> PAGEREF _Toc15024 \h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4</w:t>
          </w:r>
          <w:r>
            <w:rPr>
              <w:rFonts w:hint="default" w:ascii="Times New Roman" w:hAnsi="Times New Roman" w:eastAsia="宋体" w:cs="Times New Roman"/>
              <w:sz w:val="28"/>
              <w:szCs w:val="28"/>
            </w:rPr>
            <w:fldChar w:fldCharType="end"/>
          </w:r>
          <w:r>
            <w:rPr>
              <w:rFonts w:hint="default" w:ascii="Times New Roman" w:hAnsi="Times New Roman" w:eastAsia="宋体" w:cs="Times New Roman"/>
              <w:color w:val="000000" w:themeColor="text1"/>
              <w:sz w:val="28"/>
              <w:szCs w:val="28"/>
              <w14:textFill>
                <w14:solidFill>
                  <w14:schemeClr w14:val="tx1"/>
                </w14:solidFill>
              </w14:textFill>
            </w:rPr>
            <w:fldChar w:fldCharType="end"/>
          </w:r>
        </w:p>
        <w:p w14:paraId="1E97E08C">
          <w:pPr>
            <w:pStyle w:val="26"/>
            <w:keepNext w:val="0"/>
            <w:keepLines w:val="0"/>
            <w:pageBreakBefore w:val="0"/>
            <w:widowControl/>
            <w:tabs>
              <w:tab w:val="right" w:leader="dot" w:pos="9360"/>
            </w:tabs>
            <w:kinsoku/>
            <w:wordWrap/>
            <w:overflowPunct/>
            <w:topLinePunct w:val="0"/>
            <w:autoSpaceDE/>
            <w:autoSpaceDN/>
            <w:bidi w:val="0"/>
            <w:adjustRightInd/>
            <w:spacing w:after="0"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000000" w:themeColor="text1"/>
              <w:sz w:val="28"/>
              <w:szCs w:val="28"/>
              <w14:textFill>
                <w14:solidFill>
                  <w14:schemeClr w14:val="tx1"/>
                </w14:solidFill>
              </w14:textFill>
            </w:rPr>
            <w:fldChar w:fldCharType="begin"/>
          </w:r>
          <w:r>
            <w:rPr>
              <w:rFonts w:hint="default" w:ascii="Times New Roman" w:hAnsi="Times New Roman" w:eastAsia="宋体" w:cs="Times New Roman"/>
              <w:sz w:val="28"/>
              <w:szCs w:val="28"/>
            </w:rPr>
            <w:instrText xml:space="preserve"> HYPERLINK \l _Toc16367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11 顶层项目风险清单及应对预案</w:t>
          </w:r>
          <w:r>
            <w:rPr>
              <w:rFonts w:hint="default" w:ascii="Times New Roman" w:hAnsi="Times New Roman" w:eastAsia="宋体" w:cs="Times New Roman"/>
              <w:sz w:val="28"/>
              <w:szCs w:val="28"/>
            </w:rPr>
            <w:tab/>
          </w:r>
          <w:r>
            <w:rPr>
              <w:rFonts w:hint="default" w:ascii="Times New Roman" w:hAnsi="Times New Roman" w:eastAsia="宋体" w:cs="Times New Roman"/>
              <w:sz w:val="28"/>
              <w:szCs w:val="28"/>
            </w:rPr>
            <w:fldChar w:fldCharType="begin"/>
          </w:r>
          <w:r>
            <w:rPr>
              <w:rFonts w:hint="default" w:ascii="Times New Roman" w:hAnsi="Times New Roman" w:eastAsia="宋体" w:cs="Times New Roman"/>
              <w:sz w:val="28"/>
              <w:szCs w:val="28"/>
            </w:rPr>
            <w:instrText xml:space="preserve"> PAGEREF _Toc16367 \h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5</w:t>
          </w:r>
          <w:r>
            <w:rPr>
              <w:rFonts w:hint="default" w:ascii="Times New Roman" w:hAnsi="Times New Roman" w:eastAsia="宋体" w:cs="Times New Roman"/>
              <w:sz w:val="28"/>
              <w:szCs w:val="28"/>
            </w:rPr>
            <w:fldChar w:fldCharType="end"/>
          </w:r>
          <w:r>
            <w:rPr>
              <w:rFonts w:hint="default" w:ascii="Times New Roman" w:hAnsi="Times New Roman" w:eastAsia="宋体" w:cs="Times New Roman"/>
              <w:color w:val="000000" w:themeColor="text1"/>
              <w:sz w:val="28"/>
              <w:szCs w:val="28"/>
              <w14:textFill>
                <w14:solidFill>
                  <w14:schemeClr w14:val="tx1"/>
                </w14:solidFill>
              </w14:textFill>
            </w:rPr>
            <w:fldChar w:fldCharType="end"/>
          </w:r>
        </w:p>
        <w:p w14:paraId="02FBEDCB">
          <w:pPr>
            <w:pStyle w:val="26"/>
            <w:keepNext w:val="0"/>
            <w:keepLines w:val="0"/>
            <w:pageBreakBefore w:val="0"/>
            <w:widowControl/>
            <w:tabs>
              <w:tab w:val="right" w:leader="dot" w:pos="9360"/>
            </w:tabs>
            <w:kinsoku/>
            <w:wordWrap/>
            <w:overflowPunct/>
            <w:topLinePunct w:val="0"/>
            <w:autoSpaceDE/>
            <w:autoSpaceDN/>
            <w:bidi w:val="0"/>
            <w:adjustRightInd/>
            <w:spacing w:after="0" w:line="360" w:lineRule="auto"/>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000000" w:themeColor="text1"/>
              <w:sz w:val="28"/>
              <w:szCs w:val="28"/>
              <w14:textFill>
                <w14:solidFill>
                  <w14:schemeClr w14:val="tx1"/>
                </w14:solidFill>
              </w14:textFill>
            </w:rPr>
            <w:fldChar w:fldCharType="begin"/>
          </w:r>
          <w:r>
            <w:rPr>
              <w:rFonts w:hint="default" w:ascii="Times New Roman" w:hAnsi="Times New Roman" w:eastAsia="宋体" w:cs="Times New Roman"/>
              <w:sz w:val="28"/>
              <w:szCs w:val="28"/>
            </w:rPr>
            <w:instrText xml:space="preserve"> HYPERLINK \l _Toc7818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12 立项决策请求</w:t>
          </w:r>
          <w:r>
            <w:rPr>
              <w:rFonts w:hint="default" w:ascii="Times New Roman" w:hAnsi="Times New Roman" w:eastAsia="宋体" w:cs="Times New Roman"/>
              <w:sz w:val="28"/>
              <w:szCs w:val="28"/>
            </w:rPr>
            <w:tab/>
          </w:r>
          <w:r>
            <w:rPr>
              <w:rFonts w:hint="default" w:ascii="Times New Roman" w:hAnsi="Times New Roman" w:eastAsia="宋体" w:cs="Times New Roman"/>
              <w:sz w:val="28"/>
              <w:szCs w:val="28"/>
            </w:rPr>
            <w:fldChar w:fldCharType="begin"/>
          </w:r>
          <w:r>
            <w:rPr>
              <w:rFonts w:hint="default" w:ascii="Times New Roman" w:hAnsi="Times New Roman" w:eastAsia="宋体" w:cs="Times New Roman"/>
              <w:sz w:val="28"/>
              <w:szCs w:val="28"/>
            </w:rPr>
            <w:instrText xml:space="preserve"> PAGEREF _Toc7818 \h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5</w:t>
          </w:r>
          <w:r>
            <w:rPr>
              <w:rFonts w:hint="default" w:ascii="Times New Roman" w:hAnsi="Times New Roman" w:eastAsia="宋体" w:cs="Times New Roman"/>
              <w:sz w:val="28"/>
              <w:szCs w:val="28"/>
            </w:rPr>
            <w:fldChar w:fldCharType="end"/>
          </w:r>
          <w:r>
            <w:rPr>
              <w:rFonts w:hint="default" w:ascii="Times New Roman" w:hAnsi="Times New Roman" w:eastAsia="宋体" w:cs="Times New Roman"/>
              <w:color w:val="000000" w:themeColor="text1"/>
              <w:sz w:val="28"/>
              <w:szCs w:val="28"/>
              <w14:textFill>
                <w14:solidFill>
                  <w14:schemeClr w14:val="tx1"/>
                </w14:solidFill>
              </w14:textFill>
            </w:rPr>
            <w:fldChar w:fldCharType="end"/>
          </w:r>
        </w:p>
        <w:p w14:paraId="0196435C">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color w:val="000000" w:themeColor="text1"/>
              <w:sz w:val="22"/>
              <w:szCs w:val="22"/>
              <w:lang w:val="en-US" w:eastAsia="en-US" w:bidi="ar-SA"/>
              <w14:textFill>
                <w14:solidFill>
                  <w14:schemeClr w14:val="tx1"/>
                </w14:solidFill>
              </w14:textFill>
            </w:rPr>
          </w:pPr>
          <w:r>
            <w:rPr>
              <w:rFonts w:hint="default" w:ascii="Times New Roman" w:hAnsi="Times New Roman" w:eastAsia="宋体" w:cs="Times New Roman"/>
              <w:color w:val="000000" w:themeColor="text1"/>
              <w:sz w:val="28"/>
              <w:szCs w:val="28"/>
              <w14:textFill>
                <w14:solidFill>
                  <w14:schemeClr w14:val="tx1"/>
                </w14:solidFill>
              </w14:textFill>
            </w:rPr>
            <w:fldChar w:fldCharType="end"/>
          </w:r>
        </w:p>
      </w:sdtContent>
    </w:sdt>
    <w:p w14:paraId="3BCF0866">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color w:val="000000" w:themeColor="text1"/>
          <w:sz w:val="22"/>
          <w:szCs w:val="22"/>
          <w:lang w:val="en-US" w:eastAsia="en-US" w:bidi="ar-SA"/>
          <w14:textFill>
            <w14:solidFill>
              <w14:schemeClr w14:val="tx1"/>
            </w14:solidFill>
          </w14:textFill>
        </w:rPr>
        <w:sectPr>
          <w:pgMar w:top="1440" w:right="1440" w:bottom="1440" w:left="1440" w:header="720" w:footer="720" w:gutter="0"/>
          <w:cols w:space="720" w:num="1"/>
        </w:sectPr>
      </w:pPr>
    </w:p>
    <w:p w14:paraId="29B5BE93">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color w:val="000000" w:themeColor="text1"/>
          <w14:textFill>
            <w14:solidFill>
              <w14:schemeClr w14:val="tx1"/>
            </w14:solidFill>
          </w14:textFill>
        </w:rPr>
      </w:pPr>
    </w:p>
    <w:p w14:paraId="5EDA5B32">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0"/>
        <w:rPr>
          <w:rFonts w:hint="default" w:ascii="Times New Roman" w:hAnsi="Times New Roman" w:eastAsia="宋体" w:cs="Times New Roman"/>
        </w:rPr>
      </w:pPr>
      <w:bookmarkStart w:id="0" w:name="heading_1"/>
      <w:r>
        <w:rPr>
          <w:rFonts w:hint="default" w:ascii="Times New Roman" w:hAnsi="Times New Roman" w:eastAsia="宋体" w:cs="Times New Roman"/>
          <w:b/>
          <w:sz w:val="36"/>
        </w:rPr>
        <w:t>1 执行摘要</w:t>
      </w:r>
      <w:bookmarkEnd w:id="0"/>
    </w:p>
    <w:p w14:paraId="4BA17C6E">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本项目面向基层河道管理场景，基于Jetson Orin Nano（40 TOPS算力）边缘计算终端，研发一套集视觉识别、多模态融合感知与智能工单闭环于一体的河道主动巡护原型验证系统。产品形态为“边缘终端+摄像头/扩展传感器+Web管理看板”。</w:t>
      </w:r>
    </w:p>
    <w:p w14:paraId="1251FC5B">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项目针对传统人工巡护效率低、视频监控被动盯屏、事件处置缺乏证据链等核心痛点，采用端侧YOLO轻量化模型实现漂浮垃圾、违规船只/人员、岸边堆料、疑似油污/泡沫等目标的实时识别（推理延迟≤50ms），并结合扩展传感器数据实现多模态风险分级，自动生成含抓拍、位置、类型、等级和建议处置部门的标准化事件工单，形成“发现—预警—派单—处置”全链条业务闭环演示。</w:t>
      </w:r>
    </w:p>
    <w:p w14:paraId="1A0BB2FA">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本项目为9天集中冲刺研发，投入8人全职团队，现金预算控制在2万元以内（含外接演示设备与耗材）。预期输出可运行的单河段MVP原型软件、全套IPD设计文档（PRS/架构/详细设计/测试报告）及答辩演示材料。</w:t>
      </w:r>
    </w:p>
    <w:p w14:paraId="6B3DB6EC">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核心技术路线已完成预研验证，硬件平台算力充裕，团队配置完整，风险整体可控。建议IPMT批准立项，进入原型验证阶段。</w:t>
      </w:r>
    </w:p>
    <w:p w14:paraId="48FD0EB8">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0"/>
        <w:rPr>
          <w:rFonts w:hint="default" w:ascii="Times New Roman" w:hAnsi="Times New Roman" w:eastAsia="宋体" w:cs="Times New Roman"/>
          <w:b/>
          <w:sz w:val="36"/>
        </w:rPr>
      </w:pPr>
      <w:bookmarkStart w:id="1" w:name="heading_2"/>
      <w:r>
        <w:rPr>
          <w:rFonts w:hint="default" w:ascii="Times New Roman" w:hAnsi="Times New Roman" w:eastAsia="宋体" w:cs="Times New Roman"/>
          <w:b/>
          <w:sz w:val="36"/>
        </w:rPr>
        <w:t>2 项目背景与公司战略匹配说明</w:t>
      </w:r>
      <w:bookmarkEnd w:id="1"/>
    </w:p>
    <w:p w14:paraId="660DF033">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1"/>
        <w:rPr>
          <w:rFonts w:hint="default" w:ascii="Times New Roman" w:hAnsi="Times New Roman" w:eastAsia="宋体" w:cs="Times New Roman"/>
        </w:rPr>
      </w:pPr>
      <w:bookmarkStart w:id="2" w:name="heading_3"/>
      <w:r>
        <w:rPr>
          <w:rFonts w:hint="default" w:ascii="Times New Roman" w:hAnsi="Times New Roman" w:eastAsia="宋体" w:cs="Times New Roman"/>
          <w:b/>
          <w:sz w:val="32"/>
        </w:rPr>
        <w:t>2.1 立项背景</w:t>
      </w:r>
      <w:bookmarkEnd w:id="2"/>
    </w:p>
    <w:p w14:paraId="69101D6C">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河道管理正从“被动巡查、事后上报”向“主动发现、分级处置”加速转型。当前面临三重困境：</w:t>
      </w:r>
    </w:p>
    <w:p w14:paraId="0A417323">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政策驱动</w:t>
      </w:r>
      <w:r>
        <w:rPr>
          <w:rFonts w:hint="default" w:ascii="Times New Roman" w:hAnsi="Times New Roman" w:eastAsia="宋体" w:cs="Times New Roman"/>
          <w:sz w:val="24"/>
          <w:szCs w:val="24"/>
        </w:rPr>
        <w:t>：2025年，水利部印发《河湖库一体化监测感知体系建设三年行动方案（2025-2027）》，明确要求到2027年基本建成全天候、全时段、全要素的河湖库监测感知体系，贯通“监测—研判—预警—处置”全链条。国务院《关于加快场景培育和开放推动新场景大规模应用的实施意见》已将人工智能和智慧水利列为重点发展领域。</w:t>
      </w:r>
    </w:p>
    <w:p w14:paraId="0BA5AA56">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痛点约束</w:t>
      </w:r>
      <w:r>
        <w:rPr>
          <w:rFonts w:hint="default" w:ascii="Times New Roman" w:hAnsi="Times New Roman" w:eastAsia="宋体" w:cs="Times New Roman"/>
          <w:sz w:val="24"/>
          <w:szCs w:val="24"/>
        </w:rPr>
        <w:t>：传统人工徒步巡护强度大、夜间及恶劣天气无法作业、人身安全风险高；现有视频监控系统“只录不判”，需人工盯屏，漏判误判频发；视频与水文数据割裂，问题从发现到处置周期长达3-5天，缺少闭环管理机制与可追溯证据链。</w:t>
      </w:r>
    </w:p>
    <w:p w14:paraId="5BC8DD85">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业务契机</w:t>
      </w:r>
      <w:r>
        <w:rPr>
          <w:rFonts w:hint="default" w:ascii="Times New Roman" w:hAnsi="Times New Roman" w:eastAsia="宋体" w:cs="Times New Roman"/>
          <w:sz w:val="24"/>
          <w:szCs w:val="24"/>
        </w:rPr>
        <w:t>：现有边缘终端已具备高性能算力、摄像头、多传感器接口和模型部署环境，可快速构建河道垂直应用，无需从零投入硬件研发。</w:t>
      </w:r>
    </w:p>
    <w:p w14:paraId="289FCB10">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1"/>
        <w:rPr>
          <w:rFonts w:hint="default" w:ascii="Times New Roman" w:hAnsi="Times New Roman" w:eastAsia="宋体" w:cs="Times New Roman"/>
        </w:rPr>
      </w:pPr>
      <w:bookmarkStart w:id="3" w:name="heading_4"/>
      <w:r>
        <w:rPr>
          <w:rFonts w:hint="default" w:ascii="Times New Roman" w:hAnsi="Times New Roman" w:eastAsia="宋体" w:cs="Times New Roman"/>
          <w:b/>
          <w:sz w:val="32"/>
        </w:rPr>
        <w:t>2.2 与公司产品线战略匹配</w:t>
      </w:r>
      <w:bookmarkEnd w:id="3"/>
    </w:p>
    <w:p w14:paraId="195E77FC">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rPr>
      </w:pPr>
      <w:r>
        <w:rPr>
          <w:rFonts w:hint="default" w:ascii="Times New Roman" w:hAnsi="Times New Roman" w:eastAsia="宋体" w:cs="Times New Roman"/>
          <w:sz w:val="24"/>
          <w:szCs w:val="24"/>
        </w:rPr>
        <w:t>本项目归属“边缘AI+智慧水务”赛道，填补了公司在河道边缘端主动感知与智能巡护领域的产品空白。与公司3年产品路标中“行业AI赋能”战略方向高度吻合，同时沉淀多模态感知、规则引擎和端云协同的可复用技术能力，具备向水库、湖泊、城市内河等场景复制推广的长期战略价值</w:t>
      </w:r>
      <w:r>
        <w:rPr>
          <w:rFonts w:hint="default" w:ascii="Times New Roman" w:hAnsi="Times New Roman" w:eastAsia="宋体" w:cs="Times New Roman"/>
          <w:sz w:val="22"/>
        </w:rPr>
        <w:t>。</w:t>
      </w:r>
    </w:p>
    <w:p w14:paraId="18A8D0FB">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0"/>
        <w:rPr>
          <w:rFonts w:hint="default" w:ascii="Times New Roman" w:hAnsi="Times New Roman" w:eastAsia="宋体" w:cs="Times New Roman"/>
        </w:rPr>
      </w:pPr>
      <w:bookmarkStart w:id="4" w:name="heading_5"/>
      <w:r>
        <w:rPr>
          <w:rFonts w:hint="default" w:ascii="Times New Roman" w:hAnsi="Times New Roman" w:eastAsia="宋体" w:cs="Times New Roman"/>
          <w:b/>
          <w:sz w:val="36"/>
        </w:rPr>
        <w:t>3 市场机会简要概述</w:t>
      </w:r>
      <w:bookmarkEnd w:id="4"/>
    </w:p>
    <w:p w14:paraId="22B7850C">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目标客户</w:t>
      </w:r>
      <w:r>
        <w:rPr>
          <w:rFonts w:hint="default" w:ascii="Times New Roman" w:hAnsi="Times New Roman" w:eastAsia="宋体" w:cs="Times New Roman"/>
          <w:sz w:val="24"/>
          <w:szCs w:val="24"/>
        </w:rPr>
        <w:t>：省/市/县级河长制办公室、水务局/城管局、园区及河道运维单位。全国地市级河道管理单位约2000余个，市场需求明确。</w:t>
      </w:r>
    </w:p>
    <w:p w14:paraId="4D94AC65">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核心痛点</w:t>
      </w:r>
      <w:r>
        <w:rPr>
          <w:rFonts w:hint="default" w:ascii="Times New Roman" w:hAnsi="Times New Roman" w:eastAsia="宋体" w:cs="Times New Roman"/>
          <w:sz w:val="24"/>
          <w:szCs w:val="24"/>
        </w:rPr>
        <w:t>：客户面临“巡不到（人力覆盖有限）、看不全（视频依赖人工盯屏）、应不急（处置周期3-5天）、证不牢（缺乏完整证据链）”四大困境，急需一套能7×24小时自动巡河、主动预警、闭环处置的轻量化智能系统。</w:t>
      </w:r>
    </w:p>
    <w:p w14:paraId="639A72F4">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竞品差异</w:t>
      </w:r>
      <w:r>
        <w:rPr>
          <w:rFonts w:hint="default" w:ascii="Times New Roman" w:hAnsi="Times New Roman" w:eastAsia="宋体" w:cs="Times New Roman"/>
          <w:sz w:val="24"/>
          <w:szCs w:val="24"/>
        </w:rPr>
        <w:t>：当前市场竞品多为云端集中分析方案（视频全量上传，依赖网络，延迟高、带宽成本大）或重型平台（部署成本高、周期长）。本项目走“边缘端实时推理+轻量化部署”路线，数据本地处理、毫秒级响应、断网可独立运行，形成显著差异化优势。</w:t>
      </w:r>
    </w:p>
    <w:p w14:paraId="5E66EE8A">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0"/>
        <w:rPr>
          <w:rFonts w:hint="default" w:ascii="Times New Roman" w:hAnsi="Times New Roman" w:eastAsia="宋体" w:cs="Times New Roman"/>
        </w:rPr>
      </w:pPr>
      <w:bookmarkStart w:id="5" w:name="heading_6"/>
      <w:r>
        <w:rPr>
          <w:rFonts w:hint="default" w:ascii="Times New Roman" w:hAnsi="Times New Roman" w:eastAsia="宋体" w:cs="Times New Roman"/>
          <w:b/>
          <w:sz w:val="36"/>
        </w:rPr>
        <w:t>4 产品完整定义</w:t>
      </w:r>
      <w:bookmarkEnd w:id="5"/>
    </w:p>
    <w:p w14:paraId="216DFA0B">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1"/>
        <w:rPr>
          <w:rFonts w:hint="default" w:ascii="Times New Roman" w:hAnsi="Times New Roman" w:eastAsia="宋体" w:cs="Times New Roman"/>
        </w:rPr>
      </w:pPr>
      <w:bookmarkStart w:id="6" w:name="heading_7"/>
      <w:r>
        <w:rPr>
          <w:rFonts w:hint="default" w:ascii="Times New Roman" w:hAnsi="Times New Roman" w:eastAsia="宋体" w:cs="Times New Roman"/>
          <w:b/>
          <w:sz w:val="32"/>
        </w:rPr>
        <w:t>4.1 产品名称与产品定位</w:t>
      </w:r>
      <w:bookmarkEnd w:id="6"/>
    </w:p>
    <w:p w14:paraId="384B6043">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产品名称</w:t>
      </w:r>
      <w:r>
        <w:rPr>
          <w:rFonts w:hint="default" w:ascii="Times New Roman" w:hAnsi="Times New Roman" w:eastAsia="宋体" w:cs="Times New Roman"/>
          <w:sz w:val="24"/>
          <w:szCs w:val="24"/>
        </w:rPr>
        <w:t>：基于边缘智能与多模态感知的河道主动巡护与风险闭环系统</w:t>
      </w:r>
    </w:p>
    <w:p w14:paraId="32D6EE07">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产品定位</w:t>
      </w:r>
      <w:r>
        <w:rPr>
          <w:rFonts w:hint="default" w:ascii="Times New Roman" w:hAnsi="Times New Roman" w:eastAsia="宋体" w:cs="Times New Roman"/>
          <w:sz w:val="24"/>
          <w:szCs w:val="24"/>
        </w:rPr>
        <w:t>：面向单河段和园区河道的边缘AI主动巡护原型系统，以Jetson Orin Nano（40 TOPS算力）边缘计算终端为载体、YOLO轻量化目标检测模型为核心、多模态融合感知为扩展，实现河道视频流的实时目标识别、主动预警与智能工单闭环处置。</w:t>
      </w:r>
    </w:p>
    <w:p w14:paraId="726B9E85">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1"/>
        <w:rPr>
          <w:rFonts w:hint="default" w:ascii="Times New Roman" w:hAnsi="Times New Roman" w:eastAsia="宋体" w:cs="Times New Roman"/>
        </w:rPr>
      </w:pPr>
      <w:bookmarkStart w:id="7" w:name="heading_8"/>
      <w:r>
        <w:rPr>
          <w:rFonts w:hint="default" w:ascii="Times New Roman" w:hAnsi="Times New Roman" w:eastAsia="宋体" w:cs="Times New Roman"/>
          <w:b/>
          <w:sz w:val="32"/>
        </w:rPr>
        <w:t>4.2 核心产品能力</w:t>
      </w:r>
      <w:bookmarkEnd w:id="7"/>
    </w:p>
    <w:p w14:paraId="67D82C66">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2"/>
        <w:rPr>
          <w:rFonts w:hint="default" w:ascii="Times New Roman" w:hAnsi="Times New Roman" w:eastAsia="宋体" w:cs="Times New Roman"/>
        </w:rPr>
      </w:pPr>
      <w:bookmarkStart w:id="8" w:name="heading_9"/>
      <w:r>
        <w:rPr>
          <w:rFonts w:hint="default" w:ascii="Times New Roman" w:hAnsi="Times New Roman" w:eastAsia="宋体" w:cs="Times New Roman"/>
          <w:b/>
          <w:sz w:val="30"/>
        </w:rPr>
        <w:t>【首期核心功能（本项目验证范围）】</w:t>
      </w:r>
      <w:bookmarkEnd w:id="8"/>
    </w:p>
    <w:p w14:paraId="18B6E049">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视觉巡护模块</w:t>
      </w:r>
      <w:r>
        <w:rPr>
          <w:rFonts w:hint="default" w:ascii="Times New Roman" w:hAnsi="Times New Roman" w:eastAsia="宋体" w:cs="Times New Roman"/>
          <w:sz w:val="24"/>
          <w:szCs w:val="24"/>
        </w:rPr>
        <w:t>：基于YOLO轻量化目标检测模型，实现漂浮垃圾（塑料袋、泡沫、饮料瓶）、岸边堆料（建筑垃圾、废弃物）、违规船只/人员、疑似油污/泡沫等4类以上视觉事件的实时识别与目标跟踪。</w:t>
      </w:r>
    </w:p>
    <w:p w14:paraId="00E602B8">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多模态研判模块</w:t>
      </w:r>
      <w:r>
        <w:rPr>
          <w:rFonts w:hint="default" w:ascii="Times New Roman" w:hAnsi="Times New Roman" w:eastAsia="宋体" w:cs="Times New Roman"/>
          <w:sz w:val="24"/>
          <w:szCs w:val="24"/>
        </w:rPr>
        <w:t>：融合视频识别置信度、时间、天气及外接传感器（水位/雨量/水质等）数据，对事件进行风险综合评级。</w:t>
      </w:r>
    </w:p>
    <w:p w14:paraId="1B66FF66">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主动预警模块</w:t>
      </w:r>
      <w:r>
        <w:rPr>
          <w:rFonts w:hint="default" w:ascii="Times New Roman" w:hAnsi="Times New Roman" w:eastAsia="宋体" w:cs="Times New Roman"/>
          <w:sz w:val="24"/>
          <w:szCs w:val="24"/>
        </w:rPr>
        <w:t>：基于阈值判定、趋势分析和规则引擎，实现事件分级告警（低/中/高）。</w:t>
      </w:r>
    </w:p>
    <w:p w14:paraId="6694BED5">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闭环处置模块</w:t>
      </w:r>
      <w:r>
        <w:rPr>
          <w:rFonts w:hint="default" w:ascii="Times New Roman" w:hAnsi="Times New Roman" w:eastAsia="宋体" w:cs="Times New Roman"/>
          <w:sz w:val="24"/>
          <w:szCs w:val="24"/>
        </w:rPr>
        <w:t>：自动生成包含事件抓拍、位置、类型、风险等级和建议处置部门的标准化工单，进入模拟派单与状态流转（待派发→处置中→已归档）。</w:t>
      </w:r>
    </w:p>
    <w:p w14:paraId="5D5CB212">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管理助手模块</w:t>
      </w:r>
      <w:r>
        <w:rPr>
          <w:rFonts w:hint="default" w:ascii="Times New Roman" w:hAnsi="Times New Roman" w:eastAsia="宋体" w:cs="Times New Roman"/>
          <w:sz w:val="24"/>
          <w:szCs w:val="24"/>
        </w:rPr>
        <w:t>：基于规则库生成处置建议与巡检摘要，支持事件查询与统计。</w:t>
      </w:r>
    </w:p>
    <w:p w14:paraId="1BDA8D22">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2"/>
        <w:rPr>
          <w:rFonts w:hint="default" w:ascii="Times New Roman" w:hAnsi="Times New Roman" w:eastAsia="宋体" w:cs="Times New Roman"/>
        </w:rPr>
      </w:pPr>
      <w:bookmarkStart w:id="9" w:name="heading_10"/>
      <w:r>
        <w:rPr>
          <w:rFonts w:hint="default" w:ascii="Times New Roman" w:hAnsi="Times New Roman" w:eastAsia="宋体" w:cs="Times New Roman"/>
          <w:b/>
          <w:sz w:val="30"/>
        </w:rPr>
        <w:t>【后续扩展方向（产品化阶段）】</w:t>
      </w:r>
      <w:bookmarkEnd w:id="9"/>
    </w:p>
    <w:p w14:paraId="25F1E2DB">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水位视觉识别（摄像头读取水尺刻度）</w:t>
      </w:r>
    </w:p>
    <w:p w14:paraId="06544656">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时序预测（降雨-水位-风险关联预测）</w:t>
      </w:r>
    </w:p>
    <w:p w14:paraId="07C60596">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大模型河道管理助手（法规查询、日报生成）</w:t>
      </w:r>
    </w:p>
    <w:p w14:paraId="1A5B120D">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河道数字档案（历史图像对比、变化趋势分析）</w:t>
      </w:r>
    </w:p>
    <w:p w14:paraId="075C73C7">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1"/>
        <w:rPr>
          <w:rFonts w:hint="default" w:ascii="Times New Roman" w:hAnsi="Times New Roman" w:eastAsia="宋体" w:cs="Times New Roman"/>
        </w:rPr>
      </w:pPr>
      <w:bookmarkStart w:id="10" w:name="heading_11"/>
      <w:r>
        <w:rPr>
          <w:rFonts w:hint="default" w:ascii="Times New Roman" w:hAnsi="Times New Roman" w:eastAsia="宋体" w:cs="Times New Roman"/>
          <w:b/>
          <w:sz w:val="32"/>
        </w:rPr>
        <w:t>4.3 交付形态</w:t>
      </w:r>
      <w:bookmarkEnd w:id="10"/>
    </w:p>
    <w:p w14:paraId="376EDE5F">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边缘端推理程序（部署于Jetson Orin Nano）</w:t>
      </w:r>
    </w:p>
    <w:p w14:paraId="62A9403E">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Web管理看板原型（告警列表、工单流转）</w:t>
      </w:r>
    </w:p>
    <w:p w14:paraId="0E93BB57">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测试报告与模型评估报告</w:t>
      </w:r>
    </w:p>
    <w:p w14:paraId="0CF882A2">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演示视频（端到端闭环流程）</w:t>
      </w:r>
    </w:p>
    <w:p w14:paraId="0DD9DC0F">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全套IPD研发文档（本Charter、PRS、架构设计、详细设计）</w:t>
      </w:r>
    </w:p>
    <w:p w14:paraId="3319EE4A">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1"/>
        <w:rPr>
          <w:rFonts w:hint="default" w:ascii="Times New Roman" w:hAnsi="Times New Roman" w:eastAsia="宋体" w:cs="Times New Roman"/>
        </w:rPr>
      </w:pPr>
      <w:bookmarkStart w:id="11" w:name="heading_12"/>
      <w:r>
        <w:rPr>
          <w:rFonts w:hint="default" w:ascii="Times New Roman" w:hAnsi="Times New Roman" w:eastAsia="宋体" w:cs="Times New Roman"/>
          <w:b/>
          <w:sz w:val="32"/>
        </w:rPr>
        <w:t>4.4 技术架构简述</w:t>
      </w:r>
      <w:bookmarkEnd w:id="11"/>
    </w:p>
    <w:p w14:paraId="20BE71E3">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系统采用四层架构：</w:t>
      </w:r>
    </w:p>
    <w:p w14:paraId="4B6D5B0A">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感知层</w:t>
      </w:r>
      <w:r>
        <w:rPr>
          <w:rFonts w:hint="default" w:ascii="Times New Roman" w:hAnsi="Times New Roman" w:eastAsia="宋体" w:cs="Times New Roman"/>
          <w:sz w:val="24"/>
          <w:szCs w:val="24"/>
        </w:rPr>
        <w:t>：RTSP/ USB摄像头采集视频流，可选扩展水位、雨量、水质等专业传感器。</w:t>
      </w:r>
    </w:p>
    <w:p w14:paraId="5B3F2433">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边缘计算层（核心层）</w:t>
      </w:r>
      <w:r>
        <w:rPr>
          <w:rFonts w:hint="default" w:ascii="Times New Roman" w:hAnsi="Times New Roman" w:eastAsia="宋体" w:cs="Times New Roman"/>
          <w:sz w:val="24"/>
          <w:szCs w:val="24"/>
        </w:rPr>
        <w:t xml:space="preserve"> ：Jetson Orin Nano完成视频解码、YOLO目标检测与跟踪、事件判定、本地缓存与告警联动，推理延迟≤50ms。</w:t>
      </w:r>
    </w:p>
    <w:p w14:paraId="6B3C82E5">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服务层</w:t>
      </w:r>
      <w:r>
        <w:rPr>
          <w:rFonts w:hint="default" w:ascii="Times New Roman" w:hAnsi="Times New Roman" w:eastAsia="宋体" w:cs="Times New Roman"/>
          <w:sz w:val="24"/>
          <w:szCs w:val="24"/>
        </w:rPr>
        <w:t>：事件数据库、规则引擎、时序预测服务，提供API接口。</w:t>
      </w:r>
    </w:p>
    <w:p w14:paraId="3F232E0C">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应用层</w:t>
      </w:r>
      <w:r>
        <w:rPr>
          <w:rFonts w:hint="default" w:ascii="Times New Roman" w:hAnsi="Times New Roman" w:eastAsia="宋体" w:cs="Times New Roman"/>
          <w:sz w:val="24"/>
          <w:szCs w:val="24"/>
        </w:rPr>
        <w:t>：Web管理看板（Vue3+Element Plus）、工单流程展示、知识规则问答。</w:t>
      </w:r>
    </w:p>
    <w:p w14:paraId="18D4550F">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0"/>
        <w:rPr>
          <w:rFonts w:hint="default" w:ascii="Times New Roman" w:hAnsi="Times New Roman" w:eastAsia="宋体" w:cs="Times New Roman"/>
        </w:rPr>
      </w:pPr>
      <w:bookmarkStart w:id="12" w:name="heading_13"/>
      <w:r>
        <w:rPr>
          <w:rFonts w:hint="default" w:ascii="Times New Roman" w:hAnsi="Times New Roman" w:eastAsia="宋体" w:cs="Times New Roman"/>
          <w:b/>
          <w:sz w:val="36"/>
        </w:rPr>
        <w:t>5 商业论证BR</w:t>
      </w:r>
      <w:bookmarkEnd w:id="12"/>
    </w:p>
    <w:p w14:paraId="64E9E15C">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1"/>
        <w:rPr>
          <w:rFonts w:hint="default" w:ascii="Times New Roman" w:hAnsi="Times New Roman" w:eastAsia="宋体" w:cs="Times New Roman"/>
        </w:rPr>
      </w:pPr>
      <w:bookmarkStart w:id="13" w:name="heading_14"/>
      <w:r>
        <w:rPr>
          <w:rFonts w:hint="default" w:ascii="Times New Roman" w:hAnsi="Times New Roman" w:eastAsia="宋体" w:cs="Times New Roman"/>
          <w:b/>
          <w:sz w:val="32"/>
        </w:rPr>
        <w:t>5.1 总研发投入测算</w:t>
      </w:r>
      <w:bookmarkEnd w:id="13"/>
    </w:p>
    <w:p w14:paraId="08D79BD9">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本项目为课程项目原型验证，人力投入不计入现金支出，外购成本如下：</w:t>
      </w:r>
    </w:p>
    <w:tbl>
      <w:tblPr>
        <w:tblStyle w:val="3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24BC02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14:paraId="5EEC9D87">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科目</w:t>
            </w:r>
          </w:p>
        </w:tc>
        <w:tc>
          <w:tcPr>
            <w:tcW w:w="276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7E2709FC">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金额（万元）</w:t>
            </w:r>
          </w:p>
        </w:tc>
        <w:tc>
          <w:tcPr>
            <w:tcW w:w="276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38F5825F">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说明</w:t>
            </w:r>
          </w:p>
        </w:tc>
      </w:tr>
      <w:tr w14:paraId="5BE890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single" w:color="000000" w:sz="4" w:space="0"/>
              <w:left w:val="nil"/>
              <w:bottom w:val="nil"/>
              <w:right w:val="nil"/>
            </w:tcBorders>
            <w:shd w:val="clear" w:color="auto" w:fill="FFFFFF"/>
            <w:tcMar>
              <w:top w:w="60" w:type="dxa"/>
              <w:left w:w="120" w:type="dxa"/>
              <w:bottom w:w="30" w:type="dxa"/>
              <w:right w:w="120" w:type="dxa"/>
            </w:tcMar>
          </w:tcPr>
          <w:p w14:paraId="5858B001">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算力/模型/云端接口</w:t>
            </w:r>
          </w:p>
        </w:tc>
        <w:tc>
          <w:tcPr>
            <w:tcW w:w="2760" w:type="dxa"/>
            <w:tcBorders>
              <w:top w:val="single" w:color="000000" w:sz="4" w:space="0"/>
              <w:left w:val="nil"/>
              <w:bottom w:val="nil"/>
              <w:right w:val="nil"/>
            </w:tcBorders>
            <w:shd w:val="clear" w:color="auto" w:fill="FFFFFF"/>
            <w:tcMar>
              <w:top w:w="60" w:type="dxa"/>
              <w:left w:w="120" w:type="dxa"/>
              <w:bottom w:w="30" w:type="dxa"/>
              <w:right w:w="120" w:type="dxa"/>
            </w:tcMar>
          </w:tcPr>
          <w:p w14:paraId="08B3126C">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0.30</w:t>
            </w:r>
          </w:p>
        </w:tc>
        <w:tc>
          <w:tcPr>
            <w:tcW w:w="2760" w:type="dxa"/>
            <w:tcBorders>
              <w:top w:val="single" w:color="000000" w:sz="4" w:space="0"/>
              <w:left w:val="nil"/>
              <w:bottom w:val="nil"/>
              <w:right w:val="nil"/>
            </w:tcBorders>
            <w:shd w:val="clear" w:color="auto" w:fill="FFFFFF"/>
            <w:tcMar>
              <w:top w:w="60" w:type="dxa"/>
              <w:left w:w="120" w:type="dxa"/>
              <w:bottom w:w="30" w:type="dxa"/>
              <w:right w:w="120" w:type="dxa"/>
            </w:tcMar>
          </w:tcPr>
          <w:p w14:paraId="633E2F8E">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云服务器按量计费、API调用</w:t>
            </w:r>
          </w:p>
        </w:tc>
      </w:tr>
      <w:tr w14:paraId="3CA181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nil"/>
              <w:left w:val="nil"/>
              <w:bottom w:val="nil"/>
              <w:right w:val="nil"/>
            </w:tcBorders>
            <w:shd w:val="clear" w:color="auto" w:fill="FFFFFF"/>
            <w:tcMar>
              <w:top w:w="60" w:type="dxa"/>
              <w:left w:w="120" w:type="dxa"/>
              <w:bottom w:w="30" w:type="dxa"/>
              <w:right w:w="120" w:type="dxa"/>
            </w:tcMar>
          </w:tcPr>
          <w:p w14:paraId="093A2B43">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外接演示设备与耗材</w:t>
            </w:r>
          </w:p>
        </w:tc>
        <w:tc>
          <w:tcPr>
            <w:tcW w:w="2760" w:type="dxa"/>
            <w:tcBorders>
              <w:top w:val="nil"/>
              <w:left w:val="nil"/>
              <w:bottom w:val="nil"/>
              <w:right w:val="nil"/>
            </w:tcBorders>
            <w:shd w:val="clear" w:color="auto" w:fill="FFFFFF"/>
            <w:tcMar>
              <w:top w:w="60" w:type="dxa"/>
              <w:left w:w="120" w:type="dxa"/>
              <w:bottom w:w="30" w:type="dxa"/>
              <w:right w:w="120" w:type="dxa"/>
            </w:tcMar>
          </w:tcPr>
          <w:p w14:paraId="0459F3F5">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0.80-1.50</w:t>
            </w:r>
          </w:p>
        </w:tc>
        <w:tc>
          <w:tcPr>
            <w:tcW w:w="2760" w:type="dxa"/>
            <w:tcBorders>
              <w:top w:val="nil"/>
              <w:left w:val="nil"/>
              <w:bottom w:val="nil"/>
              <w:right w:val="nil"/>
            </w:tcBorders>
            <w:shd w:val="clear" w:color="auto" w:fill="FFFFFF"/>
            <w:tcMar>
              <w:top w:w="60" w:type="dxa"/>
              <w:left w:w="120" w:type="dxa"/>
              <w:bottom w:w="30" w:type="dxa"/>
              <w:right w:w="120" w:type="dxa"/>
            </w:tcMar>
          </w:tcPr>
          <w:p w14:paraId="0AFE5DB4">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水位/雨量等传感器（模拟/实物）、防护配件</w:t>
            </w:r>
          </w:p>
        </w:tc>
      </w:tr>
      <w:tr w14:paraId="3E0F9F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nil"/>
              <w:left w:val="nil"/>
              <w:bottom w:val="nil"/>
              <w:right w:val="nil"/>
            </w:tcBorders>
            <w:shd w:val="clear" w:color="auto" w:fill="FFFFFF"/>
            <w:tcMar>
              <w:top w:w="60" w:type="dxa"/>
              <w:left w:w="120" w:type="dxa"/>
              <w:bottom w:w="30" w:type="dxa"/>
              <w:right w:w="120" w:type="dxa"/>
            </w:tcMar>
          </w:tcPr>
          <w:p w14:paraId="65AC7AAC">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其他测试与展示</w:t>
            </w:r>
          </w:p>
        </w:tc>
        <w:tc>
          <w:tcPr>
            <w:tcW w:w="2760" w:type="dxa"/>
            <w:tcBorders>
              <w:top w:val="nil"/>
              <w:left w:val="nil"/>
              <w:bottom w:val="nil"/>
              <w:right w:val="nil"/>
            </w:tcBorders>
            <w:shd w:val="clear" w:color="auto" w:fill="FFFFFF"/>
            <w:tcMar>
              <w:top w:w="60" w:type="dxa"/>
              <w:left w:w="120" w:type="dxa"/>
              <w:bottom w:w="30" w:type="dxa"/>
              <w:right w:w="120" w:type="dxa"/>
            </w:tcMar>
          </w:tcPr>
          <w:p w14:paraId="7BF08ADB">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0.20</w:t>
            </w:r>
          </w:p>
        </w:tc>
        <w:tc>
          <w:tcPr>
            <w:tcW w:w="2760" w:type="dxa"/>
            <w:tcBorders>
              <w:top w:val="nil"/>
              <w:left w:val="nil"/>
              <w:bottom w:val="nil"/>
              <w:right w:val="nil"/>
            </w:tcBorders>
            <w:shd w:val="clear" w:color="auto" w:fill="FFFFFF"/>
            <w:tcMar>
              <w:top w:w="60" w:type="dxa"/>
              <w:left w:w="120" w:type="dxa"/>
              <w:bottom w:w="30" w:type="dxa"/>
              <w:right w:w="120" w:type="dxa"/>
            </w:tcMar>
          </w:tcPr>
          <w:p w14:paraId="086609B6">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线材、标识、展示物料</w:t>
            </w:r>
          </w:p>
        </w:tc>
      </w:tr>
      <w:tr w14:paraId="1D4E49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Borders>
              <w:top w:val="nil"/>
              <w:left w:val="nil"/>
              <w:bottom w:val="single" w:color="000000" w:sz="12" w:space="0"/>
              <w:right w:val="nil"/>
            </w:tcBorders>
            <w:shd w:val="clear" w:color="auto" w:fill="FFFFFF"/>
            <w:tcMar>
              <w:top w:w="60" w:type="dxa"/>
              <w:left w:w="120" w:type="dxa"/>
              <w:bottom w:w="30" w:type="dxa"/>
              <w:right w:w="120" w:type="dxa"/>
            </w:tcMar>
          </w:tcPr>
          <w:p w14:paraId="7D495743">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现金预算合计</w:t>
            </w:r>
          </w:p>
        </w:tc>
        <w:tc>
          <w:tcPr>
            <w:tcW w:w="2760" w:type="dxa"/>
            <w:tcBorders>
              <w:top w:val="nil"/>
              <w:left w:val="nil"/>
              <w:bottom w:val="single" w:color="000000" w:sz="12" w:space="0"/>
              <w:right w:val="nil"/>
            </w:tcBorders>
            <w:shd w:val="clear" w:color="auto" w:fill="FFFFFF"/>
            <w:tcMar>
              <w:top w:w="60" w:type="dxa"/>
              <w:left w:w="120" w:type="dxa"/>
              <w:bottom w:w="30" w:type="dxa"/>
              <w:right w:w="120" w:type="dxa"/>
            </w:tcMar>
          </w:tcPr>
          <w:p w14:paraId="167099CA">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1.30-2.00</w:t>
            </w:r>
          </w:p>
        </w:tc>
        <w:tc>
          <w:tcPr>
            <w:tcW w:w="2760" w:type="dxa"/>
            <w:tcBorders>
              <w:top w:val="nil"/>
              <w:left w:val="nil"/>
              <w:bottom w:val="single" w:color="000000" w:sz="12" w:space="0"/>
              <w:right w:val="nil"/>
            </w:tcBorders>
            <w:shd w:val="clear" w:color="auto" w:fill="FFFFFF"/>
            <w:tcMar>
              <w:top w:w="60" w:type="dxa"/>
              <w:left w:w="120" w:type="dxa"/>
              <w:bottom w:w="30" w:type="dxa"/>
              <w:right w:w="120" w:type="dxa"/>
            </w:tcMar>
          </w:tcPr>
          <w:p w14:paraId="4FA50735">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建议上限2万元</w:t>
            </w:r>
          </w:p>
        </w:tc>
      </w:tr>
    </w:tbl>
    <w:p w14:paraId="4ED0572B">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人力投入：8人×9天全职投入，以课程项目计，不计入现金支出。</w:t>
      </w:r>
    </w:p>
    <w:p w14:paraId="6D63253A">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1"/>
        <w:rPr>
          <w:rFonts w:hint="default" w:ascii="Times New Roman" w:hAnsi="Times New Roman" w:eastAsia="宋体" w:cs="Times New Roman"/>
        </w:rPr>
      </w:pPr>
      <w:bookmarkStart w:id="14" w:name="heading_15"/>
      <w:r>
        <w:rPr>
          <w:rFonts w:hint="default" w:ascii="Times New Roman" w:hAnsi="Times New Roman" w:eastAsia="宋体" w:cs="Times New Roman"/>
          <w:b/>
          <w:sz w:val="32"/>
        </w:rPr>
        <w:t>5.2 产品盈利测算（市场对标参考）</w:t>
      </w:r>
      <w:bookmarkEnd w:id="14"/>
    </w:p>
    <w:p w14:paraId="61511414">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定价参考</w:t>
      </w:r>
      <w:r>
        <w:rPr>
          <w:rFonts w:hint="default" w:ascii="Times New Roman" w:hAnsi="Times New Roman" w:eastAsia="宋体" w:cs="Times New Roman"/>
          <w:sz w:val="24"/>
          <w:szCs w:val="24"/>
        </w:rPr>
        <w:t>：参照市场同类AI巡检软件，未来产品化后预估标准版5-8万元/年·路，基础版3-5万元/年·路。</w:t>
      </w:r>
    </w:p>
    <w:p w14:paraId="51538548">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参考案例</w:t>
      </w:r>
      <w:r>
        <w:rPr>
          <w:rFonts w:hint="default" w:ascii="Times New Roman" w:hAnsi="Times New Roman" w:eastAsia="宋体" w:cs="Times New Roman"/>
          <w:sz w:val="24"/>
          <w:szCs w:val="24"/>
        </w:rPr>
        <w:t>：深圳罗湖“电子哨兵”上线首周识别预警违规行为70余起；怀化“AI河长”将河道问题处置周期从3-5天压缩至24小时以内，验证了市场需求的真实性与业务价值。</w:t>
      </w:r>
    </w:p>
    <w:p w14:paraId="1AEB9BFA">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市场空间</w:t>
      </w:r>
      <w:r>
        <w:rPr>
          <w:rFonts w:hint="default" w:ascii="Times New Roman" w:hAnsi="Times New Roman" w:eastAsia="宋体" w:cs="Times New Roman"/>
          <w:sz w:val="24"/>
          <w:szCs w:val="24"/>
        </w:rPr>
        <w:t>：全国地市级河道管理单位约2000余个，按初期渗透率5%、单套年费5万元估算，潜在市场空间约50亿元/年。</w:t>
      </w:r>
    </w:p>
    <w:p w14:paraId="71C5A603">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投资回收期</w:t>
      </w:r>
      <w:r>
        <w:rPr>
          <w:rFonts w:hint="default" w:ascii="Times New Roman" w:hAnsi="Times New Roman" w:eastAsia="宋体" w:cs="Times New Roman"/>
          <w:sz w:val="24"/>
          <w:szCs w:val="24"/>
        </w:rPr>
        <w:t>：本项目为原型验证阶段，后续产品化后预计6-12个月可回收研发成本。</w:t>
      </w:r>
    </w:p>
    <w:p w14:paraId="739C9EB5">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1"/>
        <w:rPr>
          <w:rFonts w:hint="default" w:ascii="Times New Roman" w:hAnsi="Times New Roman" w:eastAsia="宋体" w:cs="Times New Roman"/>
        </w:rPr>
      </w:pPr>
      <w:bookmarkStart w:id="15" w:name="heading_16"/>
      <w:r>
        <w:rPr>
          <w:rFonts w:hint="default" w:ascii="Times New Roman" w:hAnsi="Times New Roman" w:eastAsia="宋体" w:cs="Times New Roman"/>
          <w:b/>
          <w:sz w:val="32"/>
        </w:rPr>
        <w:t>5.3 盈利模式</w:t>
      </w:r>
      <w:bookmarkEnd w:id="15"/>
    </w:p>
    <w:p w14:paraId="5D334CDF">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①边缘终端+软件授权一次性交付；②SaaS年度运维与模型迭代服务；③定制化算法训练与标定服务；④系统集成与定制开发服务。</w:t>
      </w:r>
    </w:p>
    <w:p w14:paraId="367504FA">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0"/>
        <w:rPr>
          <w:rFonts w:hint="default" w:ascii="Times New Roman" w:hAnsi="Times New Roman" w:eastAsia="宋体" w:cs="Times New Roman"/>
        </w:rPr>
      </w:pPr>
      <w:bookmarkStart w:id="16" w:name="heading_17"/>
      <w:r>
        <w:rPr>
          <w:rFonts w:hint="default" w:ascii="Times New Roman" w:hAnsi="Times New Roman" w:eastAsia="宋体" w:cs="Times New Roman"/>
          <w:b/>
          <w:sz w:val="36"/>
        </w:rPr>
        <w:t>6 关键技术可行性结论</w:t>
      </w:r>
      <w:bookmarkEnd w:id="16"/>
    </w:p>
    <w:p w14:paraId="426C9320">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预研验证结论：基于设备白皮书与预研测试，已确认以下技术可行性：</w:t>
      </w:r>
    </w:p>
    <w:tbl>
      <w:tblPr>
        <w:tblStyle w:val="34"/>
        <w:tblW w:w="8280"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816"/>
        <w:gridCol w:w="6464"/>
      </w:tblGrid>
      <w:tr w14:paraId="0B43F1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1816" w:type="dxa"/>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vAlign w:val="center"/>
          </w:tcPr>
          <w:p w14:paraId="6E104F93">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验证项</w:t>
            </w:r>
          </w:p>
        </w:tc>
        <w:tc>
          <w:tcPr>
            <w:tcW w:w="6464"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center"/>
          </w:tcPr>
          <w:p w14:paraId="2B95C498">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结论</w:t>
            </w:r>
          </w:p>
        </w:tc>
      </w:tr>
      <w:tr w14:paraId="1B4347C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816" w:type="dxa"/>
            <w:tcBorders>
              <w:top w:val="single" w:color="000000" w:sz="4" w:space="0"/>
              <w:left w:val="nil"/>
              <w:bottom w:val="nil"/>
              <w:right w:val="nil"/>
            </w:tcBorders>
            <w:shd w:val="clear" w:color="auto" w:fill="FFFFFF"/>
            <w:tcMar>
              <w:top w:w="60" w:type="dxa"/>
              <w:left w:w="120" w:type="dxa"/>
              <w:bottom w:w="30" w:type="dxa"/>
              <w:right w:w="120" w:type="dxa"/>
            </w:tcMar>
            <w:vAlign w:val="center"/>
          </w:tcPr>
          <w:p w14:paraId="6386AEAC">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边缘算力</w:t>
            </w:r>
          </w:p>
        </w:tc>
        <w:tc>
          <w:tcPr>
            <w:tcW w:w="6464" w:type="dxa"/>
            <w:tcBorders>
              <w:top w:val="single" w:color="000000" w:sz="4" w:space="0"/>
              <w:left w:val="nil"/>
              <w:bottom w:val="nil"/>
              <w:right w:val="nil"/>
            </w:tcBorders>
            <w:shd w:val="clear" w:color="auto" w:fill="FFFFFF"/>
            <w:tcMar>
              <w:top w:w="60" w:type="dxa"/>
              <w:left w:w="120" w:type="dxa"/>
              <w:bottom w:w="30" w:type="dxa"/>
              <w:right w:w="120" w:type="dxa"/>
            </w:tcMar>
            <w:vAlign w:val="center"/>
          </w:tcPr>
          <w:p w14:paraId="0009C70E">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Jetson Orin Nano（40 TOPS）满足轻量化模型实时推理需求</w:t>
            </w:r>
          </w:p>
        </w:tc>
      </w:tr>
      <w:tr w14:paraId="6F574C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816" w:type="dxa"/>
            <w:tcBorders>
              <w:top w:val="nil"/>
              <w:left w:val="nil"/>
              <w:bottom w:val="nil"/>
              <w:right w:val="nil"/>
            </w:tcBorders>
            <w:shd w:val="clear" w:color="auto" w:fill="FFFFFF"/>
            <w:tcMar>
              <w:top w:w="60" w:type="dxa"/>
              <w:left w:w="120" w:type="dxa"/>
              <w:bottom w:w="30" w:type="dxa"/>
              <w:right w:w="120" w:type="dxa"/>
            </w:tcMar>
            <w:vAlign w:val="center"/>
          </w:tcPr>
          <w:p w14:paraId="2C977558">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视频接入</w:t>
            </w:r>
          </w:p>
        </w:tc>
        <w:tc>
          <w:tcPr>
            <w:tcW w:w="6464" w:type="dxa"/>
            <w:tcBorders>
              <w:top w:val="nil"/>
              <w:left w:val="nil"/>
              <w:bottom w:val="nil"/>
              <w:right w:val="nil"/>
            </w:tcBorders>
            <w:shd w:val="clear" w:color="auto" w:fill="FFFFFF"/>
            <w:tcMar>
              <w:top w:w="60" w:type="dxa"/>
              <w:left w:w="120" w:type="dxa"/>
              <w:bottom w:w="30" w:type="dxa"/>
              <w:right w:w="120" w:type="dxa"/>
            </w:tcMar>
            <w:vAlign w:val="center"/>
          </w:tcPr>
          <w:p w14:paraId="43C20731">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RTSP/1080P摄像头解码与预处理管线已验证可行</w:t>
            </w:r>
          </w:p>
        </w:tc>
      </w:tr>
      <w:tr w14:paraId="3AD4FB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816" w:type="dxa"/>
            <w:tcBorders>
              <w:top w:val="nil"/>
              <w:left w:val="nil"/>
              <w:bottom w:val="nil"/>
              <w:right w:val="nil"/>
            </w:tcBorders>
            <w:shd w:val="clear" w:color="auto" w:fill="FFFFFF"/>
            <w:tcMar>
              <w:top w:w="60" w:type="dxa"/>
              <w:left w:w="120" w:type="dxa"/>
              <w:bottom w:w="30" w:type="dxa"/>
              <w:right w:w="120" w:type="dxa"/>
            </w:tcMar>
            <w:vAlign w:val="center"/>
          </w:tcPr>
          <w:p w14:paraId="6D3C69BB">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目标检测</w:t>
            </w:r>
          </w:p>
        </w:tc>
        <w:tc>
          <w:tcPr>
            <w:tcW w:w="6464" w:type="dxa"/>
            <w:tcBorders>
              <w:top w:val="nil"/>
              <w:left w:val="nil"/>
              <w:bottom w:val="nil"/>
              <w:right w:val="nil"/>
            </w:tcBorders>
            <w:shd w:val="clear" w:color="auto" w:fill="FFFFFF"/>
            <w:tcMar>
              <w:top w:w="60" w:type="dxa"/>
              <w:left w:w="120" w:type="dxa"/>
              <w:bottom w:w="30" w:type="dxa"/>
              <w:right w:w="120" w:type="dxa"/>
            </w:tcMar>
            <w:vAlign w:val="center"/>
          </w:tcPr>
          <w:p w14:paraId="46225E05">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YOLOv8n在公开数据集上mAP≥78%，推理延迟≤50ms</w:t>
            </w:r>
          </w:p>
        </w:tc>
      </w:tr>
      <w:tr w14:paraId="1BD8DA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816" w:type="dxa"/>
            <w:tcBorders>
              <w:top w:val="nil"/>
              <w:left w:val="nil"/>
              <w:bottom w:val="nil"/>
              <w:right w:val="nil"/>
            </w:tcBorders>
            <w:shd w:val="clear" w:color="auto" w:fill="FFFFFF"/>
            <w:tcMar>
              <w:top w:w="60" w:type="dxa"/>
              <w:left w:w="120" w:type="dxa"/>
              <w:bottom w:w="30" w:type="dxa"/>
              <w:right w:w="120" w:type="dxa"/>
            </w:tcMar>
            <w:vAlign w:val="center"/>
          </w:tcPr>
          <w:p w14:paraId="6BCB7517">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模型部署</w:t>
            </w:r>
          </w:p>
        </w:tc>
        <w:tc>
          <w:tcPr>
            <w:tcW w:w="6464" w:type="dxa"/>
            <w:tcBorders>
              <w:top w:val="nil"/>
              <w:left w:val="nil"/>
              <w:bottom w:val="nil"/>
              <w:right w:val="nil"/>
            </w:tcBorders>
            <w:shd w:val="clear" w:color="auto" w:fill="FFFFFF"/>
            <w:tcMar>
              <w:top w:w="60" w:type="dxa"/>
              <w:left w:w="120" w:type="dxa"/>
              <w:bottom w:w="30" w:type="dxa"/>
              <w:right w:w="120" w:type="dxa"/>
            </w:tcMar>
            <w:vAlign w:val="center"/>
          </w:tcPr>
          <w:p w14:paraId="6D849834">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ONNX Runtime/ TensorRT在Jetson平台部署路径已验证</w:t>
            </w:r>
          </w:p>
        </w:tc>
      </w:tr>
      <w:tr w14:paraId="624FC8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816" w:type="dxa"/>
            <w:tcBorders>
              <w:top w:val="nil"/>
              <w:left w:val="nil"/>
              <w:bottom w:val="single" w:color="000000" w:sz="12" w:space="0"/>
              <w:right w:val="nil"/>
            </w:tcBorders>
            <w:shd w:val="clear" w:color="auto" w:fill="FFFFFF"/>
            <w:tcMar>
              <w:top w:w="60" w:type="dxa"/>
              <w:left w:w="120" w:type="dxa"/>
              <w:bottom w:w="30" w:type="dxa"/>
              <w:right w:w="120" w:type="dxa"/>
            </w:tcMar>
            <w:vAlign w:val="center"/>
          </w:tcPr>
          <w:p w14:paraId="0164274C">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多传感器接口</w:t>
            </w:r>
          </w:p>
        </w:tc>
        <w:tc>
          <w:tcPr>
            <w:tcW w:w="6464" w:type="dxa"/>
            <w:tcBorders>
              <w:top w:val="nil"/>
              <w:left w:val="nil"/>
              <w:bottom w:val="single" w:color="000000" w:sz="12" w:space="0"/>
              <w:right w:val="nil"/>
            </w:tcBorders>
            <w:shd w:val="clear" w:color="auto" w:fill="FFFFFF"/>
            <w:tcMar>
              <w:top w:w="60" w:type="dxa"/>
              <w:left w:w="120" w:type="dxa"/>
              <w:bottom w:w="30" w:type="dxa"/>
              <w:right w:w="120" w:type="dxa"/>
            </w:tcMar>
            <w:vAlign w:val="center"/>
          </w:tcPr>
          <w:p w14:paraId="6B8255CD">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设备具备I2C/GPIO/UART等接口，支持外设扩展</w:t>
            </w:r>
          </w:p>
        </w:tc>
      </w:tr>
    </w:tbl>
    <w:p w14:paraId="0603CDC6">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最终技术路线：采用“轻量化检测/跟踪模型 + 事件规则引擎 + 外接传感器采集 + Web端闭环展示”的端云协同架构。水位、流量和水质等专业监测不属于设备自带能力，须外接专业仪表或采用模拟数据验证链路，在项目范围中明确标注为可选项。大模型不作为P0刚性依赖，采用规则引擎降级方案。</w:t>
      </w:r>
    </w:p>
    <w:p w14:paraId="52DCFDA3">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0"/>
        <w:rPr>
          <w:rFonts w:hint="default" w:ascii="Times New Roman" w:hAnsi="Times New Roman" w:eastAsia="宋体" w:cs="Times New Roman"/>
        </w:rPr>
      </w:pPr>
      <w:bookmarkStart w:id="17" w:name="heading_18"/>
      <w:r>
        <w:rPr>
          <w:rFonts w:hint="default" w:ascii="Times New Roman" w:hAnsi="Times New Roman" w:eastAsia="宋体" w:cs="Times New Roman"/>
          <w:b/>
          <w:sz w:val="36"/>
        </w:rPr>
        <w:t>7 项目范围边界</w:t>
      </w:r>
      <w:bookmarkEnd w:id="17"/>
    </w:p>
    <w:p w14:paraId="23D87D74">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1"/>
        <w:rPr>
          <w:rFonts w:hint="default" w:ascii="Times New Roman" w:hAnsi="Times New Roman" w:eastAsia="宋体" w:cs="Times New Roman"/>
        </w:rPr>
      </w:pPr>
      <w:bookmarkStart w:id="18" w:name="heading_19"/>
      <w:r>
        <w:rPr>
          <w:rFonts w:hint="default" w:ascii="Times New Roman" w:hAnsi="Times New Roman" w:eastAsia="宋体" w:cs="Times New Roman"/>
          <w:b/>
          <w:sz w:val="32"/>
        </w:rPr>
        <w:t>7.1 项目包含内容</w:t>
      </w:r>
      <w:bookmarkEnd w:id="18"/>
    </w:p>
    <w:p w14:paraId="36DE896B">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4类以上视觉事件识别（漂浮垃圾、岸边堆料、违规船只/人员、疑似油污/泡沫）</w:t>
      </w:r>
    </w:p>
    <w:p w14:paraId="6D661F03">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RTSP视频流接入、解码与预处理</w:t>
      </w:r>
    </w:p>
    <w:p w14:paraId="426DEEBA">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异常事件自动截图、视频片段留存与结构化信息记录</w:t>
      </w:r>
    </w:p>
    <w:p w14:paraId="357DEDE8">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至少1类外接传感器（水位/雨量/水质）的模拟或实物接入与数据融合</w:t>
      </w:r>
    </w:p>
    <w:p w14:paraId="5E206C71">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事件风险等级评估规则（基于目标数量、持续时间、区域等级）</w:t>
      </w:r>
    </w:p>
    <w:p w14:paraId="3F2AA6DE">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Web管理看板（告警列表、事件详情、工单状态流转）</w:t>
      </w:r>
    </w:p>
    <w:p w14:paraId="459EBF8B">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模拟工单生成与状态流转演示（待派发→处置中→已归档）</w:t>
      </w:r>
    </w:p>
    <w:p w14:paraId="03722451">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模型评估报告与部署文档</w:t>
      </w:r>
    </w:p>
    <w:p w14:paraId="7C6D8810">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1"/>
        <w:rPr>
          <w:rFonts w:hint="default" w:ascii="Times New Roman" w:hAnsi="Times New Roman" w:eastAsia="宋体" w:cs="Times New Roman"/>
        </w:rPr>
      </w:pPr>
      <w:bookmarkStart w:id="19" w:name="heading_20"/>
      <w:r>
        <w:rPr>
          <w:rFonts w:hint="default" w:ascii="Times New Roman" w:hAnsi="Times New Roman" w:eastAsia="宋体" w:cs="Times New Roman"/>
          <w:b/>
          <w:sz w:val="32"/>
        </w:rPr>
        <w:t>7.2 项目不包含内容</w:t>
      </w:r>
      <w:bookmarkEnd w:id="19"/>
    </w:p>
    <w:p w14:paraId="23D4705A">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市级/区级数据中台建设</w:t>
      </w:r>
    </w:p>
    <w:p w14:paraId="4CA5CBBB">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执法取证与责任认定（系统输出“疑似事件”，最终认定由人工完成）</w:t>
      </w:r>
    </w:p>
    <w:p w14:paraId="70ECB722">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真实跨部门工单系统对接</w:t>
      </w:r>
    </w:p>
    <w:p w14:paraId="4B46098A">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无人机自动巡航航线规划</w:t>
      </w:r>
    </w:p>
    <w:p w14:paraId="47B15BBE">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专业水质监测站硬件研发</w:t>
      </w:r>
    </w:p>
    <w:p w14:paraId="3CA6E6EB">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移动端APP商业发布</w:t>
      </w:r>
    </w:p>
    <w:p w14:paraId="4D06A764">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多路视频大规模并发处理</w:t>
      </w:r>
    </w:p>
    <w:p w14:paraId="4E96484A">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0"/>
        <w:rPr>
          <w:rFonts w:hint="default" w:ascii="Times New Roman" w:hAnsi="Times New Roman" w:eastAsia="宋体" w:cs="Times New Roman"/>
        </w:rPr>
      </w:pPr>
      <w:bookmarkStart w:id="20" w:name="heading_21"/>
      <w:r>
        <w:rPr>
          <w:rFonts w:hint="default" w:ascii="Times New Roman" w:hAnsi="Times New Roman" w:eastAsia="宋体" w:cs="Times New Roman"/>
          <w:b/>
          <w:sz w:val="36"/>
        </w:rPr>
        <w:t>8 IPD全流程关键里程碑计划</w:t>
      </w:r>
      <w:bookmarkEnd w:id="20"/>
    </w:p>
    <w:tbl>
      <w:tblPr>
        <w:tblStyle w:val="34"/>
        <w:tblW w:w="8280"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411"/>
        <w:gridCol w:w="1417"/>
        <w:gridCol w:w="1805"/>
        <w:gridCol w:w="3647"/>
      </w:tblGrid>
      <w:tr w14:paraId="6351AE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1411" w:type="dxa"/>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vAlign w:val="center"/>
          </w:tcPr>
          <w:p w14:paraId="5BEC636B">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rPr>
                <w:rFonts w:hint="default" w:ascii="Times New Roman" w:hAnsi="Times New Roman" w:eastAsia="宋体" w:cs="Times New Roman"/>
                <w:b/>
                <w:color w:val="000000"/>
                <w:sz w:val="24"/>
                <w:szCs w:val="24"/>
              </w:rPr>
            </w:pPr>
            <w:r>
              <w:rPr>
                <w:rFonts w:hint="default" w:ascii="Times New Roman" w:hAnsi="Times New Roman" w:eastAsia="宋体" w:cs="Times New Roman"/>
                <w:b/>
                <w:color w:val="000000"/>
                <w:sz w:val="24"/>
                <w:szCs w:val="24"/>
              </w:rPr>
              <w:t>节点名称</w:t>
            </w:r>
          </w:p>
        </w:tc>
        <w:tc>
          <w:tcPr>
            <w:tcW w:w="1417"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center"/>
          </w:tcPr>
          <w:p w14:paraId="683E3C87">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rPr>
                <w:rFonts w:hint="default" w:ascii="Times New Roman" w:hAnsi="Times New Roman" w:eastAsia="宋体" w:cs="Times New Roman"/>
                <w:b/>
                <w:color w:val="000000"/>
                <w:sz w:val="24"/>
                <w:szCs w:val="24"/>
              </w:rPr>
            </w:pPr>
            <w:r>
              <w:rPr>
                <w:rFonts w:hint="default" w:ascii="Times New Roman" w:hAnsi="Times New Roman" w:eastAsia="宋体" w:cs="Times New Roman"/>
                <w:b/>
                <w:color w:val="000000"/>
                <w:sz w:val="24"/>
                <w:szCs w:val="24"/>
              </w:rPr>
              <w:t>节点类型</w:t>
            </w:r>
          </w:p>
        </w:tc>
        <w:tc>
          <w:tcPr>
            <w:tcW w:w="1805"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center"/>
          </w:tcPr>
          <w:p w14:paraId="1DBA0F91">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rPr>
                <w:rFonts w:hint="default" w:ascii="Times New Roman" w:hAnsi="Times New Roman" w:eastAsia="宋体" w:cs="Times New Roman"/>
                <w:b/>
                <w:color w:val="000000"/>
                <w:sz w:val="24"/>
                <w:szCs w:val="24"/>
              </w:rPr>
            </w:pPr>
            <w:r>
              <w:rPr>
                <w:rFonts w:hint="default" w:ascii="Times New Roman" w:hAnsi="Times New Roman" w:eastAsia="宋体" w:cs="Times New Roman"/>
                <w:b/>
                <w:color w:val="000000"/>
                <w:sz w:val="24"/>
                <w:szCs w:val="24"/>
              </w:rPr>
              <w:t>计划完成时间</w:t>
            </w:r>
          </w:p>
        </w:tc>
        <w:tc>
          <w:tcPr>
            <w:tcW w:w="3647"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center"/>
          </w:tcPr>
          <w:p w14:paraId="53ABFED1">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rPr>
                <w:rFonts w:hint="default" w:ascii="Times New Roman" w:hAnsi="Times New Roman" w:eastAsia="宋体" w:cs="Times New Roman"/>
                <w:b/>
                <w:color w:val="000000"/>
                <w:sz w:val="24"/>
                <w:szCs w:val="24"/>
              </w:rPr>
            </w:pPr>
            <w:r>
              <w:rPr>
                <w:rFonts w:hint="default" w:ascii="Times New Roman" w:hAnsi="Times New Roman" w:eastAsia="宋体" w:cs="Times New Roman"/>
                <w:b/>
                <w:color w:val="000000"/>
                <w:sz w:val="24"/>
                <w:szCs w:val="24"/>
              </w:rPr>
              <w:t>阶段核心交付物</w:t>
            </w:r>
          </w:p>
        </w:tc>
      </w:tr>
      <w:tr w14:paraId="3C07FA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411" w:type="dxa"/>
            <w:tcBorders>
              <w:top w:val="single" w:color="000000" w:sz="4" w:space="0"/>
              <w:left w:val="nil"/>
              <w:bottom w:val="nil"/>
              <w:right w:val="nil"/>
            </w:tcBorders>
            <w:shd w:val="clear" w:color="auto" w:fill="FFFFFF"/>
            <w:tcMar>
              <w:top w:w="60" w:type="dxa"/>
              <w:left w:w="120" w:type="dxa"/>
              <w:bottom w:w="30" w:type="dxa"/>
              <w:right w:w="120" w:type="dxa"/>
            </w:tcMar>
            <w:vAlign w:val="center"/>
          </w:tcPr>
          <w:p w14:paraId="43367C72">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CDCP立项决策评审</w:t>
            </w:r>
          </w:p>
        </w:tc>
        <w:tc>
          <w:tcPr>
            <w:tcW w:w="1417" w:type="dxa"/>
            <w:tcBorders>
              <w:top w:val="single" w:color="000000" w:sz="4" w:space="0"/>
              <w:left w:val="nil"/>
              <w:bottom w:val="nil"/>
              <w:right w:val="nil"/>
            </w:tcBorders>
            <w:shd w:val="clear" w:color="auto" w:fill="FFFFFF"/>
            <w:tcMar>
              <w:top w:w="60" w:type="dxa"/>
              <w:left w:w="120" w:type="dxa"/>
              <w:bottom w:w="30" w:type="dxa"/>
              <w:right w:w="120" w:type="dxa"/>
            </w:tcMar>
            <w:vAlign w:val="center"/>
          </w:tcPr>
          <w:p w14:paraId="603738DB">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DCP决策点</w:t>
            </w:r>
          </w:p>
        </w:tc>
        <w:tc>
          <w:tcPr>
            <w:tcW w:w="1805" w:type="dxa"/>
            <w:tcBorders>
              <w:top w:val="single" w:color="000000" w:sz="4" w:space="0"/>
              <w:left w:val="nil"/>
              <w:bottom w:val="nil"/>
              <w:right w:val="nil"/>
            </w:tcBorders>
            <w:shd w:val="clear" w:color="auto" w:fill="FFFFFF"/>
            <w:tcMar>
              <w:top w:w="60" w:type="dxa"/>
              <w:left w:w="120" w:type="dxa"/>
              <w:bottom w:w="30" w:type="dxa"/>
              <w:right w:w="120" w:type="dxa"/>
            </w:tcMar>
            <w:vAlign w:val="center"/>
          </w:tcPr>
          <w:p w14:paraId="32A27FB2">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第1天（7.17）</w:t>
            </w:r>
          </w:p>
        </w:tc>
        <w:tc>
          <w:tcPr>
            <w:tcW w:w="3647" w:type="dxa"/>
            <w:tcBorders>
              <w:top w:val="single" w:color="000000" w:sz="4" w:space="0"/>
              <w:left w:val="nil"/>
              <w:bottom w:val="nil"/>
              <w:right w:val="nil"/>
            </w:tcBorders>
            <w:shd w:val="clear" w:color="auto" w:fill="FFFFFF"/>
            <w:tcMar>
              <w:top w:w="60" w:type="dxa"/>
              <w:left w:w="120" w:type="dxa"/>
              <w:bottom w:w="30" w:type="dxa"/>
              <w:right w:w="120" w:type="dxa"/>
            </w:tcMar>
            <w:vAlign w:val="center"/>
          </w:tcPr>
          <w:p w14:paraId="0C05CD89">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本Charter审批通过、团队分工确认、开发环境就绪</w:t>
            </w:r>
          </w:p>
        </w:tc>
      </w:tr>
      <w:tr w14:paraId="595B53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411" w:type="dxa"/>
            <w:tcBorders>
              <w:top w:val="nil"/>
              <w:left w:val="nil"/>
              <w:bottom w:val="nil"/>
              <w:right w:val="nil"/>
            </w:tcBorders>
            <w:shd w:val="clear" w:color="auto" w:fill="FFFFFF"/>
            <w:tcMar>
              <w:top w:w="60" w:type="dxa"/>
              <w:left w:w="120" w:type="dxa"/>
              <w:bottom w:w="30" w:type="dxa"/>
              <w:right w:w="120" w:type="dxa"/>
            </w:tcMar>
            <w:vAlign w:val="center"/>
          </w:tcPr>
          <w:p w14:paraId="7A1D4120">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TR1 需求&amp;概念评审</w:t>
            </w:r>
          </w:p>
        </w:tc>
        <w:tc>
          <w:tcPr>
            <w:tcW w:w="1417" w:type="dxa"/>
            <w:tcBorders>
              <w:top w:val="nil"/>
              <w:left w:val="nil"/>
              <w:bottom w:val="nil"/>
              <w:right w:val="nil"/>
            </w:tcBorders>
            <w:shd w:val="clear" w:color="auto" w:fill="FFFFFF"/>
            <w:tcMar>
              <w:top w:w="60" w:type="dxa"/>
              <w:left w:w="120" w:type="dxa"/>
              <w:bottom w:w="30" w:type="dxa"/>
              <w:right w:w="120" w:type="dxa"/>
            </w:tcMar>
            <w:vAlign w:val="center"/>
          </w:tcPr>
          <w:p w14:paraId="1488F96C">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TR技术评审</w:t>
            </w:r>
          </w:p>
        </w:tc>
        <w:tc>
          <w:tcPr>
            <w:tcW w:w="1805" w:type="dxa"/>
            <w:tcBorders>
              <w:top w:val="nil"/>
              <w:left w:val="nil"/>
              <w:bottom w:val="nil"/>
              <w:right w:val="nil"/>
            </w:tcBorders>
            <w:shd w:val="clear" w:color="auto" w:fill="FFFFFF"/>
            <w:tcMar>
              <w:top w:w="60" w:type="dxa"/>
              <w:left w:w="120" w:type="dxa"/>
              <w:bottom w:w="30" w:type="dxa"/>
              <w:right w:w="120" w:type="dxa"/>
            </w:tcMar>
            <w:vAlign w:val="center"/>
          </w:tcPr>
          <w:p w14:paraId="2029FA67">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第2天（7.18）</w:t>
            </w:r>
          </w:p>
        </w:tc>
        <w:tc>
          <w:tcPr>
            <w:tcW w:w="3647" w:type="dxa"/>
            <w:tcBorders>
              <w:top w:val="nil"/>
              <w:left w:val="nil"/>
              <w:bottom w:val="nil"/>
              <w:right w:val="nil"/>
            </w:tcBorders>
            <w:shd w:val="clear" w:color="auto" w:fill="FFFFFF"/>
            <w:tcMar>
              <w:top w:w="60" w:type="dxa"/>
              <w:left w:w="120" w:type="dxa"/>
              <w:bottom w:w="30" w:type="dxa"/>
              <w:right w:w="120" w:type="dxa"/>
            </w:tcMar>
            <w:vAlign w:val="center"/>
          </w:tcPr>
          <w:p w14:paraId="4502A2FD">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《PRS产品包需求_V1.0》（场景用例、功能列表、非功能需求）</w:t>
            </w:r>
          </w:p>
        </w:tc>
      </w:tr>
      <w:tr w14:paraId="4350498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411" w:type="dxa"/>
            <w:tcBorders>
              <w:top w:val="nil"/>
              <w:left w:val="nil"/>
              <w:bottom w:val="nil"/>
              <w:right w:val="nil"/>
            </w:tcBorders>
            <w:shd w:val="clear" w:color="auto" w:fill="FFFFFF"/>
            <w:tcMar>
              <w:top w:w="60" w:type="dxa"/>
              <w:left w:w="120" w:type="dxa"/>
              <w:bottom w:w="30" w:type="dxa"/>
              <w:right w:w="120" w:type="dxa"/>
            </w:tcMar>
            <w:vAlign w:val="center"/>
          </w:tcPr>
          <w:p w14:paraId="4733E188">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TR2 系统架构评审</w:t>
            </w:r>
          </w:p>
        </w:tc>
        <w:tc>
          <w:tcPr>
            <w:tcW w:w="1417" w:type="dxa"/>
            <w:tcBorders>
              <w:top w:val="nil"/>
              <w:left w:val="nil"/>
              <w:bottom w:val="nil"/>
              <w:right w:val="nil"/>
            </w:tcBorders>
            <w:shd w:val="clear" w:color="auto" w:fill="FFFFFF"/>
            <w:tcMar>
              <w:top w:w="60" w:type="dxa"/>
              <w:left w:w="120" w:type="dxa"/>
              <w:bottom w:w="30" w:type="dxa"/>
              <w:right w:w="120" w:type="dxa"/>
            </w:tcMar>
            <w:vAlign w:val="center"/>
          </w:tcPr>
          <w:p w14:paraId="6755E65B">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TR技术评审</w:t>
            </w:r>
          </w:p>
        </w:tc>
        <w:tc>
          <w:tcPr>
            <w:tcW w:w="1805" w:type="dxa"/>
            <w:tcBorders>
              <w:top w:val="nil"/>
              <w:left w:val="nil"/>
              <w:bottom w:val="nil"/>
              <w:right w:val="nil"/>
            </w:tcBorders>
            <w:shd w:val="clear" w:color="auto" w:fill="FFFFFF"/>
            <w:tcMar>
              <w:top w:w="60" w:type="dxa"/>
              <w:left w:w="120" w:type="dxa"/>
              <w:bottom w:w="30" w:type="dxa"/>
              <w:right w:w="120" w:type="dxa"/>
            </w:tcMar>
            <w:vAlign w:val="center"/>
          </w:tcPr>
          <w:p w14:paraId="59FBC210">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第3天（7.19）</w:t>
            </w:r>
          </w:p>
        </w:tc>
        <w:tc>
          <w:tcPr>
            <w:tcW w:w="3647" w:type="dxa"/>
            <w:tcBorders>
              <w:top w:val="nil"/>
              <w:left w:val="nil"/>
              <w:bottom w:val="nil"/>
              <w:right w:val="nil"/>
            </w:tcBorders>
            <w:shd w:val="clear" w:color="auto" w:fill="FFFFFF"/>
            <w:tcMar>
              <w:top w:w="60" w:type="dxa"/>
              <w:left w:w="120" w:type="dxa"/>
              <w:bottom w:w="30" w:type="dxa"/>
              <w:right w:w="120" w:type="dxa"/>
            </w:tcMar>
            <w:vAlign w:val="center"/>
          </w:tcPr>
          <w:p w14:paraId="23A985AD">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《系统架构设计说明书_V1.0》（四层架构、接口协议、技术选型）</w:t>
            </w:r>
          </w:p>
        </w:tc>
      </w:tr>
      <w:tr w14:paraId="31F2855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411" w:type="dxa"/>
            <w:tcBorders>
              <w:top w:val="nil"/>
              <w:left w:val="nil"/>
              <w:bottom w:val="nil"/>
              <w:right w:val="nil"/>
            </w:tcBorders>
            <w:shd w:val="clear" w:color="auto" w:fill="FFFFFF"/>
            <w:tcMar>
              <w:top w:w="60" w:type="dxa"/>
              <w:left w:w="120" w:type="dxa"/>
              <w:bottom w:w="30" w:type="dxa"/>
              <w:right w:w="120" w:type="dxa"/>
            </w:tcMar>
            <w:vAlign w:val="center"/>
          </w:tcPr>
          <w:p w14:paraId="5449EA5D">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TR3 详细设计评审</w:t>
            </w:r>
          </w:p>
        </w:tc>
        <w:tc>
          <w:tcPr>
            <w:tcW w:w="1417" w:type="dxa"/>
            <w:tcBorders>
              <w:top w:val="nil"/>
              <w:left w:val="nil"/>
              <w:bottom w:val="nil"/>
              <w:right w:val="nil"/>
            </w:tcBorders>
            <w:shd w:val="clear" w:color="auto" w:fill="FFFFFF"/>
            <w:tcMar>
              <w:top w:w="60" w:type="dxa"/>
              <w:left w:w="120" w:type="dxa"/>
              <w:bottom w:w="30" w:type="dxa"/>
              <w:right w:w="120" w:type="dxa"/>
            </w:tcMar>
            <w:vAlign w:val="center"/>
          </w:tcPr>
          <w:p w14:paraId="208E3B84">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TR技术评审</w:t>
            </w:r>
          </w:p>
        </w:tc>
        <w:tc>
          <w:tcPr>
            <w:tcW w:w="1805" w:type="dxa"/>
            <w:tcBorders>
              <w:top w:val="nil"/>
              <w:left w:val="nil"/>
              <w:bottom w:val="nil"/>
              <w:right w:val="nil"/>
            </w:tcBorders>
            <w:shd w:val="clear" w:color="auto" w:fill="FFFFFF"/>
            <w:tcMar>
              <w:top w:w="60" w:type="dxa"/>
              <w:left w:w="120" w:type="dxa"/>
              <w:bottom w:w="30" w:type="dxa"/>
              <w:right w:w="120" w:type="dxa"/>
            </w:tcMar>
            <w:vAlign w:val="center"/>
          </w:tcPr>
          <w:p w14:paraId="74C72BC9">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第4-5天（7.20-7.21）</w:t>
            </w:r>
          </w:p>
        </w:tc>
        <w:tc>
          <w:tcPr>
            <w:tcW w:w="3647" w:type="dxa"/>
            <w:tcBorders>
              <w:top w:val="nil"/>
              <w:left w:val="nil"/>
              <w:bottom w:val="nil"/>
              <w:right w:val="nil"/>
            </w:tcBorders>
            <w:shd w:val="clear" w:color="auto" w:fill="FFFFFF"/>
            <w:tcMar>
              <w:top w:w="60" w:type="dxa"/>
              <w:left w:w="120" w:type="dxa"/>
              <w:bottom w:w="30" w:type="dxa"/>
              <w:right w:w="120" w:type="dxa"/>
            </w:tcMar>
            <w:vAlign w:val="center"/>
          </w:tcPr>
          <w:p w14:paraId="61853817">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模块详细设计（DB设计、API文档、算法部署方案、规则引擎设计）</w:t>
            </w:r>
          </w:p>
        </w:tc>
      </w:tr>
      <w:tr w14:paraId="7A0FFA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411" w:type="dxa"/>
            <w:tcBorders>
              <w:top w:val="nil"/>
              <w:left w:val="nil"/>
              <w:bottom w:val="nil"/>
              <w:right w:val="nil"/>
            </w:tcBorders>
            <w:shd w:val="clear" w:color="auto" w:fill="FFFFFF"/>
            <w:tcMar>
              <w:top w:w="60" w:type="dxa"/>
              <w:left w:w="120" w:type="dxa"/>
              <w:bottom w:w="30" w:type="dxa"/>
              <w:right w:w="120" w:type="dxa"/>
            </w:tcMar>
            <w:vAlign w:val="center"/>
          </w:tcPr>
          <w:p w14:paraId="48826DF2">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TR4 单元验证评审</w:t>
            </w:r>
          </w:p>
        </w:tc>
        <w:tc>
          <w:tcPr>
            <w:tcW w:w="1417" w:type="dxa"/>
            <w:tcBorders>
              <w:top w:val="nil"/>
              <w:left w:val="nil"/>
              <w:bottom w:val="nil"/>
              <w:right w:val="nil"/>
            </w:tcBorders>
            <w:shd w:val="clear" w:color="auto" w:fill="FFFFFF"/>
            <w:tcMar>
              <w:top w:w="60" w:type="dxa"/>
              <w:left w:w="120" w:type="dxa"/>
              <w:bottom w:w="30" w:type="dxa"/>
              <w:right w:w="120" w:type="dxa"/>
            </w:tcMar>
            <w:vAlign w:val="center"/>
          </w:tcPr>
          <w:p w14:paraId="491C976C">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TR技术评审</w:t>
            </w:r>
          </w:p>
        </w:tc>
        <w:tc>
          <w:tcPr>
            <w:tcW w:w="1805" w:type="dxa"/>
            <w:tcBorders>
              <w:top w:val="nil"/>
              <w:left w:val="nil"/>
              <w:bottom w:val="nil"/>
              <w:right w:val="nil"/>
            </w:tcBorders>
            <w:shd w:val="clear" w:color="auto" w:fill="FFFFFF"/>
            <w:tcMar>
              <w:top w:w="60" w:type="dxa"/>
              <w:left w:w="120" w:type="dxa"/>
              <w:bottom w:w="30" w:type="dxa"/>
              <w:right w:w="120" w:type="dxa"/>
            </w:tcMar>
            <w:vAlign w:val="center"/>
          </w:tcPr>
          <w:p w14:paraId="2709050E">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第6-7天（7.22-7.23）</w:t>
            </w:r>
          </w:p>
        </w:tc>
        <w:tc>
          <w:tcPr>
            <w:tcW w:w="3647" w:type="dxa"/>
            <w:tcBorders>
              <w:top w:val="nil"/>
              <w:left w:val="nil"/>
              <w:bottom w:val="nil"/>
              <w:right w:val="nil"/>
            </w:tcBorders>
            <w:shd w:val="clear" w:color="auto" w:fill="FFFFFF"/>
            <w:tcMar>
              <w:top w:w="60" w:type="dxa"/>
              <w:left w:w="120" w:type="dxa"/>
              <w:bottom w:w="30" w:type="dxa"/>
              <w:right w:w="120" w:type="dxa"/>
            </w:tcMar>
            <w:vAlign w:val="center"/>
          </w:tcPr>
          <w:p w14:paraId="13151B4A">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模型指标报告（精度/延迟）、传感器与工单单测报告</w:t>
            </w:r>
          </w:p>
        </w:tc>
      </w:tr>
      <w:tr w14:paraId="48E360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411" w:type="dxa"/>
            <w:tcBorders>
              <w:top w:val="nil"/>
              <w:left w:val="nil"/>
              <w:bottom w:val="nil"/>
              <w:right w:val="nil"/>
            </w:tcBorders>
            <w:shd w:val="clear" w:color="auto" w:fill="FFFFFF"/>
            <w:tcMar>
              <w:top w:w="60" w:type="dxa"/>
              <w:left w:w="120" w:type="dxa"/>
              <w:bottom w:w="30" w:type="dxa"/>
              <w:right w:w="120" w:type="dxa"/>
            </w:tcMar>
            <w:vAlign w:val="center"/>
          </w:tcPr>
          <w:p w14:paraId="28484A58">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TR5 系统集成评审</w:t>
            </w:r>
          </w:p>
        </w:tc>
        <w:tc>
          <w:tcPr>
            <w:tcW w:w="1417" w:type="dxa"/>
            <w:tcBorders>
              <w:top w:val="nil"/>
              <w:left w:val="nil"/>
              <w:bottom w:val="nil"/>
              <w:right w:val="nil"/>
            </w:tcBorders>
            <w:shd w:val="clear" w:color="auto" w:fill="FFFFFF"/>
            <w:tcMar>
              <w:top w:w="60" w:type="dxa"/>
              <w:left w:w="120" w:type="dxa"/>
              <w:bottom w:w="30" w:type="dxa"/>
              <w:right w:w="120" w:type="dxa"/>
            </w:tcMar>
            <w:vAlign w:val="center"/>
          </w:tcPr>
          <w:p w14:paraId="6870A271">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TR技术评审</w:t>
            </w:r>
          </w:p>
        </w:tc>
        <w:tc>
          <w:tcPr>
            <w:tcW w:w="1805" w:type="dxa"/>
            <w:tcBorders>
              <w:top w:val="nil"/>
              <w:left w:val="nil"/>
              <w:bottom w:val="nil"/>
              <w:right w:val="nil"/>
            </w:tcBorders>
            <w:shd w:val="clear" w:color="auto" w:fill="FFFFFF"/>
            <w:tcMar>
              <w:top w:w="60" w:type="dxa"/>
              <w:left w:w="120" w:type="dxa"/>
              <w:bottom w:w="30" w:type="dxa"/>
              <w:right w:w="120" w:type="dxa"/>
            </w:tcMar>
            <w:vAlign w:val="center"/>
          </w:tcPr>
          <w:p w14:paraId="60DC20B4">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第8天（7.24）</w:t>
            </w:r>
          </w:p>
        </w:tc>
        <w:tc>
          <w:tcPr>
            <w:tcW w:w="3647" w:type="dxa"/>
            <w:tcBorders>
              <w:top w:val="nil"/>
              <w:left w:val="nil"/>
              <w:bottom w:val="nil"/>
              <w:right w:val="nil"/>
            </w:tcBorders>
            <w:shd w:val="clear" w:color="auto" w:fill="FFFFFF"/>
            <w:tcMar>
              <w:top w:w="60" w:type="dxa"/>
              <w:left w:w="120" w:type="dxa"/>
              <w:bottom w:w="30" w:type="dxa"/>
              <w:right w:w="120" w:type="dxa"/>
            </w:tcMar>
            <w:vAlign w:val="center"/>
          </w:tcPr>
          <w:p w14:paraId="1B80F37B">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系统集成联调测试报告（端到端闭环流程跑通）</w:t>
            </w:r>
          </w:p>
        </w:tc>
      </w:tr>
      <w:tr w14:paraId="21B521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411" w:type="dxa"/>
            <w:tcBorders>
              <w:top w:val="nil"/>
              <w:left w:val="nil"/>
              <w:bottom w:val="nil"/>
              <w:right w:val="nil"/>
            </w:tcBorders>
            <w:shd w:val="clear" w:color="auto" w:fill="FFFFFF"/>
            <w:tcMar>
              <w:top w:w="60" w:type="dxa"/>
              <w:left w:w="120" w:type="dxa"/>
              <w:bottom w:w="30" w:type="dxa"/>
              <w:right w:w="120" w:type="dxa"/>
            </w:tcMar>
            <w:vAlign w:val="center"/>
          </w:tcPr>
          <w:p w14:paraId="00D19436">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TR6 产品定型交付</w:t>
            </w:r>
          </w:p>
        </w:tc>
        <w:tc>
          <w:tcPr>
            <w:tcW w:w="1417" w:type="dxa"/>
            <w:tcBorders>
              <w:top w:val="nil"/>
              <w:left w:val="nil"/>
              <w:bottom w:val="nil"/>
              <w:right w:val="nil"/>
            </w:tcBorders>
            <w:shd w:val="clear" w:color="auto" w:fill="FFFFFF"/>
            <w:tcMar>
              <w:top w:w="60" w:type="dxa"/>
              <w:left w:w="120" w:type="dxa"/>
              <w:bottom w:w="30" w:type="dxa"/>
              <w:right w:w="120" w:type="dxa"/>
            </w:tcMar>
            <w:vAlign w:val="center"/>
          </w:tcPr>
          <w:p w14:paraId="46D705FC">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TR技术评审</w:t>
            </w:r>
          </w:p>
        </w:tc>
        <w:tc>
          <w:tcPr>
            <w:tcW w:w="1805" w:type="dxa"/>
            <w:tcBorders>
              <w:top w:val="nil"/>
              <w:left w:val="nil"/>
              <w:bottom w:val="nil"/>
              <w:right w:val="nil"/>
            </w:tcBorders>
            <w:shd w:val="clear" w:color="auto" w:fill="FFFFFF"/>
            <w:tcMar>
              <w:top w:w="60" w:type="dxa"/>
              <w:left w:w="120" w:type="dxa"/>
              <w:bottom w:w="30" w:type="dxa"/>
              <w:right w:w="120" w:type="dxa"/>
            </w:tcMar>
            <w:vAlign w:val="center"/>
          </w:tcPr>
          <w:p w14:paraId="7CD13308">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第9天（7.25）</w:t>
            </w:r>
          </w:p>
        </w:tc>
        <w:tc>
          <w:tcPr>
            <w:tcW w:w="3647" w:type="dxa"/>
            <w:tcBorders>
              <w:top w:val="nil"/>
              <w:left w:val="nil"/>
              <w:bottom w:val="nil"/>
              <w:right w:val="nil"/>
            </w:tcBorders>
            <w:shd w:val="clear" w:color="auto" w:fill="FFFFFF"/>
            <w:tcMar>
              <w:top w:w="60" w:type="dxa"/>
              <w:left w:w="120" w:type="dxa"/>
              <w:bottom w:w="30" w:type="dxa"/>
              <w:right w:w="120" w:type="dxa"/>
            </w:tcMar>
            <w:vAlign w:val="center"/>
          </w:tcPr>
          <w:p w14:paraId="67811D2D">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可运行MVP、全套研发文档归档、演示视频、答辩材料</w:t>
            </w:r>
          </w:p>
        </w:tc>
      </w:tr>
      <w:tr w14:paraId="28B91D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411" w:type="dxa"/>
            <w:tcBorders>
              <w:top w:val="nil"/>
              <w:left w:val="nil"/>
              <w:bottom w:val="single" w:color="000000" w:sz="12" w:space="0"/>
              <w:right w:val="nil"/>
            </w:tcBorders>
            <w:shd w:val="clear" w:color="auto" w:fill="FFFFFF"/>
            <w:tcMar>
              <w:top w:w="60" w:type="dxa"/>
              <w:left w:w="120" w:type="dxa"/>
              <w:bottom w:w="30" w:type="dxa"/>
              <w:right w:w="120" w:type="dxa"/>
            </w:tcMar>
            <w:vAlign w:val="center"/>
          </w:tcPr>
          <w:p w14:paraId="33F3A743">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ADCP发布决策</w:t>
            </w:r>
          </w:p>
        </w:tc>
        <w:tc>
          <w:tcPr>
            <w:tcW w:w="1417" w:type="dxa"/>
            <w:tcBorders>
              <w:top w:val="nil"/>
              <w:left w:val="nil"/>
              <w:bottom w:val="single" w:color="000000" w:sz="12" w:space="0"/>
              <w:right w:val="nil"/>
            </w:tcBorders>
            <w:shd w:val="clear" w:color="auto" w:fill="FFFFFF"/>
            <w:tcMar>
              <w:top w:w="60" w:type="dxa"/>
              <w:left w:w="120" w:type="dxa"/>
              <w:bottom w:w="30" w:type="dxa"/>
              <w:right w:w="120" w:type="dxa"/>
            </w:tcMar>
            <w:vAlign w:val="center"/>
          </w:tcPr>
          <w:p w14:paraId="07044E75">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DCP决策点</w:t>
            </w:r>
          </w:p>
        </w:tc>
        <w:tc>
          <w:tcPr>
            <w:tcW w:w="1805" w:type="dxa"/>
            <w:tcBorders>
              <w:top w:val="nil"/>
              <w:left w:val="nil"/>
              <w:bottom w:val="single" w:color="000000" w:sz="12" w:space="0"/>
              <w:right w:val="nil"/>
            </w:tcBorders>
            <w:shd w:val="clear" w:color="auto" w:fill="FFFFFF"/>
            <w:tcMar>
              <w:top w:w="60" w:type="dxa"/>
              <w:left w:w="120" w:type="dxa"/>
              <w:bottom w:w="30" w:type="dxa"/>
              <w:right w:w="120" w:type="dxa"/>
            </w:tcMar>
            <w:vAlign w:val="center"/>
          </w:tcPr>
          <w:p w14:paraId="070228A1">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*本项目不涉及</w:t>
            </w:r>
          </w:p>
        </w:tc>
        <w:tc>
          <w:tcPr>
            <w:tcW w:w="3647" w:type="dxa"/>
            <w:tcBorders>
              <w:top w:val="nil"/>
              <w:left w:val="nil"/>
              <w:bottom w:val="single" w:color="000000" w:sz="12" w:space="0"/>
              <w:right w:val="nil"/>
            </w:tcBorders>
            <w:shd w:val="clear" w:color="auto" w:fill="FFFFFF"/>
            <w:tcMar>
              <w:top w:w="60" w:type="dxa"/>
              <w:left w:w="120" w:type="dxa"/>
              <w:bottom w:w="30" w:type="dxa"/>
              <w:right w:w="120" w:type="dxa"/>
            </w:tcMar>
            <w:vAlign w:val="center"/>
          </w:tcPr>
          <w:p w14:paraId="2A322712">
            <w:pPr>
              <w:keepNext w:val="0"/>
              <w:keepLines w:val="0"/>
              <w:pageBreakBefore w:val="0"/>
              <w:widowControl/>
              <w:kinsoku/>
              <w:wordWrap/>
              <w:overflowPunct/>
              <w:topLinePunct w:val="0"/>
              <w:autoSpaceDE/>
              <w:autoSpaceDN/>
              <w:bidi w:val="0"/>
              <w:adjustRightInd/>
              <w:snapToGrid w:val="0"/>
              <w:spacing w:after="0" w:line="36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（后续产品化阶段完成）</w:t>
            </w:r>
          </w:p>
        </w:tc>
      </w:tr>
    </w:tbl>
    <w:p w14:paraId="37D97AC0">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0"/>
        <w:rPr>
          <w:rFonts w:hint="default" w:ascii="Times New Roman" w:hAnsi="Times New Roman" w:eastAsia="宋体" w:cs="Times New Roman"/>
          <w:b/>
          <w:sz w:val="36"/>
        </w:rPr>
      </w:pPr>
      <w:bookmarkStart w:id="21" w:name="heading_23"/>
    </w:p>
    <w:p w14:paraId="2AABD256">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0"/>
        <w:rPr>
          <w:rFonts w:hint="default" w:ascii="Times New Roman" w:hAnsi="Times New Roman" w:eastAsia="宋体" w:cs="Times New Roman"/>
          <w:b/>
          <w:sz w:val="36"/>
        </w:rPr>
      </w:pPr>
      <w:r>
        <w:rPr>
          <w:rFonts w:hint="default" w:ascii="Times New Roman" w:hAnsi="Times New Roman" w:eastAsia="宋体" w:cs="Times New Roman"/>
          <w:b/>
          <w:sz w:val="36"/>
        </w:rPr>
        <w:t>9 PDT跨职能团队组织与RACI权责</w:t>
      </w:r>
    </w:p>
    <w:tbl>
      <w:tblPr>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6"/>
        <w:gridCol w:w="1411"/>
        <w:gridCol w:w="5668"/>
      </w:tblGrid>
      <w:tr w14:paraId="79816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jc w:val="center"/>
        </w:trPr>
        <w:tc>
          <w:tcPr>
            <w:tcW w:w="1416" w:type="dxa"/>
            <w:tcBorders>
              <w:top w:val="single" w:color="auto" w:sz="12" w:space="0"/>
              <w:left w:val="nil"/>
              <w:bottom w:val="nil"/>
              <w:right w:val="nil"/>
            </w:tcBorders>
            <w:shd w:val="clear"/>
            <w:noWrap w:val="0"/>
            <w:tcMar>
              <w:top w:w="100" w:type="dxa"/>
              <w:left w:w="-1" w:type="dxa"/>
              <w:bottom w:w="100" w:type="dxa"/>
              <w:right w:w="160" w:type="dxa"/>
            </w:tcMar>
            <w:vAlign w:val="center"/>
          </w:tcPr>
          <w:p w14:paraId="5FB7CB06">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color w:val="000000"/>
                <w:sz w:val="24"/>
                <w:szCs w:val="24"/>
              </w:rPr>
            </w:pPr>
            <w:r>
              <w:rPr>
                <w:rFonts w:hint="default" w:ascii="Times New Roman" w:hAnsi="Times New Roman" w:eastAsia="宋体" w:cs="Times New Roman"/>
                <w:b/>
                <w:color w:val="000000"/>
                <w:sz w:val="24"/>
                <w:szCs w:val="24"/>
                <w:lang w:val="en-US" w:eastAsia="zh-CN"/>
              </w:rPr>
              <w:t>岗位角色</w:t>
            </w:r>
          </w:p>
        </w:tc>
        <w:tc>
          <w:tcPr>
            <w:tcW w:w="1411" w:type="dxa"/>
            <w:tcBorders>
              <w:top w:val="single" w:color="auto" w:sz="12" w:space="0"/>
              <w:left w:val="nil"/>
              <w:bottom w:val="nil"/>
              <w:right w:val="nil"/>
            </w:tcBorders>
            <w:shd w:val="clear"/>
            <w:noWrap w:val="0"/>
            <w:tcMar>
              <w:top w:w="100" w:type="dxa"/>
              <w:left w:w="160" w:type="dxa"/>
              <w:bottom w:w="100" w:type="dxa"/>
              <w:right w:w="160" w:type="dxa"/>
            </w:tcMar>
            <w:vAlign w:val="center"/>
          </w:tcPr>
          <w:p w14:paraId="05C58A40">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color w:val="000000"/>
                <w:sz w:val="24"/>
                <w:szCs w:val="24"/>
              </w:rPr>
            </w:pPr>
            <w:r>
              <w:rPr>
                <w:rFonts w:hint="default" w:ascii="Times New Roman" w:hAnsi="Times New Roman" w:eastAsia="宋体" w:cs="Times New Roman"/>
                <w:b/>
                <w:color w:val="000000"/>
                <w:sz w:val="24"/>
                <w:szCs w:val="24"/>
                <w:lang w:val="en-US" w:eastAsia="zh-CN"/>
              </w:rPr>
              <w:t>负责人</w:t>
            </w:r>
          </w:p>
        </w:tc>
        <w:tc>
          <w:tcPr>
            <w:tcW w:w="5668" w:type="dxa"/>
            <w:tcBorders>
              <w:top w:val="single" w:color="auto" w:sz="12" w:space="0"/>
              <w:left w:val="nil"/>
              <w:bottom w:val="nil"/>
              <w:right w:val="nil"/>
            </w:tcBorders>
            <w:shd w:val="clear"/>
            <w:noWrap w:val="0"/>
            <w:tcMar>
              <w:top w:w="100" w:type="dxa"/>
              <w:left w:w="160" w:type="dxa"/>
              <w:bottom w:w="100" w:type="dxa"/>
              <w:right w:w="160" w:type="dxa"/>
            </w:tcMar>
            <w:vAlign w:val="center"/>
          </w:tcPr>
          <w:p w14:paraId="2E80F3FF">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color w:val="000000"/>
                <w:sz w:val="24"/>
                <w:szCs w:val="24"/>
              </w:rPr>
            </w:pPr>
            <w:r>
              <w:rPr>
                <w:rFonts w:hint="default" w:ascii="Times New Roman" w:hAnsi="Times New Roman" w:eastAsia="宋体" w:cs="Times New Roman"/>
                <w:b/>
                <w:color w:val="000000"/>
                <w:sz w:val="24"/>
                <w:szCs w:val="24"/>
                <w:lang w:val="en-US" w:eastAsia="zh-CN"/>
              </w:rPr>
              <w:t>核心权责（R/A/C/I）</w:t>
            </w:r>
          </w:p>
        </w:tc>
      </w:tr>
      <w:tr w14:paraId="1D435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416" w:type="dxa"/>
            <w:tcBorders>
              <w:top w:val="single" w:color="auto" w:sz="4" w:space="0"/>
              <w:left w:val="nil"/>
              <w:bottom w:val="nil"/>
              <w:right w:val="nil"/>
            </w:tcBorders>
            <w:shd w:val="clear"/>
            <w:noWrap w:val="0"/>
            <w:tcMar>
              <w:top w:w="100" w:type="dxa"/>
              <w:left w:w="-1" w:type="dxa"/>
              <w:bottom w:w="100" w:type="dxa"/>
              <w:right w:w="160" w:type="dxa"/>
            </w:tcMar>
            <w:vAlign w:val="center"/>
          </w:tcPr>
          <w:p w14:paraId="701FDA50">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bCs/>
                <w:color w:val="000000"/>
                <w:sz w:val="24"/>
                <w:szCs w:val="24"/>
              </w:rPr>
            </w:pPr>
            <w:r>
              <w:rPr>
                <w:rFonts w:hint="default" w:ascii="Times New Roman" w:hAnsi="Times New Roman" w:eastAsia="宋体" w:cs="Times New Roman"/>
                <w:b w:val="0"/>
                <w:bCs/>
                <w:color w:val="000000"/>
                <w:sz w:val="24"/>
                <w:szCs w:val="24"/>
                <w:lang w:val="en-US" w:eastAsia="zh-CN"/>
              </w:rPr>
              <w:t>PDT项目经理/产品</w:t>
            </w:r>
          </w:p>
        </w:tc>
        <w:tc>
          <w:tcPr>
            <w:tcW w:w="1411" w:type="dxa"/>
            <w:tcBorders>
              <w:top w:val="single" w:color="auto" w:sz="4" w:space="0"/>
              <w:left w:val="nil"/>
              <w:bottom w:val="nil"/>
              <w:right w:val="nil"/>
            </w:tcBorders>
            <w:shd w:val="clear"/>
            <w:noWrap w:val="0"/>
            <w:tcMar>
              <w:top w:w="100" w:type="dxa"/>
              <w:left w:w="160" w:type="dxa"/>
              <w:bottom w:w="100" w:type="dxa"/>
              <w:right w:w="160" w:type="dxa"/>
            </w:tcMar>
            <w:vAlign w:val="center"/>
          </w:tcPr>
          <w:p w14:paraId="76691C9C">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bCs/>
                <w:color w:val="000000"/>
                <w:sz w:val="24"/>
                <w:szCs w:val="24"/>
              </w:rPr>
            </w:pPr>
            <w:r>
              <w:rPr>
                <w:rFonts w:hint="default" w:ascii="Times New Roman" w:hAnsi="Times New Roman" w:eastAsia="宋体" w:cs="Times New Roman"/>
                <w:b w:val="0"/>
                <w:bCs/>
                <w:color w:val="000000"/>
                <w:sz w:val="24"/>
                <w:szCs w:val="24"/>
                <w:lang w:val="en-US" w:eastAsia="zh-CN"/>
              </w:rPr>
              <w:t>尹佳欣</w:t>
            </w:r>
          </w:p>
        </w:tc>
        <w:tc>
          <w:tcPr>
            <w:tcW w:w="5668" w:type="dxa"/>
            <w:tcBorders>
              <w:top w:val="single" w:color="auto" w:sz="4" w:space="0"/>
              <w:left w:val="nil"/>
              <w:bottom w:val="nil"/>
              <w:right w:val="nil"/>
            </w:tcBorders>
            <w:shd w:val="clear"/>
            <w:noWrap w:val="0"/>
            <w:tcMar>
              <w:top w:w="100" w:type="dxa"/>
              <w:left w:w="160" w:type="dxa"/>
              <w:bottom w:w="100" w:type="dxa"/>
              <w:right w:w="-1" w:type="dxa"/>
            </w:tcMar>
            <w:vAlign w:val="center"/>
          </w:tcPr>
          <w:p w14:paraId="54FA5B05">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bCs/>
                <w:color w:val="000000"/>
                <w:sz w:val="24"/>
                <w:szCs w:val="24"/>
              </w:rPr>
            </w:pPr>
            <w:r>
              <w:rPr>
                <w:rFonts w:hint="default" w:ascii="Times New Roman" w:hAnsi="Times New Roman" w:eastAsia="宋体" w:cs="Times New Roman"/>
                <w:b w:val="0"/>
                <w:bCs/>
                <w:color w:val="000000"/>
                <w:sz w:val="24"/>
                <w:szCs w:val="24"/>
                <w:lang w:val="en-US" w:eastAsia="zh-CN"/>
              </w:rPr>
              <w:t>项目范围、计划、验收管控（R）；需求定义与汇报材料（R）；预算统计与成本记录（R）；需求变更审批（A）；整体进度协调（R）</w:t>
            </w:r>
          </w:p>
        </w:tc>
      </w:tr>
      <w:tr w14:paraId="4E275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416" w:type="dxa"/>
            <w:tcBorders>
              <w:top w:val="nil"/>
              <w:left w:val="nil"/>
              <w:bottom w:val="nil"/>
              <w:right w:val="nil"/>
            </w:tcBorders>
            <w:shd w:val="clear"/>
            <w:noWrap w:val="0"/>
            <w:tcMar>
              <w:top w:w="100" w:type="dxa"/>
              <w:left w:w="-1" w:type="dxa"/>
              <w:bottom w:w="100" w:type="dxa"/>
              <w:right w:w="160" w:type="dxa"/>
            </w:tcMar>
            <w:vAlign w:val="center"/>
          </w:tcPr>
          <w:p w14:paraId="32BDD2ED">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bCs/>
                <w:color w:val="000000"/>
                <w:sz w:val="24"/>
                <w:szCs w:val="24"/>
              </w:rPr>
            </w:pPr>
            <w:r>
              <w:rPr>
                <w:rFonts w:hint="default" w:ascii="Times New Roman" w:hAnsi="Times New Roman" w:eastAsia="宋体" w:cs="Times New Roman"/>
                <w:b w:val="0"/>
                <w:bCs/>
                <w:color w:val="000000"/>
                <w:sz w:val="24"/>
                <w:szCs w:val="24"/>
                <w:lang w:val="en-US" w:eastAsia="zh-CN"/>
              </w:rPr>
              <w:t>系统架构/边缘部署</w:t>
            </w:r>
          </w:p>
        </w:tc>
        <w:tc>
          <w:tcPr>
            <w:tcW w:w="1411" w:type="dxa"/>
            <w:tcBorders>
              <w:top w:val="nil"/>
              <w:left w:val="nil"/>
              <w:bottom w:val="nil"/>
              <w:right w:val="nil"/>
            </w:tcBorders>
            <w:shd w:val="clear"/>
            <w:noWrap w:val="0"/>
            <w:tcMar>
              <w:top w:w="100" w:type="dxa"/>
              <w:left w:w="160" w:type="dxa"/>
              <w:bottom w:w="100" w:type="dxa"/>
              <w:right w:w="160" w:type="dxa"/>
            </w:tcMar>
            <w:vAlign w:val="center"/>
          </w:tcPr>
          <w:p w14:paraId="4D1360FB">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bCs/>
                <w:color w:val="000000"/>
                <w:sz w:val="24"/>
                <w:szCs w:val="24"/>
              </w:rPr>
            </w:pPr>
            <w:r>
              <w:rPr>
                <w:rFonts w:hint="default" w:ascii="Times New Roman" w:hAnsi="Times New Roman" w:eastAsia="宋体" w:cs="Times New Roman"/>
                <w:b w:val="0"/>
                <w:bCs/>
                <w:color w:val="000000"/>
                <w:sz w:val="24"/>
                <w:szCs w:val="24"/>
                <w:lang w:val="en-US" w:eastAsia="zh-CN"/>
              </w:rPr>
              <w:t>李誉</w:t>
            </w:r>
          </w:p>
        </w:tc>
        <w:tc>
          <w:tcPr>
            <w:tcW w:w="5668" w:type="dxa"/>
            <w:tcBorders>
              <w:top w:val="nil"/>
              <w:left w:val="nil"/>
              <w:bottom w:val="nil"/>
              <w:right w:val="nil"/>
            </w:tcBorders>
            <w:shd w:val="clear"/>
            <w:noWrap w:val="0"/>
            <w:tcMar>
              <w:top w:w="100" w:type="dxa"/>
              <w:left w:w="160" w:type="dxa"/>
              <w:bottom w:w="100" w:type="dxa"/>
              <w:right w:w="-1" w:type="dxa"/>
            </w:tcMar>
            <w:vAlign w:val="center"/>
          </w:tcPr>
          <w:p w14:paraId="4DC38D5C">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bCs/>
                <w:color w:val="000000"/>
                <w:sz w:val="24"/>
                <w:szCs w:val="24"/>
              </w:rPr>
            </w:pPr>
            <w:r>
              <w:rPr>
                <w:rFonts w:hint="default" w:ascii="Times New Roman" w:hAnsi="Times New Roman" w:eastAsia="宋体" w:cs="Times New Roman"/>
                <w:b w:val="0"/>
                <w:bCs/>
                <w:color w:val="000000"/>
                <w:sz w:val="24"/>
                <w:szCs w:val="24"/>
                <w:lang w:val="en-US" w:eastAsia="zh-CN"/>
              </w:rPr>
              <w:t>整体架构设计、接口协议定义、技术选型决策（R）；性能基线制定（R）；边缘端Jetson Orin Nano环境搭建与推理程序移植（R）；技术方案变更审批（A）</w:t>
            </w:r>
          </w:p>
        </w:tc>
      </w:tr>
      <w:tr w14:paraId="3BEA7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416" w:type="dxa"/>
            <w:tcBorders>
              <w:top w:val="nil"/>
              <w:left w:val="nil"/>
              <w:bottom w:val="nil"/>
              <w:right w:val="nil"/>
            </w:tcBorders>
            <w:shd w:val="clear"/>
            <w:noWrap w:val="0"/>
            <w:tcMar>
              <w:top w:w="100" w:type="dxa"/>
              <w:left w:w="-1" w:type="dxa"/>
              <w:bottom w:w="100" w:type="dxa"/>
              <w:right w:w="160" w:type="dxa"/>
            </w:tcMar>
            <w:vAlign w:val="center"/>
          </w:tcPr>
          <w:p w14:paraId="3A8BB39F">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bCs/>
                <w:color w:val="000000"/>
                <w:sz w:val="24"/>
                <w:szCs w:val="24"/>
              </w:rPr>
            </w:pPr>
            <w:r>
              <w:rPr>
                <w:rFonts w:hint="default" w:ascii="Times New Roman" w:hAnsi="Times New Roman" w:eastAsia="宋体" w:cs="Times New Roman"/>
                <w:b w:val="0"/>
                <w:bCs/>
                <w:color w:val="000000"/>
                <w:sz w:val="24"/>
                <w:szCs w:val="24"/>
                <w:lang w:val="en-US" w:eastAsia="zh-CN"/>
              </w:rPr>
              <w:t>视觉算法</w:t>
            </w:r>
          </w:p>
        </w:tc>
        <w:tc>
          <w:tcPr>
            <w:tcW w:w="1411" w:type="dxa"/>
            <w:tcBorders>
              <w:top w:val="nil"/>
              <w:left w:val="nil"/>
              <w:bottom w:val="nil"/>
              <w:right w:val="nil"/>
            </w:tcBorders>
            <w:shd w:val="clear"/>
            <w:noWrap w:val="0"/>
            <w:tcMar>
              <w:top w:w="100" w:type="dxa"/>
              <w:left w:w="160" w:type="dxa"/>
              <w:bottom w:w="100" w:type="dxa"/>
              <w:right w:w="160" w:type="dxa"/>
            </w:tcMar>
            <w:vAlign w:val="center"/>
          </w:tcPr>
          <w:p w14:paraId="57B8713F">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bCs/>
                <w:color w:val="000000"/>
                <w:sz w:val="24"/>
                <w:szCs w:val="24"/>
              </w:rPr>
            </w:pPr>
            <w:r>
              <w:rPr>
                <w:rFonts w:hint="default" w:ascii="Times New Roman" w:hAnsi="Times New Roman" w:eastAsia="宋体" w:cs="Times New Roman"/>
                <w:b w:val="0"/>
                <w:bCs/>
                <w:color w:val="000000"/>
                <w:sz w:val="24"/>
                <w:szCs w:val="24"/>
                <w:lang w:val="en-US" w:eastAsia="zh-CN"/>
              </w:rPr>
              <w:t>黄雅刚、彭琦</w:t>
            </w:r>
          </w:p>
        </w:tc>
        <w:tc>
          <w:tcPr>
            <w:tcW w:w="5668" w:type="dxa"/>
            <w:tcBorders>
              <w:top w:val="nil"/>
              <w:left w:val="nil"/>
              <w:bottom w:val="nil"/>
              <w:right w:val="nil"/>
            </w:tcBorders>
            <w:shd w:val="clear"/>
            <w:noWrap w:val="0"/>
            <w:tcMar>
              <w:top w:w="100" w:type="dxa"/>
              <w:left w:w="160" w:type="dxa"/>
              <w:bottom w:w="100" w:type="dxa"/>
              <w:right w:w="-1" w:type="dxa"/>
            </w:tcMar>
            <w:vAlign w:val="center"/>
          </w:tcPr>
          <w:p w14:paraId="50F2BD68">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bCs/>
                <w:color w:val="000000"/>
                <w:sz w:val="24"/>
                <w:szCs w:val="24"/>
              </w:rPr>
            </w:pPr>
            <w:r>
              <w:rPr>
                <w:rFonts w:hint="default" w:ascii="Times New Roman" w:hAnsi="Times New Roman" w:eastAsia="宋体" w:cs="Times New Roman"/>
                <w:b w:val="0"/>
                <w:bCs/>
                <w:color w:val="000000"/>
                <w:sz w:val="24"/>
                <w:szCs w:val="24"/>
                <w:lang w:val="en-US" w:eastAsia="zh-CN"/>
              </w:rPr>
              <w:t>模型选型、训练、量化、评估（R）；目标检测与跟踪算法实现（R）；模型精度达标判定（A）；模型在边缘端的部署验证（R）</w:t>
            </w:r>
          </w:p>
        </w:tc>
      </w:tr>
      <w:tr w14:paraId="40577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416" w:type="dxa"/>
            <w:tcBorders>
              <w:top w:val="nil"/>
              <w:left w:val="nil"/>
              <w:bottom w:val="nil"/>
              <w:right w:val="nil"/>
            </w:tcBorders>
            <w:shd w:val="clear"/>
            <w:noWrap w:val="0"/>
            <w:tcMar>
              <w:top w:w="100" w:type="dxa"/>
              <w:left w:w="-1" w:type="dxa"/>
              <w:bottom w:w="100" w:type="dxa"/>
              <w:right w:w="160" w:type="dxa"/>
            </w:tcMar>
            <w:vAlign w:val="center"/>
          </w:tcPr>
          <w:p w14:paraId="6090DBF2">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bCs/>
                <w:color w:val="000000"/>
                <w:sz w:val="24"/>
                <w:szCs w:val="24"/>
              </w:rPr>
            </w:pPr>
            <w:r>
              <w:rPr>
                <w:rFonts w:hint="default" w:ascii="Times New Roman" w:hAnsi="Times New Roman" w:eastAsia="宋体" w:cs="Times New Roman"/>
                <w:b w:val="0"/>
                <w:bCs/>
                <w:color w:val="000000"/>
                <w:sz w:val="24"/>
                <w:szCs w:val="24"/>
                <w:lang w:val="en-US" w:eastAsia="zh-CN"/>
              </w:rPr>
              <w:t>时序与规则/知识库</w:t>
            </w:r>
          </w:p>
        </w:tc>
        <w:tc>
          <w:tcPr>
            <w:tcW w:w="1411" w:type="dxa"/>
            <w:tcBorders>
              <w:top w:val="nil"/>
              <w:left w:val="nil"/>
              <w:bottom w:val="nil"/>
              <w:right w:val="nil"/>
            </w:tcBorders>
            <w:shd w:val="clear"/>
            <w:noWrap w:val="0"/>
            <w:tcMar>
              <w:top w:w="100" w:type="dxa"/>
              <w:left w:w="160" w:type="dxa"/>
              <w:bottom w:w="100" w:type="dxa"/>
              <w:right w:w="160" w:type="dxa"/>
            </w:tcMar>
            <w:vAlign w:val="center"/>
          </w:tcPr>
          <w:p w14:paraId="1D0A50F4">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bCs/>
                <w:color w:val="000000"/>
                <w:sz w:val="24"/>
                <w:szCs w:val="24"/>
              </w:rPr>
            </w:pPr>
            <w:r>
              <w:rPr>
                <w:rFonts w:hint="default" w:ascii="Times New Roman" w:hAnsi="Times New Roman" w:eastAsia="宋体" w:cs="Times New Roman"/>
                <w:b w:val="0"/>
                <w:bCs/>
                <w:color w:val="000000"/>
                <w:sz w:val="24"/>
                <w:szCs w:val="24"/>
                <w:lang w:val="en-US" w:eastAsia="zh-CN"/>
              </w:rPr>
              <w:t>黄江涛</w:t>
            </w:r>
          </w:p>
        </w:tc>
        <w:tc>
          <w:tcPr>
            <w:tcW w:w="5668" w:type="dxa"/>
            <w:tcBorders>
              <w:top w:val="nil"/>
              <w:left w:val="nil"/>
              <w:bottom w:val="nil"/>
              <w:right w:val="nil"/>
            </w:tcBorders>
            <w:shd w:val="clear"/>
            <w:noWrap w:val="0"/>
            <w:tcMar>
              <w:top w:w="100" w:type="dxa"/>
              <w:left w:w="160" w:type="dxa"/>
              <w:bottom w:w="100" w:type="dxa"/>
              <w:right w:w="-1" w:type="dxa"/>
            </w:tcMar>
            <w:vAlign w:val="center"/>
          </w:tcPr>
          <w:p w14:paraId="627134AD">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bCs/>
                <w:color w:val="000000"/>
                <w:sz w:val="24"/>
                <w:szCs w:val="24"/>
              </w:rPr>
            </w:pPr>
            <w:r>
              <w:rPr>
                <w:rFonts w:hint="default" w:ascii="Times New Roman" w:hAnsi="Times New Roman" w:eastAsia="宋体" w:cs="Times New Roman"/>
                <w:b w:val="0"/>
                <w:bCs/>
                <w:color w:val="000000"/>
                <w:sz w:val="24"/>
                <w:szCs w:val="24"/>
                <w:lang w:val="en-US" w:eastAsia="zh-CN"/>
              </w:rPr>
              <w:t>风险评分规则设计、规则引擎实现（R）；事件分级逻辑（R）；多模态数据融合规则定义（R）；管理助手规则库构建（R）</w:t>
            </w:r>
          </w:p>
        </w:tc>
      </w:tr>
      <w:tr w14:paraId="38153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416" w:type="dxa"/>
            <w:tcBorders>
              <w:top w:val="nil"/>
              <w:left w:val="nil"/>
              <w:bottom w:val="nil"/>
              <w:right w:val="nil"/>
            </w:tcBorders>
            <w:shd w:val="clear"/>
            <w:noWrap w:val="0"/>
            <w:tcMar>
              <w:top w:w="100" w:type="dxa"/>
              <w:left w:w="-1" w:type="dxa"/>
              <w:bottom w:w="100" w:type="dxa"/>
              <w:right w:w="160" w:type="dxa"/>
            </w:tcMar>
            <w:vAlign w:val="center"/>
          </w:tcPr>
          <w:p w14:paraId="708D180A">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bCs/>
                <w:color w:val="000000"/>
                <w:sz w:val="24"/>
                <w:szCs w:val="24"/>
              </w:rPr>
            </w:pPr>
            <w:r>
              <w:rPr>
                <w:rFonts w:hint="default" w:ascii="Times New Roman" w:hAnsi="Times New Roman" w:eastAsia="宋体" w:cs="Times New Roman"/>
                <w:b w:val="0"/>
                <w:bCs/>
                <w:color w:val="000000"/>
                <w:sz w:val="24"/>
                <w:szCs w:val="24"/>
                <w:lang w:val="en-US" w:eastAsia="zh-CN"/>
              </w:rPr>
              <w:t>后端/数据</w:t>
            </w:r>
          </w:p>
        </w:tc>
        <w:tc>
          <w:tcPr>
            <w:tcW w:w="1411" w:type="dxa"/>
            <w:tcBorders>
              <w:top w:val="nil"/>
              <w:left w:val="nil"/>
              <w:bottom w:val="nil"/>
              <w:right w:val="nil"/>
            </w:tcBorders>
            <w:shd w:val="clear"/>
            <w:noWrap w:val="0"/>
            <w:tcMar>
              <w:top w:w="100" w:type="dxa"/>
              <w:left w:w="160" w:type="dxa"/>
              <w:bottom w:w="100" w:type="dxa"/>
              <w:right w:w="160" w:type="dxa"/>
            </w:tcMar>
            <w:vAlign w:val="center"/>
          </w:tcPr>
          <w:p w14:paraId="26657F66">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bCs/>
                <w:color w:val="000000"/>
                <w:sz w:val="24"/>
                <w:szCs w:val="24"/>
              </w:rPr>
            </w:pPr>
            <w:r>
              <w:rPr>
                <w:rFonts w:hint="default" w:ascii="Times New Roman" w:hAnsi="Times New Roman" w:eastAsia="宋体" w:cs="Times New Roman"/>
                <w:b w:val="0"/>
                <w:bCs/>
                <w:color w:val="000000"/>
                <w:sz w:val="24"/>
                <w:szCs w:val="24"/>
                <w:lang w:val="en-US" w:eastAsia="zh-CN"/>
              </w:rPr>
              <w:t>陈汉伟</w:t>
            </w:r>
          </w:p>
        </w:tc>
        <w:tc>
          <w:tcPr>
            <w:tcW w:w="5668" w:type="dxa"/>
            <w:tcBorders>
              <w:top w:val="nil"/>
              <w:left w:val="nil"/>
              <w:bottom w:val="nil"/>
              <w:right w:val="nil"/>
            </w:tcBorders>
            <w:shd w:val="clear"/>
            <w:noWrap w:val="0"/>
            <w:tcMar>
              <w:top w:w="100" w:type="dxa"/>
              <w:left w:w="160" w:type="dxa"/>
              <w:bottom w:w="100" w:type="dxa"/>
              <w:right w:w="-1" w:type="dxa"/>
            </w:tcMar>
            <w:vAlign w:val="center"/>
          </w:tcPr>
          <w:p w14:paraId="19371DEF">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bCs/>
                <w:color w:val="000000"/>
                <w:sz w:val="24"/>
                <w:szCs w:val="24"/>
              </w:rPr>
            </w:pPr>
            <w:r>
              <w:rPr>
                <w:rFonts w:hint="default" w:ascii="Times New Roman" w:hAnsi="Times New Roman" w:eastAsia="宋体" w:cs="Times New Roman"/>
                <w:b w:val="0"/>
                <w:bCs/>
                <w:color w:val="000000"/>
                <w:sz w:val="24"/>
                <w:szCs w:val="24"/>
                <w:lang w:val="en-US" w:eastAsia="zh-CN"/>
              </w:rPr>
              <w:t>API开发、数据库设计、事件服务实现（R）；前后端接口定义（R）；本地缓存与断线重传机制实现（R）</w:t>
            </w:r>
          </w:p>
        </w:tc>
      </w:tr>
      <w:tr w14:paraId="6D6A7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416" w:type="dxa"/>
            <w:tcBorders>
              <w:top w:val="nil"/>
              <w:left w:val="nil"/>
              <w:bottom w:val="nil"/>
              <w:right w:val="nil"/>
            </w:tcBorders>
            <w:shd w:val="clear"/>
            <w:noWrap w:val="0"/>
            <w:tcMar>
              <w:top w:w="100" w:type="dxa"/>
              <w:left w:w="-1" w:type="dxa"/>
              <w:bottom w:w="100" w:type="dxa"/>
              <w:right w:w="160" w:type="dxa"/>
            </w:tcMar>
            <w:vAlign w:val="center"/>
          </w:tcPr>
          <w:p w14:paraId="21E3FDC6">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bCs/>
                <w:color w:val="000000"/>
                <w:sz w:val="24"/>
                <w:szCs w:val="24"/>
              </w:rPr>
            </w:pPr>
            <w:r>
              <w:rPr>
                <w:rFonts w:hint="default" w:ascii="Times New Roman" w:hAnsi="Times New Roman" w:eastAsia="宋体" w:cs="Times New Roman"/>
                <w:b w:val="0"/>
                <w:bCs/>
                <w:color w:val="000000"/>
                <w:sz w:val="24"/>
                <w:szCs w:val="24"/>
                <w:lang w:val="en-US" w:eastAsia="zh-CN"/>
              </w:rPr>
              <w:t>前端/交互</w:t>
            </w:r>
          </w:p>
        </w:tc>
        <w:tc>
          <w:tcPr>
            <w:tcW w:w="1411" w:type="dxa"/>
            <w:tcBorders>
              <w:top w:val="nil"/>
              <w:left w:val="nil"/>
              <w:bottom w:val="nil"/>
              <w:right w:val="nil"/>
            </w:tcBorders>
            <w:shd w:val="clear"/>
            <w:noWrap w:val="0"/>
            <w:tcMar>
              <w:top w:w="100" w:type="dxa"/>
              <w:left w:w="160" w:type="dxa"/>
              <w:bottom w:w="100" w:type="dxa"/>
              <w:right w:w="160" w:type="dxa"/>
            </w:tcMar>
            <w:vAlign w:val="center"/>
          </w:tcPr>
          <w:p w14:paraId="4E7FB81E">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bCs/>
                <w:color w:val="000000"/>
                <w:sz w:val="24"/>
                <w:szCs w:val="24"/>
              </w:rPr>
            </w:pPr>
            <w:r>
              <w:rPr>
                <w:rFonts w:hint="default" w:ascii="Times New Roman" w:hAnsi="Times New Roman" w:eastAsia="宋体" w:cs="Times New Roman"/>
                <w:b w:val="0"/>
                <w:bCs/>
                <w:color w:val="000000"/>
                <w:sz w:val="24"/>
                <w:szCs w:val="24"/>
                <w:lang w:val="en-US" w:eastAsia="zh-CN"/>
              </w:rPr>
              <w:t>邓招鼎</w:t>
            </w:r>
          </w:p>
        </w:tc>
        <w:tc>
          <w:tcPr>
            <w:tcW w:w="5668" w:type="dxa"/>
            <w:tcBorders>
              <w:top w:val="nil"/>
              <w:left w:val="nil"/>
              <w:bottom w:val="nil"/>
              <w:right w:val="nil"/>
            </w:tcBorders>
            <w:shd w:val="clear"/>
            <w:noWrap w:val="0"/>
            <w:tcMar>
              <w:top w:w="100" w:type="dxa"/>
              <w:left w:w="160" w:type="dxa"/>
              <w:bottom w:w="100" w:type="dxa"/>
              <w:right w:w="-1" w:type="dxa"/>
            </w:tcMar>
            <w:vAlign w:val="center"/>
          </w:tcPr>
          <w:p w14:paraId="2856DD58">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bCs/>
                <w:color w:val="000000"/>
                <w:sz w:val="24"/>
                <w:szCs w:val="24"/>
              </w:rPr>
            </w:pPr>
            <w:r>
              <w:rPr>
                <w:rFonts w:hint="default" w:ascii="Times New Roman" w:hAnsi="Times New Roman" w:eastAsia="宋体" w:cs="Times New Roman"/>
                <w:b w:val="0"/>
                <w:bCs/>
                <w:color w:val="000000"/>
                <w:sz w:val="24"/>
                <w:szCs w:val="24"/>
                <w:lang w:val="en-US" w:eastAsia="zh-CN"/>
              </w:rPr>
              <w:t>Web管理看板开发、告警列表与工单可视化（R）；前后端联调（R）；演示界面交互优化（R）</w:t>
            </w:r>
          </w:p>
        </w:tc>
      </w:tr>
      <w:tr w14:paraId="033A7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416" w:type="dxa"/>
            <w:tcBorders>
              <w:top w:val="nil"/>
              <w:left w:val="nil"/>
              <w:bottom w:val="single" w:color="auto" w:sz="12" w:space="0"/>
              <w:right w:val="nil"/>
            </w:tcBorders>
            <w:shd w:val="clear"/>
            <w:noWrap w:val="0"/>
            <w:tcMar>
              <w:top w:w="100" w:type="dxa"/>
              <w:left w:w="-1" w:type="dxa"/>
              <w:bottom w:w="100" w:type="dxa"/>
              <w:right w:w="160" w:type="dxa"/>
            </w:tcMar>
            <w:vAlign w:val="center"/>
          </w:tcPr>
          <w:p w14:paraId="2BCE8196">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bCs/>
                <w:color w:val="000000"/>
                <w:sz w:val="24"/>
                <w:szCs w:val="24"/>
              </w:rPr>
            </w:pPr>
            <w:r>
              <w:rPr>
                <w:rFonts w:hint="default" w:ascii="Times New Roman" w:hAnsi="Times New Roman" w:eastAsia="宋体" w:cs="Times New Roman"/>
                <w:b w:val="0"/>
                <w:bCs/>
                <w:color w:val="000000"/>
                <w:sz w:val="24"/>
                <w:szCs w:val="24"/>
                <w:lang w:val="en-US" w:eastAsia="zh-CN"/>
              </w:rPr>
              <w:t>测试/交付</w:t>
            </w:r>
          </w:p>
        </w:tc>
        <w:tc>
          <w:tcPr>
            <w:tcW w:w="1411" w:type="dxa"/>
            <w:tcBorders>
              <w:top w:val="nil"/>
              <w:left w:val="nil"/>
              <w:bottom w:val="single" w:color="auto" w:sz="12" w:space="0"/>
              <w:right w:val="nil"/>
            </w:tcBorders>
            <w:shd w:val="clear"/>
            <w:noWrap w:val="0"/>
            <w:tcMar>
              <w:top w:w="100" w:type="dxa"/>
              <w:left w:w="160" w:type="dxa"/>
              <w:bottom w:w="100" w:type="dxa"/>
              <w:right w:w="160" w:type="dxa"/>
            </w:tcMar>
            <w:vAlign w:val="center"/>
          </w:tcPr>
          <w:p w14:paraId="159BA15B">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bCs/>
                <w:color w:val="000000"/>
                <w:sz w:val="24"/>
                <w:szCs w:val="24"/>
              </w:rPr>
            </w:pPr>
            <w:r>
              <w:rPr>
                <w:rFonts w:hint="default" w:ascii="Times New Roman" w:hAnsi="Times New Roman" w:eastAsia="宋体" w:cs="Times New Roman"/>
                <w:b w:val="0"/>
                <w:bCs/>
                <w:color w:val="000000"/>
                <w:sz w:val="24"/>
                <w:szCs w:val="24"/>
                <w:lang w:val="en-US" w:eastAsia="zh-CN"/>
              </w:rPr>
              <w:t>何宇阳</w:t>
            </w:r>
          </w:p>
        </w:tc>
        <w:tc>
          <w:tcPr>
            <w:tcW w:w="5668" w:type="dxa"/>
            <w:tcBorders>
              <w:top w:val="nil"/>
              <w:left w:val="nil"/>
              <w:bottom w:val="single" w:color="auto" w:sz="12" w:space="0"/>
              <w:right w:val="nil"/>
            </w:tcBorders>
            <w:shd w:val="clear"/>
            <w:noWrap w:val="0"/>
            <w:tcMar>
              <w:top w:w="100" w:type="dxa"/>
              <w:left w:w="160" w:type="dxa"/>
              <w:bottom w:w="100" w:type="dxa"/>
              <w:right w:w="-1" w:type="dxa"/>
            </w:tcMar>
            <w:vAlign w:val="center"/>
          </w:tcPr>
          <w:p w14:paraId="7FCFC448">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bCs/>
                <w:color w:val="000000"/>
                <w:sz w:val="24"/>
                <w:szCs w:val="24"/>
              </w:rPr>
            </w:pPr>
            <w:r>
              <w:rPr>
                <w:rFonts w:hint="default" w:ascii="Times New Roman" w:hAnsi="Times New Roman" w:eastAsia="宋体" w:cs="Times New Roman"/>
                <w:b w:val="0"/>
                <w:bCs/>
                <w:color w:val="000000"/>
                <w:sz w:val="24"/>
                <w:szCs w:val="24"/>
                <w:lang w:val="en-US" w:eastAsia="zh-CN"/>
              </w:rPr>
              <w:t>测试方案制定、测试用例执行、Bug追踪（R）；质量报告输出（R）；演示环境准备与合规检查（R）；全套文档归档与答辩材料整合（R）</w:t>
            </w:r>
          </w:p>
        </w:tc>
      </w:tr>
    </w:tbl>
    <w:p w14:paraId="2B6977B1">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p>
    <w:p w14:paraId="757A925D">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团队分工说明：</w:t>
      </w:r>
    </w:p>
    <w:p w14:paraId="042A38DE">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开发组（4人）：李誉牵头，带领黄雅刚、彭琦、黄江涛，负责边缘端推理程序、算法部署、规则引擎和整体架构落地。</w:t>
      </w:r>
    </w:p>
    <w:p w14:paraId="063C48A6">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文字/交付组（4人）：尹佳欣牵头，带领陈汉伟、邓招鼎、何宇阳，负责Charter等全套IPD文档撰写、管理端看板开发、测试与交付材料。</w:t>
      </w:r>
    </w:p>
    <w:p w14:paraId="24BB42CC">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交叉协作：后端与前端在日常开发中密切配合；测试组需提前介入各模块，验证可交付性；算法与边缘部署共同完成模型移植与性能调优。</w:t>
      </w:r>
    </w:p>
    <w:p w14:paraId="1CCE4CB0">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p>
    <w:p w14:paraId="7E1A46F6">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0"/>
        <w:rPr>
          <w:rFonts w:hint="default" w:ascii="Times New Roman" w:hAnsi="Times New Roman" w:eastAsia="宋体" w:cs="Times New Roman"/>
        </w:rPr>
      </w:pPr>
      <w:r>
        <w:rPr>
          <w:rFonts w:hint="default" w:ascii="Times New Roman" w:hAnsi="Times New Roman" w:eastAsia="宋体" w:cs="Times New Roman"/>
          <w:b/>
          <w:sz w:val="36"/>
        </w:rPr>
        <w:t>10 项目资源预算配置</w:t>
      </w:r>
      <w:bookmarkEnd w:id="21"/>
    </w:p>
    <w:p w14:paraId="4BE7973D">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1"/>
        <w:rPr>
          <w:rFonts w:hint="default" w:ascii="Times New Roman" w:hAnsi="Times New Roman" w:eastAsia="宋体" w:cs="Times New Roman"/>
        </w:rPr>
      </w:pPr>
      <w:bookmarkStart w:id="22" w:name="heading_24"/>
      <w:r>
        <w:rPr>
          <w:rFonts w:hint="default" w:ascii="Times New Roman" w:hAnsi="Times New Roman" w:eastAsia="宋体" w:cs="Times New Roman"/>
          <w:b/>
          <w:sz w:val="32"/>
        </w:rPr>
        <w:t>10.1 人力配置</w:t>
      </w:r>
      <w:bookmarkEnd w:id="22"/>
    </w:p>
    <w:p w14:paraId="332C69F6">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8人全职投入9个工作日（2026年7月17日-7月25日），各岗位分工及投入周期详见第9章。总人天数72人天。</w:t>
      </w:r>
    </w:p>
    <w:p w14:paraId="5BC99947">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1"/>
        <w:rPr>
          <w:rFonts w:hint="default" w:ascii="Times New Roman" w:hAnsi="Times New Roman" w:eastAsia="宋体" w:cs="Times New Roman"/>
        </w:rPr>
      </w:pPr>
      <w:bookmarkStart w:id="23" w:name="heading_25"/>
      <w:r>
        <w:rPr>
          <w:rFonts w:hint="default" w:ascii="Times New Roman" w:hAnsi="Times New Roman" w:eastAsia="宋体" w:cs="Times New Roman"/>
          <w:b/>
          <w:sz w:val="32"/>
        </w:rPr>
        <w:t>10.2 硬件/算力资源</w:t>
      </w:r>
      <w:bookmarkEnd w:id="23"/>
    </w:p>
    <w:tbl>
      <w:tblPr>
        <w:tblStyle w:val="3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60AC8B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14:paraId="7A95DF45">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资源类型</w:t>
            </w:r>
          </w:p>
        </w:tc>
        <w:tc>
          <w:tcPr>
            <w:tcW w:w="207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18F27DFB">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规格</w:t>
            </w:r>
          </w:p>
        </w:tc>
        <w:tc>
          <w:tcPr>
            <w:tcW w:w="207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43891E03">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数量</w:t>
            </w:r>
          </w:p>
        </w:tc>
        <w:tc>
          <w:tcPr>
            <w:tcW w:w="207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1F097D92">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用途</w:t>
            </w:r>
          </w:p>
        </w:tc>
      </w:tr>
      <w:tr w14:paraId="0656B5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Borders>
              <w:top w:val="single" w:color="000000" w:sz="4" w:space="0"/>
              <w:left w:val="nil"/>
              <w:bottom w:val="nil"/>
              <w:right w:val="nil"/>
            </w:tcBorders>
            <w:shd w:val="clear" w:color="auto" w:fill="FFFFFF"/>
            <w:tcMar>
              <w:top w:w="60" w:type="dxa"/>
              <w:left w:w="120" w:type="dxa"/>
              <w:bottom w:w="30" w:type="dxa"/>
              <w:right w:w="120" w:type="dxa"/>
            </w:tcMar>
          </w:tcPr>
          <w:p w14:paraId="10A519B0">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边缘计算终端</w:t>
            </w:r>
          </w:p>
        </w:tc>
        <w:tc>
          <w:tcPr>
            <w:tcW w:w="2070" w:type="dxa"/>
            <w:tcBorders>
              <w:top w:val="single" w:color="000000" w:sz="4" w:space="0"/>
              <w:left w:val="nil"/>
              <w:bottom w:val="nil"/>
              <w:right w:val="nil"/>
            </w:tcBorders>
            <w:shd w:val="clear" w:color="auto" w:fill="FFFFFF"/>
            <w:tcMar>
              <w:top w:w="60" w:type="dxa"/>
              <w:left w:w="120" w:type="dxa"/>
              <w:bottom w:w="30" w:type="dxa"/>
              <w:right w:w="120" w:type="dxa"/>
            </w:tcMar>
          </w:tcPr>
          <w:p w14:paraId="66CAE254">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Jetson Orin Nano（40 TOPS）</w:t>
            </w:r>
          </w:p>
        </w:tc>
        <w:tc>
          <w:tcPr>
            <w:tcW w:w="2070" w:type="dxa"/>
            <w:tcBorders>
              <w:top w:val="single" w:color="000000" w:sz="4" w:space="0"/>
              <w:left w:val="nil"/>
              <w:bottom w:val="nil"/>
              <w:right w:val="nil"/>
            </w:tcBorders>
            <w:shd w:val="clear" w:color="auto" w:fill="FFFFFF"/>
            <w:tcMar>
              <w:top w:w="60" w:type="dxa"/>
              <w:left w:w="120" w:type="dxa"/>
              <w:bottom w:w="30" w:type="dxa"/>
              <w:right w:w="120" w:type="dxa"/>
            </w:tcMar>
          </w:tcPr>
          <w:p w14:paraId="4A5169FE">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1台</w:t>
            </w:r>
          </w:p>
        </w:tc>
        <w:tc>
          <w:tcPr>
            <w:tcW w:w="2070" w:type="dxa"/>
            <w:tcBorders>
              <w:top w:val="single" w:color="000000" w:sz="4" w:space="0"/>
              <w:left w:val="nil"/>
              <w:bottom w:val="nil"/>
              <w:right w:val="nil"/>
            </w:tcBorders>
            <w:shd w:val="clear" w:color="auto" w:fill="FFFFFF"/>
            <w:tcMar>
              <w:top w:w="60" w:type="dxa"/>
              <w:left w:w="120" w:type="dxa"/>
              <w:bottom w:w="30" w:type="dxa"/>
              <w:right w:w="120" w:type="dxa"/>
            </w:tcMar>
          </w:tcPr>
          <w:p w14:paraId="41710855">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AI推理部署（已有）</w:t>
            </w:r>
          </w:p>
        </w:tc>
      </w:tr>
      <w:tr w14:paraId="67DABC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Borders>
              <w:top w:val="nil"/>
              <w:left w:val="nil"/>
              <w:bottom w:val="nil"/>
              <w:right w:val="nil"/>
            </w:tcBorders>
            <w:shd w:val="clear" w:color="auto" w:fill="FFFFFF"/>
            <w:tcMar>
              <w:top w:w="60" w:type="dxa"/>
              <w:left w:w="120" w:type="dxa"/>
              <w:bottom w:w="30" w:type="dxa"/>
              <w:right w:w="120" w:type="dxa"/>
            </w:tcMar>
          </w:tcPr>
          <w:p w14:paraId="2BF945C3">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测试摄像头</w:t>
            </w:r>
          </w:p>
        </w:tc>
        <w:tc>
          <w:tcPr>
            <w:tcW w:w="2070" w:type="dxa"/>
            <w:tcBorders>
              <w:top w:val="nil"/>
              <w:left w:val="nil"/>
              <w:bottom w:val="nil"/>
              <w:right w:val="nil"/>
            </w:tcBorders>
            <w:shd w:val="clear" w:color="auto" w:fill="FFFFFF"/>
            <w:tcMar>
              <w:top w:w="60" w:type="dxa"/>
              <w:left w:w="120" w:type="dxa"/>
              <w:bottom w:w="30" w:type="dxa"/>
              <w:right w:w="120" w:type="dxa"/>
            </w:tcMar>
          </w:tcPr>
          <w:p w14:paraId="243F1F19">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RTSP/1080P、USB 8MP</w:t>
            </w:r>
          </w:p>
        </w:tc>
        <w:tc>
          <w:tcPr>
            <w:tcW w:w="2070" w:type="dxa"/>
            <w:tcBorders>
              <w:top w:val="nil"/>
              <w:left w:val="nil"/>
              <w:bottom w:val="nil"/>
              <w:right w:val="nil"/>
            </w:tcBorders>
            <w:shd w:val="clear" w:color="auto" w:fill="FFFFFF"/>
            <w:tcMar>
              <w:top w:w="60" w:type="dxa"/>
              <w:left w:w="120" w:type="dxa"/>
              <w:bottom w:w="30" w:type="dxa"/>
              <w:right w:w="120" w:type="dxa"/>
            </w:tcMar>
          </w:tcPr>
          <w:p w14:paraId="6D1586DC">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各1个</w:t>
            </w:r>
          </w:p>
        </w:tc>
        <w:tc>
          <w:tcPr>
            <w:tcW w:w="2070" w:type="dxa"/>
            <w:tcBorders>
              <w:top w:val="nil"/>
              <w:left w:val="nil"/>
              <w:bottom w:val="nil"/>
              <w:right w:val="nil"/>
            </w:tcBorders>
            <w:shd w:val="clear" w:color="auto" w:fill="FFFFFF"/>
            <w:tcMar>
              <w:top w:w="60" w:type="dxa"/>
              <w:left w:w="120" w:type="dxa"/>
              <w:bottom w:w="30" w:type="dxa"/>
              <w:right w:w="120" w:type="dxa"/>
            </w:tcMar>
          </w:tcPr>
          <w:p w14:paraId="5278877D">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视频采集（已有）</w:t>
            </w:r>
          </w:p>
        </w:tc>
      </w:tr>
      <w:tr w14:paraId="240740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Borders>
              <w:top w:val="nil"/>
              <w:left w:val="nil"/>
              <w:bottom w:val="nil"/>
              <w:right w:val="nil"/>
            </w:tcBorders>
            <w:shd w:val="clear" w:color="auto" w:fill="FFFFFF"/>
            <w:tcMar>
              <w:top w:w="60" w:type="dxa"/>
              <w:left w:w="120" w:type="dxa"/>
              <w:bottom w:w="30" w:type="dxa"/>
              <w:right w:w="120" w:type="dxa"/>
            </w:tcMar>
          </w:tcPr>
          <w:p w14:paraId="49B67302">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云服务器</w:t>
            </w:r>
          </w:p>
        </w:tc>
        <w:tc>
          <w:tcPr>
            <w:tcW w:w="2070" w:type="dxa"/>
            <w:tcBorders>
              <w:top w:val="nil"/>
              <w:left w:val="nil"/>
              <w:bottom w:val="nil"/>
              <w:right w:val="nil"/>
            </w:tcBorders>
            <w:shd w:val="clear" w:color="auto" w:fill="FFFFFF"/>
            <w:tcMar>
              <w:top w:w="60" w:type="dxa"/>
              <w:left w:w="120" w:type="dxa"/>
              <w:bottom w:w="30" w:type="dxa"/>
              <w:right w:w="120" w:type="dxa"/>
            </w:tcMar>
          </w:tcPr>
          <w:p w14:paraId="25A919FF">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按量计费</w:t>
            </w:r>
          </w:p>
        </w:tc>
        <w:tc>
          <w:tcPr>
            <w:tcW w:w="2070" w:type="dxa"/>
            <w:tcBorders>
              <w:top w:val="nil"/>
              <w:left w:val="nil"/>
              <w:bottom w:val="nil"/>
              <w:right w:val="nil"/>
            </w:tcBorders>
            <w:shd w:val="clear" w:color="auto" w:fill="FFFFFF"/>
            <w:tcMar>
              <w:top w:w="60" w:type="dxa"/>
              <w:left w:w="120" w:type="dxa"/>
              <w:bottom w:w="30" w:type="dxa"/>
              <w:right w:w="120" w:type="dxa"/>
            </w:tcMar>
          </w:tcPr>
          <w:p w14:paraId="339E99BA">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1台</w:t>
            </w:r>
          </w:p>
        </w:tc>
        <w:tc>
          <w:tcPr>
            <w:tcW w:w="2070" w:type="dxa"/>
            <w:tcBorders>
              <w:top w:val="nil"/>
              <w:left w:val="nil"/>
              <w:bottom w:val="nil"/>
              <w:right w:val="nil"/>
            </w:tcBorders>
            <w:shd w:val="clear" w:color="auto" w:fill="FFFFFF"/>
            <w:tcMar>
              <w:top w:w="60" w:type="dxa"/>
              <w:left w:w="120" w:type="dxa"/>
              <w:bottom w:w="30" w:type="dxa"/>
              <w:right w:w="120" w:type="dxa"/>
            </w:tcMar>
          </w:tcPr>
          <w:p w14:paraId="21474CF5">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后端API+数据库</w:t>
            </w:r>
          </w:p>
        </w:tc>
      </w:tr>
      <w:tr w14:paraId="7F2B52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Borders>
              <w:top w:val="nil"/>
              <w:left w:val="nil"/>
              <w:bottom w:val="nil"/>
              <w:right w:val="nil"/>
            </w:tcBorders>
            <w:shd w:val="clear" w:color="auto" w:fill="FFFFFF"/>
            <w:tcMar>
              <w:top w:w="60" w:type="dxa"/>
              <w:left w:w="120" w:type="dxa"/>
              <w:bottom w:w="30" w:type="dxa"/>
              <w:right w:w="120" w:type="dxa"/>
            </w:tcMar>
          </w:tcPr>
          <w:p w14:paraId="2FBE9FAA">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外接演示传感器</w:t>
            </w:r>
          </w:p>
        </w:tc>
        <w:tc>
          <w:tcPr>
            <w:tcW w:w="2070" w:type="dxa"/>
            <w:tcBorders>
              <w:top w:val="nil"/>
              <w:left w:val="nil"/>
              <w:bottom w:val="nil"/>
              <w:right w:val="nil"/>
            </w:tcBorders>
            <w:shd w:val="clear" w:color="auto" w:fill="FFFFFF"/>
            <w:tcMar>
              <w:top w:w="60" w:type="dxa"/>
              <w:left w:w="120" w:type="dxa"/>
              <w:bottom w:w="30" w:type="dxa"/>
              <w:right w:w="120" w:type="dxa"/>
            </w:tcMar>
          </w:tcPr>
          <w:p w14:paraId="0D61A988">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水位/雨量（模拟或实物）</w:t>
            </w:r>
          </w:p>
        </w:tc>
        <w:tc>
          <w:tcPr>
            <w:tcW w:w="2070" w:type="dxa"/>
            <w:tcBorders>
              <w:top w:val="nil"/>
              <w:left w:val="nil"/>
              <w:bottom w:val="nil"/>
              <w:right w:val="nil"/>
            </w:tcBorders>
            <w:shd w:val="clear" w:color="auto" w:fill="FFFFFF"/>
            <w:tcMar>
              <w:top w:w="60" w:type="dxa"/>
              <w:left w:w="120" w:type="dxa"/>
              <w:bottom w:w="30" w:type="dxa"/>
              <w:right w:w="120" w:type="dxa"/>
            </w:tcMar>
          </w:tcPr>
          <w:p w14:paraId="76479623">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1类</w:t>
            </w:r>
          </w:p>
        </w:tc>
        <w:tc>
          <w:tcPr>
            <w:tcW w:w="2070" w:type="dxa"/>
            <w:tcBorders>
              <w:top w:val="nil"/>
              <w:left w:val="nil"/>
              <w:bottom w:val="nil"/>
              <w:right w:val="nil"/>
            </w:tcBorders>
            <w:shd w:val="clear" w:color="auto" w:fill="FFFFFF"/>
            <w:tcMar>
              <w:top w:w="60" w:type="dxa"/>
              <w:left w:w="120" w:type="dxa"/>
              <w:bottom w:w="30" w:type="dxa"/>
              <w:right w:w="120" w:type="dxa"/>
            </w:tcMar>
          </w:tcPr>
          <w:p w14:paraId="7E319185">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多模态融合验证</w:t>
            </w:r>
          </w:p>
        </w:tc>
      </w:tr>
      <w:tr w14:paraId="474F92D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Borders>
              <w:top w:val="nil"/>
              <w:left w:val="nil"/>
              <w:bottom w:val="single" w:color="000000" w:sz="12" w:space="0"/>
              <w:right w:val="nil"/>
            </w:tcBorders>
            <w:shd w:val="clear" w:color="auto" w:fill="FFFFFF"/>
            <w:tcMar>
              <w:top w:w="60" w:type="dxa"/>
              <w:left w:w="120" w:type="dxa"/>
              <w:bottom w:w="30" w:type="dxa"/>
              <w:right w:w="120" w:type="dxa"/>
            </w:tcMar>
          </w:tcPr>
          <w:p w14:paraId="1F772909">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网络与供电配件</w:t>
            </w:r>
          </w:p>
        </w:tc>
        <w:tc>
          <w:tcPr>
            <w:tcW w:w="2070" w:type="dxa"/>
            <w:tcBorders>
              <w:top w:val="nil"/>
              <w:left w:val="nil"/>
              <w:bottom w:val="single" w:color="000000" w:sz="12" w:space="0"/>
              <w:right w:val="nil"/>
            </w:tcBorders>
            <w:shd w:val="clear" w:color="auto" w:fill="FFFFFF"/>
            <w:tcMar>
              <w:top w:w="60" w:type="dxa"/>
              <w:left w:w="120" w:type="dxa"/>
              <w:bottom w:w="30" w:type="dxa"/>
              <w:right w:w="120" w:type="dxa"/>
            </w:tcMar>
          </w:tcPr>
          <w:p w14:paraId="16E4B999">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路由器、电源、防护箱</w:t>
            </w:r>
          </w:p>
        </w:tc>
        <w:tc>
          <w:tcPr>
            <w:tcW w:w="2070" w:type="dxa"/>
            <w:tcBorders>
              <w:top w:val="nil"/>
              <w:left w:val="nil"/>
              <w:bottom w:val="single" w:color="000000" w:sz="12" w:space="0"/>
              <w:right w:val="nil"/>
            </w:tcBorders>
            <w:shd w:val="clear" w:color="auto" w:fill="FFFFFF"/>
            <w:tcMar>
              <w:top w:w="60" w:type="dxa"/>
              <w:left w:w="120" w:type="dxa"/>
              <w:bottom w:w="30" w:type="dxa"/>
              <w:right w:w="120" w:type="dxa"/>
            </w:tcMar>
          </w:tcPr>
          <w:p w14:paraId="14FEC2F5">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1套</w:t>
            </w:r>
          </w:p>
        </w:tc>
        <w:tc>
          <w:tcPr>
            <w:tcW w:w="2070" w:type="dxa"/>
            <w:tcBorders>
              <w:top w:val="nil"/>
              <w:left w:val="nil"/>
              <w:bottom w:val="single" w:color="000000" w:sz="12" w:space="0"/>
              <w:right w:val="nil"/>
            </w:tcBorders>
            <w:shd w:val="clear" w:color="auto" w:fill="FFFFFF"/>
            <w:tcMar>
              <w:top w:w="60" w:type="dxa"/>
              <w:left w:w="120" w:type="dxa"/>
              <w:bottom w:w="30" w:type="dxa"/>
              <w:right w:w="120" w:type="dxa"/>
            </w:tcMar>
          </w:tcPr>
          <w:p w14:paraId="60DF5D4B">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现场部署</w:t>
            </w:r>
          </w:p>
        </w:tc>
      </w:tr>
    </w:tbl>
    <w:p w14:paraId="62D73832">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1"/>
        <w:rPr>
          <w:rFonts w:hint="default" w:ascii="Times New Roman" w:hAnsi="Times New Roman" w:eastAsia="宋体" w:cs="Times New Roman"/>
        </w:rPr>
      </w:pPr>
      <w:bookmarkStart w:id="24" w:name="heading_26"/>
      <w:r>
        <w:rPr>
          <w:rFonts w:hint="default" w:ascii="Times New Roman" w:hAnsi="Times New Roman" w:eastAsia="宋体" w:cs="Times New Roman"/>
          <w:b/>
          <w:sz w:val="32"/>
        </w:rPr>
        <w:t>10.3 预算管控规则</w:t>
      </w:r>
      <w:bookmarkEnd w:id="24"/>
    </w:p>
    <w:p w14:paraId="377FBFE0">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现金支出超过预算10%（即2.2万元）须经全组评审</w:t>
      </w:r>
    </w:p>
    <w:p w14:paraId="0F7E6B12">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成本监控节点设在TR3结束后（第5天）</w:t>
      </w:r>
    </w:p>
    <w:p w14:paraId="4A7ED3D9">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各项支出需保留凭证，纳入最终财务归档</w:t>
      </w:r>
    </w:p>
    <w:p w14:paraId="683A3994">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1"/>
        <w:rPr>
          <w:rFonts w:hint="default" w:ascii="Times New Roman" w:hAnsi="Times New Roman" w:eastAsia="宋体" w:cs="Times New Roman"/>
        </w:rPr>
      </w:pPr>
      <w:bookmarkStart w:id="25" w:name="heading_27"/>
      <w:r>
        <w:rPr>
          <w:rFonts w:hint="default" w:ascii="Times New Roman" w:hAnsi="Times New Roman" w:eastAsia="宋体" w:cs="Times New Roman"/>
          <w:b/>
          <w:sz w:val="32"/>
        </w:rPr>
        <w:t>10.4 工期缓冲</w:t>
      </w:r>
      <w:bookmarkEnd w:id="25"/>
    </w:p>
    <w:p w14:paraId="10565BC0">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9天中预留1天作为缓冲时间（第8天），应对模型部署或前后端联调可能出现的延期，确保第9天交付。</w:t>
      </w:r>
    </w:p>
    <w:p w14:paraId="730F3C73">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0"/>
        <w:rPr>
          <w:rFonts w:hint="default" w:ascii="Times New Roman" w:hAnsi="Times New Roman" w:eastAsia="宋体" w:cs="Times New Roman"/>
        </w:rPr>
      </w:pPr>
      <w:bookmarkStart w:id="26" w:name="heading_28"/>
      <w:r>
        <w:rPr>
          <w:rFonts w:hint="default" w:ascii="Times New Roman" w:hAnsi="Times New Roman" w:eastAsia="宋体" w:cs="Times New Roman"/>
          <w:b/>
          <w:sz w:val="36"/>
        </w:rPr>
        <w:t>11 顶层项目风险清单及应对预案</w:t>
      </w:r>
      <w:bookmarkEnd w:id="26"/>
    </w:p>
    <w:tbl>
      <w:tblPr>
        <w:tblStyle w:val="34"/>
        <w:tblW w:w="8917"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699"/>
        <w:gridCol w:w="1526"/>
        <w:gridCol w:w="1103"/>
        <w:gridCol w:w="1349"/>
        <w:gridCol w:w="3020"/>
        <w:gridCol w:w="1220"/>
      </w:tblGrid>
      <w:tr w14:paraId="3B973B0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699" w:type="dxa"/>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vAlign w:val="center"/>
          </w:tcPr>
          <w:p w14:paraId="4D3C718D">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color w:val="000000"/>
                <w:sz w:val="24"/>
                <w:szCs w:val="24"/>
              </w:rPr>
            </w:pPr>
            <w:r>
              <w:rPr>
                <w:rFonts w:hint="default" w:ascii="Times New Roman" w:hAnsi="Times New Roman" w:eastAsia="宋体" w:cs="Times New Roman"/>
                <w:b/>
                <w:color w:val="000000"/>
                <w:sz w:val="24"/>
                <w:szCs w:val="24"/>
              </w:rPr>
              <w:t>风险ID</w:t>
            </w:r>
          </w:p>
        </w:tc>
        <w:tc>
          <w:tcPr>
            <w:tcW w:w="1526"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center"/>
          </w:tcPr>
          <w:p w14:paraId="79794B08">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color w:val="000000"/>
                <w:sz w:val="24"/>
                <w:szCs w:val="24"/>
              </w:rPr>
            </w:pPr>
            <w:r>
              <w:rPr>
                <w:rFonts w:hint="default" w:ascii="Times New Roman" w:hAnsi="Times New Roman" w:eastAsia="宋体" w:cs="Times New Roman"/>
                <w:b/>
                <w:color w:val="000000"/>
                <w:sz w:val="24"/>
                <w:szCs w:val="24"/>
              </w:rPr>
              <w:t>风险描述</w:t>
            </w:r>
          </w:p>
        </w:tc>
        <w:tc>
          <w:tcPr>
            <w:tcW w:w="1103"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center"/>
          </w:tcPr>
          <w:p w14:paraId="0ACD8B08">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color w:val="000000"/>
                <w:sz w:val="24"/>
                <w:szCs w:val="24"/>
              </w:rPr>
            </w:pPr>
            <w:r>
              <w:rPr>
                <w:rFonts w:hint="default" w:ascii="Times New Roman" w:hAnsi="Times New Roman" w:eastAsia="宋体" w:cs="Times New Roman"/>
                <w:b/>
                <w:color w:val="000000"/>
                <w:sz w:val="24"/>
                <w:szCs w:val="24"/>
              </w:rPr>
              <w:t>风险等级</w:t>
            </w:r>
          </w:p>
        </w:tc>
        <w:tc>
          <w:tcPr>
            <w:tcW w:w="0" w:type="auto"/>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center"/>
          </w:tcPr>
          <w:p w14:paraId="194A0CC2">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color w:val="000000"/>
                <w:sz w:val="24"/>
                <w:szCs w:val="24"/>
              </w:rPr>
            </w:pPr>
            <w:r>
              <w:rPr>
                <w:rFonts w:hint="default" w:ascii="Times New Roman" w:hAnsi="Times New Roman" w:eastAsia="宋体" w:cs="Times New Roman"/>
                <w:b/>
                <w:color w:val="000000"/>
                <w:sz w:val="24"/>
                <w:szCs w:val="24"/>
              </w:rPr>
              <w:t>造成影响</w:t>
            </w:r>
          </w:p>
        </w:tc>
        <w:tc>
          <w:tcPr>
            <w:tcW w:w="302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center"/>
          </w:tcPr>
          <w:p w14:paraId="6D699915">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color w:val="000000"/>
                <w:sz w:val="24"/>
                <w:szCs w:val="24"/>
              </w:rPr>
            </w:pPr>
            <w:r>
              <w:rPr>
                <w:rFonts w:hint="default" w:ascii="Times New Roman" w:hAnsi="Times New Roman" w:eastAsia="宋体" w:cs="Times New Roman"/>
                <w:b/>
                <w:color w:val="000000"/>
                <w:sz w:val="24"/>
                <w:szCs w:val="24"/>
              </w:rPr>
              <w:t>应对预案</w:t>
            </w:r>
          </w:p>
        </w:tc>
        <w:tc>
          <w:tcPr>
            <w:tcW w:w="122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center"/>
          </w:tcPr>
          <w:p w14:paraId="2C733551">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color w:val="000000"/>
                <w:sz w:val="24"/>
                <w:szCs w:val="24"/>
              </w:rPr>
            </w:pPr>
            <w:r>
              <w:rPr>
                <w:rFonts w:hint="default" w:ascii="Times New Roman" w:hAnsi="Times New Roman" w:eastAsia="宋体" w:cs="Times New Roman"/>
                <w:b/>
                <w:color w:val="000000"/>
                <w:sz w:val="24"/>
                <w:szCs w:val="24"/>
              </w:rPr>
              <w:t>责任归属</w:t>
            </w:r>
          </w:p>
        </w:tc>
      </w:tr>
      <w:tr w14:paraId="396BBD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99" w:type="dxa"/>
            <w:tcBorders>
              <w:top w:val="single" w:color="000000" w:sz="4" w:space="0"/>
              <w:left w:val="nil"/>
              <w:bottom w:val="nil"/>
              <w:right w:val="nil"/>
            </w:tcBorders>
            <w:shd w:val="clear" w:color="auto" w:fill="FFFFFF"/>
            <w:tcMar>
              <w:top w:w="60" w:type="dxa"/>
              <w:left w:w="120" w:type="dxa"/>
              <w:bottom w:w="30" w:type="dxa"/>
              <w:right w:w="120" w:type="dxa"/>
            </w:tcMar>
            <w:vAlign w:val="center"/>
          </w:tcPr>
          <w:p w14:paraId="37E46D39">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R01</w:t>
            </w:r>
          </w:p>
        </w:tc>
        <w:tc>
          <w:tcPr>
            <w:tcW w:w="1526" w:type="dxa"/>
            <w:tcBorders>
              <w:top w:val="single" w:color="000000" w:sz="4" w:space="0"/>
              <w:left w:val="nil"/>
              <w:bottom w:val="nil"/>
              <w:right w:val="nil"/>
            </w:tcBorders>
            <w:shd w:val="clear" w:color="auto" w:fill="FFFFFF"/>
            <w:tcMar>
              <w:top w:w="60" w:type="dxa"/>
              <w:left w:w="120" w:type="dxa"/>
              <w:bottom w:w="30" w:type="dxa"/>
              <w:right w:w="120" w:type="dxa"/>
            </w:tcMar>
            <w:vAlign w:val="center"/>
          </w:tcPr>
          <w:p w14:paraId="1981DD15">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水面反光、夜间光照不足和遮挡导致误报/漏报</w:t>
            </w:r>
          </w:p>
        </w:tc>
        <w:tc>
          <w:tcPr>
            <w:tcW w:w="1103" w:type="dxa"/>
            <w:tcBorders>
              <w:top w:val="single" w:color="000000" w:sz="4" w:space="0"/>
              <w:left w:val="nil"/>
              <w:bottom w:val="nil"/>
              <w:right w:val="nil"/>
            </w:tcBorders>
            <w:shd w:val="clear" w:color="auto" w:fill="FFFFFF"/>
            <w:tcMar>
              <w:top w:w="60" w:type="dxa"/>
              <w:left w:w="120" w:type="dxa"/>
              <w:bottom w:w="30" w:type="dxa"/>
              <w:right w:w="120" w:type="dxa"/>
            </w:tcMar>
            <w:vAlign w:val="center"/>
          </w:tcPr>
          <w:p w14:paraId="5EBAB1DC">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高</w:t>
            </w:r>
          </w:p>
        </w:tc>
        <w:tc>
          <w:tcPr>
            <w:tcW w:w="0" w:type="auto"/>
            <w:tcBorders>
              <w:top w:val="single" w:color="000000" w:sz="4" w:space="0"/>
              <w:left w:val="nil"/>
              <w:bottom w:val="nil"/>
              <w:right w:val="nil"/>
            </w:tcBorders>
            <w:shd w:val="clear" w:color="auto" w:fill="FFFFFF"/>
            <w:tcMar>
              <w:top w:w="60" w:type="dxa"/>
              <w:left w:w="120" w:type="dxa"/>
              <w:bottom w:w="30" w:type="dxa"/>
              <w:right w:w="120" w:type="dxa"/>
            </w:tcMar>
            <w:vAlign w:val="center"/>
          </w:tcPr>
          <w:p w14:paraId="6710506F">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影响识别效果与演示说服力</w:t>
            </w:r>
          </w:p>
        </w:tc>
        <w:tc>
          <w:tcPr>
            <w:tcW w:w="3020" w:type="dxa"/>
            <w:tcBorders>
              <w:top w:val="single" w:color="000000" w:sz="4" w:space="0"/>
              <w:left w:val="nil"/>
              <w:bottom w:val="nil"/>
              <w:right w:val="nil"/>
            </w:tcBorders>
            <w:shd w:val="clear" w:color="auto" w:fill="FFFFFF"/>
            <w:tcMar>
              <w:top w:w="60" w:type="dxa"/>
              <w:left w:w="120" w:type="dxa"/>
              <w:bottom w:w="30" w:type="dxa"/>
              <w:right w:w="120" w:type="dxa"/>
            </w:tcMar>
            <w:vAlign w:val="center"/>
          </w:tcPr>
          <w:p w14:paraId="232D4BBA">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采集本地河道样本进行微调；置信度阈值分级策略；低照度时段降低告警敏感度</w:t>
            </w:r>
          </w:p>
        </w:tc>
        <w:tc>
          <w:tcPr>
            <w:tcW w:w="1220" w:type="dxa"/>
            <w:tcBorders>
              <w:top w:val="single" w:color="000000" w:sz="4" w:space="0"/>
              <w:left w:val="nil"/>
              <w:bottom w:val="nil"/>
              <w:right w:val="nil"/>
            </w:tcBorders>
            <w:shd w:val="clear" w:color="auto" w:fill="FFFFFF"/>
            <w:tcMar>
              <w:top w:w="60" w:type="dxa"/>
              <w:left w:w="120" w:type="dxa"/>
              <w:bottom w:w="30" w:type="dxa"/>
              <w:right w:w="120" w:type="dxa"/>
            </w:tcMar>
            <w:vAlign w:val="center"/>
          </w:tcPr>
          <w:p w14:paraId="4E7B9C51">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视觉算法组</w:t>
            </w:r>
          </w:p>
        </w:tc>
      </w:tr>
      <w:tr w14:paraId="146D5B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99" w:type="dxa"/>
            <w:tcBorders>
              <w:top w:val="nil"/>
              <w:left w:val="nil"/>
              <w:bottom w:val="nil"/>
              <w:right w:val="nil"/>
            </w:tcBorders>
            <w:shd w:val="clear" w:color="auto" w:fill="FFFFFF"/>
            <w:tcMar>
              <w:top w:w="60" w:type="dxa"/>
              <w:left w:w="120" w:type="dxa"/>
              <w:bottom w:w="30" w:type="dxa"/>
              <w:right w:w="120" w:type="dxa"/>
            </w:tcMar>
            <w:vAlign w:val="center"/>
          </w:tcPr>
          <w:p w14:paraId="7899C431">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R02</w:t>
            </w:r>
          </w:p>
        </w:tc>
        <w:tc>
          <w:tcPr>
            <w:tcW w:w="1526" w:type="dxa"/>
            <w:tcBorders>
              <w:top w:val="nil"/>
              <w:left w:val="nil"/>
              <w:bottom w:val="nil"/>
              <w:right w:val="nil"/>
            </w:tcBorders>
            <w:shd w:val="clear" w:color="auto" w:fill="FFFFFF"/>
            <w:tcMar>
              <w:top w:w="60" w:type="dxa"/>
              <w:left w:w="120" w:type="dxa"/>
              <w:bottom w:w="30" w:type="dxa"/>
              <w:right w:w="120" w:type="dxa"/>
            </w:tcMar>
            <w:vAlign w:val="center"/>
          </w:tcPr>
          <w:p w14:paraId="2DA9862C">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缺少水文水质专业探头</w:t>
            </w:r>
          </w:p>
        </w:tc>
        <w:tc>
          <w:tcPr>
            <w:tcW w:w="1103" w:type="dxa"/>
            <w:tcBorders>
              <w:top w:val="nil"/>
              <w:left w:val="nil"/>
              <w:bottom w:val="nil"/>
              <w:right w:val="nil"/>
            </w:tcBorders>
            <w:shd w:val="clear" w:color="auto" w:fill="FFFFFF"/>
            <w:tcMar>
              <w:top w:w="60" w:type="dxa"/>
              <w:left w:w="120" w:type="dxa"/>
              <w:bottom w:w="30" w:type="dxa"/>
              <w:right w:w="120" w:type="dxa"/>
            </w:tcMar>
            <w:vAlign w:val="center"/>
          </w:tcPr>
          <w:p w14:paraId="103AE781">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中</w:t>
            </w:r>
          </w:p>
        </w:tc>
        <w:tc>
          <w:tcPr>
            <w:tcW w:w="0" w:type="auto"/>
            <w:tcBorders>
              <w:top w:val="nil"/>
              <w:left w:val="nil"/>
              <w:bottom w:val="nil"/>
              <w:right w:val="nil"/>
            </w:tcBorders>
            <w:shd w:val="clear" w:color="auto" w:fill="FFFFFF"/>
            <w:tcMar>
              <w:top w:w="60" w:type="dxa"/>
              <w:left w:w="120" w:type="dxa"/>
              <w:bottom w:w="30" w:type="dxa"/>
              <w:right w:w="120" w:type="dxa"/>
            </w:tcMar>
            <w:vAlign w:val="center"/>
          </w:tcPr>
          <w:p w14:paraId="019598DA">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多模态融合范围受限</w:t>
            </w:r>
          </w:p>
        </w:tc>
        <w:tc>
          <w:tcPr>
            <w:tcW w:w="3020" w:type="dxa"/>
            <w:tcBorders>
              <w:top w:val="nil"/>
              <w:left w:val="nil"/>
              <w:bottom w:val="nil"/>
              <w:right w:val="nil"/>
            </w:tcBorders>
            <w:shd w:val="clear" w:color="auto" w:fill="FFFFFF"/>
            <w:tcMar>
              <w:top w:w="60" w:type="dxa"/>
              <w:left w:w="120" w:type="dxa"/>
              <w:bottom w:w="30" w:type="dxa"/>
              <w:right w:w="120" w:type="dxa"/>
            </w:tcMar>
            <w:vAlign w:val="center"/>
          </w:tcPr>
          <w:p w14:paraId="6EE70F68">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明确外接边界，先用模拟数据验证数据链路；采用可接入的1类传感器做实物演示</w:t>
            </w:r>
          </w:p>
        </w:tc>
        <w:tc>
          <w:tcPr>
            <w:tcW w:w="1220" w:type="dxa"/>
            <w:tcBorders>
              <w:top w:val="nil"/>
              <w:left w:val="nil"/>
              <w:bottom w:val="nil"/>
              <w:right w:val="nil"/>
            </w:tcBorders>
            <w:shd w:val="clear" w:color="auto" w:fill="FFFFFF"/>
            <w:tcMar>
              <w:top w:w="60" w:type="dxa"/>
              <w:left w:w="120" w:type="dxa"/>
              <w:bottom w:w="30" w:type="dxa"/>
              <w:right w:w="120" w:type="dxa"/>
            </w:tcMar>
            <w:vAlign w:val="center"/>
          </w:tcPr>
          <w:p w14:paraId="243648CF">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系统架构/边缘部署</w:t>
            </w:r>
          </w:p>
        </w:tc>
      </w:tr>
      <w:tr w14:paraId="4ADFE4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99" w:type="dxa"/>
            <w:tcBorders>
              <w:top w:val="nil"/>
              <w:left w:val="nil"/>
              <w:bottom w:val="nil"/>
              <w:right w:val="nil"/>
            </w:tcBorders>
            <w:shd w:val="clear" w:color="auto" w:fill="FFFFFF"/>
            <w:tcMar>
              <w:top w:w="60" w:type="dxa"/>
              <w:left w:w="120" w:type="dxa"/>
              <w:bottom w:w="30" w:type="dxa"/>
              <w:right w:w="120" w:type="dxa"/>
            </w:tcMar>
            <w:vAlign w:val="center"/>
          </w:tcPr>
          <w:p w14:paraId="519310EC">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R03</w:t>
            </w:r>
          </w:p>
        </w:tc>
        <w:tc>
          <w:tcPr>
            <w:tcW w:w="1526" w:type="dxa"/>
            <w:tcBorders>
              <w:top w:val="nil"/>
              <w:left w:val="nil"/>
              <w:bottom w:val="nil"/>
              <w:right w:val="nil"/>
            </w:tcBorders>
            <w:shd w:val="clear" w:color="auto" w:fill="FFFFFF"/>
            <w:tcMar>
              <w:top w:w="60" w:type="dxa"/>
              <w:left w:w="120" w:type="dxa"/>
              <w:bottom w:w="30" w:type="dxa"/>
              <w:right w:w="120" w:type="dxa"/>
            </w:tcMar>
            <w:vAlign w:val="center"/>
          </w:tcPr>
          <w:p w14:paraId="1BA6A988">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网络不稳导致上报中断</w:t>
            </w:r>
          </w:p>
        </w:tc>
        <w:tc>
          <w:tcPr>
            <w:tcW w:w="1103" w:type="dxa"/>
            <w:tcBorders>
              <w:top w:val="nil"/>
              <w:left w:val="nil"/>
              <w:bottom w:val="nil"/>
              <w:right w:val="nil"/>
            </w:tcBorders>
            <w:shd w:val="clear" w:color="auto" w:fill="FFFFFF"/>
            <w:tcMar>
              <w:top w:w="60" w:type="dxa"/>
              <w:left w:w="120" w:type="dxa"/>
              <w:bottom w:w="30" w:type="dxa"/>
              <w:right w:w="120" w:type="dxa"/>
            </w:tcMar>
            <w:vAlign w:val="center"/>
          </w:tcPr>
          <w:p w14:paraId="558D2DE3">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中</w:t>
            </w:r>
          </w:p>
        </w:tc>
        <w:tc>
          <w:tcPr>
            <w:tcW w:w="0" w:type="auto"/>
            <w:tcBorders>
              <w:top w:val="nil"/>
              <w:left w:val="nil"/>
              <w:bottom w:val="nil"/>
              <w:right w:val="nil"/>
            </w:tcBorders>
            <w:shd w:val="clear" w:color="auto" w:fill="FFFFFF"/>
            <w:tcMar>
              <w:top w:w="60" w:type="dxa"/>
              <w:left w:w="120" w:type="dxa"/>
              <w:bottom w:w="30" w:type="dxa"/>
              <w:right w:w="120" w:type="dxa"/>
            </w:tcMar>
            <w:vAlign w:val="center"/>
          </w:tcPr>
          <w:p w14:paraId="0499A997">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影响云端看板实时性</w:t>
            </w:r>
          </w:p>
        </w:tc>
        <w:tc>
          <w:tcPr>
            <w:tcW w:w="3020" w:type="dxa"/>
            <w:tcBorders>
              <w:top w:val="nil"/>
              <w:left w:val="nil"/>
              <w:bottom w:val="nil"/>
              <w:right w:val="nil"/>
            </w:tcBorders>
            <w:shd w:val="clear" w:color="auto" w:fill="FFFFFF"/>
            <w:tcMar>
              <w:top w:w="60" w:type="dxa"/>
              <w:left w:w="120" w:type="dxa"/>
              <w:bottom w:w="30" w:type="dxa"/>
              <w:right w:w="120" w:type="dxa"/>
            </w:tcMar>
            <w:vAlign w:val="center"/>
          </w:tcPr>
          <w:p w14:paraId="02080FA7">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本地缓存+断线重传机制；现场演示采用离线回放/本地网络模式</w:t>
            </w:r>
          </w:p>
        </w:tc>
        <w:tc>
          <w:tcPr>
            <w:tcW w:w="1220" w:type="dxa"/>
            <w:tcBorders>
              <w:top w:val="nil"/>
              <w:left w:val="nil"/>
              <w:bottom w:val="nil"/>
              <w:right w:val="nil"/>
            </w:tcBorders>
            <w:shd w:val="clear" w:color="auto" w:fill="FFFFFF"/>
            <w:tcMar>
              <w:top w:w="60" w:type="dxa"/>
              <w:left w:w="120" w:type="dxa"/>
              <w:bottom w:w="30" w:type="dxa"/>
              <w:right w:w="120" w:type="dxa"/>
            </w:tcMar>
            <w:vAlign w:val="center"/>
          </w:tcPr>
          <w:p w14:paraId="0C81A3B2">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后端/数据</w:t>
            </w:r>
          </w:p>
        </w:tc>
      </w:tr>
      <w:tr w14:paraId="5336D42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99" w:type="dxa"/>
            <w:tcBorders>
              <w:top w:val="nil"/>
              <w:left w:val="nil"/>
              <w:bottom w:val="nil"/>
              <w:right w:val="nil"/>
            </w:tcBorders>
            <w:shd w:val="clear" w:color="auto" w:fill="FFFFFF"/>
            <w:tcMar>
              <w:top w:w="60" w:type="dxa"/>
              <w:left w:w="120" w:type="dxa"/>
              <w:bottom w:w="30" w:type="dxa"/>
              <w:right w:w="120" w:type="dxa"/>
            </w:tcMar>
            <w:vAlign w:val="center"/>
          </w:tcPr>
          <w:p w14:paraId="7FFCC8CE">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R04</w:t>
            </w:r>
          </w:p>
        </w:tc>
        <w:tc>
          <w:tcPr>
            <w:tcW w:w="1526" w:type="dxa"/>
            <w:tcBorders>
              <w:top w:val="nil"/>
              <w:left w:val="nil"/>
              <w:bottom w:val="nil"/>
              <w:right w:val="nil"/>
            </w:tcBorders>
            <w:shd w:val="clear" w:color="auto" w:fill="FFFFFF"/>
            <w:tcMar>
              <w:top w:w="60" w:type="dxa"/>
              <w:left w:w="120" w:type="dxa"/>
              <w:bottom w:w="30" w:type="dxa"/>
              <w:right w:w="120" w:type="dxa"/>
            </w:tcMar>
            <w:vAlign w:val="center"/>
          </w:tcPr>
          <w:p w14:paraId="6B2DF9E2">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需求范围扩张导致延期</w:t>
            </w:r>
          </w:p>
        </w:tc>
        <w:tc>
          <w:tcPr>
            <w:tcW w:w="1103" w:type="dxa"/>
            <w:tcBorders>
              <w:top w:val="nil"/>
              <w:left w:val="nil"/>
              <w:bottom w:val="nil"/>
              <w:right w:val="nil"/>
            </w:tcBorders>
            <w:shd w:val="clear" w:color="auto" w:fill="FFFFFF"/>
            <w:tcMar>
              <w:top w:w="60" w:type="dxa"/>
              <w:left w:w="120" w:type="dxa"/>
              <w:bottom w:w="30" w:type="dxa"/>
              <w:right w:w="120" w:type="dxa"/>
            </w:tcMar>
            <w:vAlign w:val="center"/>
          </w:tcPr>
          <w:p w14:paraId="62B966F5">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中</w:t>
            </w:r>
          </w:p>
        </w:tc>
        <w:tc>
          <w:tcPr>
            <w:tcW w:w="0" w:type="auto"/>
            <w:tcBorders>
              <w:top w:val="nil"/>
              <w:left w:val="nil"/>
              <w:bottom w:val="nil"/>
              <w:right w:val="nil"/>
            </w:tcBorders>
            <w:shd w:val="clear" w:color="auto" w:fill="FFFFFF"/>
            <w:tcMar>
              <w:top w:w="60" w:type="dxa"/>
              <w:left w:w="120" w:type="dxa"/>
              <w:bottom w:w="30" w:type="dxa"/>
              <w:right w:w="120" w:type="dxa"/>
            </w:tcMar>
            <w:vAlign w:val="center"/>
          </w:tcPr>
          <w:p w14:paraId="047F9954">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里程碑无法按期完成</w:t>
            </w:r>
          </w:p>
        </w:tc>
        <w:tc>
          <w:tcPr>
            <w:tcW w:w="3020" w:type="dxa"/>
            <w:tcBorders>
              <w:top w:val="nil"/>
              <w:left w:val="nil"/>
              <w:bottom w:val="nil"/>
              <w:right w:val="nil"/>
            </w:tcBorders>
            <w:shd w:val="clear" w:color="auto" w:fill="FFFFFF"/>
            <w:tcMar>
              <w:top w:w="60" w:type="dxa"/>
              <w:left w:w="120" w:type="dxa"/>
              <w:bottom w:w="30" w:type="dxa"/>
              <w:right w:w="120" w:type="dxa"/>
            </w:tcMar>
            <w:vAlign w:val="center"/>
          </w:tcPr>
          <w:p w14:paraId="3F077670">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P0功能冻结；需求变更统一进入P1后续迭代</w:t>
            </w:r>
          </w:p>
        </w:tc>
        <w:tc>
          <w:tcPr>
            <w:tcW w:w="1220" w:type="dxa"/>
            <w:tcBorders>
              <w:top w:val="nil"/>
              <w:left w:val="nil"/>
              <w:bottom w:val="nil"/>
              <w:right w:val="nil"/>
            </w:tcBorders>
            <w:shd w:val="clear" w:color="auto" w:fill="FFFFFF"/>
            <w:tcMar>
              <w:top w:w="60" w:type="dxa"/>
              <w:left w:w="120" w:type="dxa"/>
              <w:bottom w:w="30" w:type="dxa"/>
              <w:right w:w="120" w:type="dxa"/>
            </w:tcMar>
            <w:vAlign w:val="center"/>
          </w:tcPr>
          <w:p w14:paraId="0950D42A">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PDT项目经理</w:t>
            </w:r>
          </w:p>
        </w:tc>
      </w:tr>
      <w:tr w14:paraId="7FE333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699" w:type="dxa"/>
            <w:tcBorders>
              <w:top w:val="nil"/>
              <w:left w:val="nil"/>
              <w:bottom w:val="single" w:color="000000" w:sz="12" w:space="0"/>
              <w:right w:val="nil"/>
            </w:tcBorders>
            <w:shd w:val="clear" w:color="auto" w:fill="FFFFFF"/>
            <w:tcMar>
              <w:top w:w="60" w:type="dxa"/>
              <w:left w:w="120" w:type="dxa"/>
              <w:bottom w:w="30" w:type="dxa"/>
              <w:right w:w="120" w:type="dxa"/>
            </w:tcMar>
            <w:vAlign w:val="center"/>
          </w:tcPr>
          <w:p w14:paraId="3DB99767">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R05</w:t>
            </w:r>
          </w:p>
        </w:tc>
        <w:tc>
          <w:tcPr>
            <w:tcW w:w="1526" w:type="dxa"/>
            <w:tcBorders>
              <w:top w:val="nil"/>
              <w:left w:val="nil"/>
              <w:bottom w:val="single" w:color="000000" w:sz="12" w:space="0"/>
              <w:right w:val="nil"/>
            </w:tcBorders>
            <w:shd w:val="clear" w:color="auto" w:fill="FFFFFF"/>
            <w:tcMar>
              <w:top w:w="60" w:type="dxa"/>
              <w:left w:w="120" w:type="dxa"/>
              <w:bottom w:w="30" w:type="dxa"/>
              <w:right w:w="120" w:type="dxa"/>
            </w:tcMar>
            <w:vAlign w:val="center"/>
          </w:tcPr>
          <w:p w14:paraId="31FE5D4A">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人员视频隐私与合规风险</w:t>
            </w:r>
          </w:p>
        </w:tc>
        <w:tc>
          <w:tcPr>
            <w:tcW w:w="1103" w:type="dxa"/>
            <w:tcBorders>
              <w:top w:val="nil"/>
              <w:left w:val="nil"/>
              <w:bottom w:val="single" w:color="000000" w:sz="12" w:space="0"/>
              <w:right w:val="nil"/>
            </w:tcBorders>
            <w:shd w:val="clear" w:color="auto" w:fill="FFFFFF"/>
            <w:tcMar>
              <w:top w:w="60" w:type="dxa"/>
              <w:left w:w="120" w:type="dxa"/>
              <w:bottom w:w="30" w:type="dxa"/>
              <w:right w:w="120" w:type="dxa"/>
            </w:tcMar>
            <w:vAlign w:val="center"/>
          </w:tcPr>
          <w:p w14:paraId="08BB6741">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中</w:t>
            </w:r>
          </w:p>
        </w:tc>
        <w:tc>
          <w:tcPr>
            <w:tcW w:w="1349" w:type="dxa"/>
            <w:tcBorders>
              <w:top w:val="nil"/>
              <w:left w:val="nil"/>
              <w:bottom w:val="single" w:color="000000" w:sz="12" w:space="0"/>
              <w:right w:val="nil"/>
            </w:tcBorders>
            <w:shd w:val="clear" w:color="auto" w:fill="FFFFFF"/>
            <w:tcMar>
              <w:top w:w="60" w:type="dxa"/>
              <w:left w:w="120" w:type="dxa"/>
              <w:bottom w:w="30" w:type="dxa"/>
              <w:right w:w="120" w:type="dxa"/>
            </w:tcMar>
            <w:vAlign w:val="center"/>
          </w:tcPr>
          <w:p w14:paraId="1EDE663D">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合规性问题</w:t>
            </w:r>
          </w:p>
        </w:tc>
        <w:tc>
          <w:tcPr>
            <w:tcW w:w="3020" w:type="dxa"/>
            <w:tcBorders>
              <w:top w:val="nil"/>
              <w:left w:val="nil"/>
              <w:bottom w:val="single" w:color="000000" w:sz="12" w:space="0"/>
              <w:right w:val="nil"/>
            </w:tcBorders>
            <w:shd w:val="clear" w:color="auto" w:fill="FFFFFF"/>
            <w:tcMar>
              <w:top w:w="60" w:type="dxa"/>
              <w:left w:w="120" w:type="dxa"/>
              <w:bottom w:w="30" w:type="dxa"/>
              <w:right w:w="120" w:type="dxa"/>
            </w:tcMar>
            <w:vAlign w:val="center"/>
          </w:tcPr>
          <w:p w14:paraId="59637C68">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最小化采集范围；脱敏处理；明确留存策略与权限管控</w:t>
            </w:r>
          </w:p>
        </w:tc>
        <w:tc>
          <w:tcPr>
            <w:tcW w:w="1220" w:type="dxa"/>
            <w:tcBorders>
              <w:top w:val="nil"/>
              <w:left w:val="nil"/>
              <w:bottom w:val="single" w:color="000000" w:sz="12" w:space="0"/>
              <w:right w:val="nil"/>
            </w:tcBorders>
            <w:shd w:val="clear" w:color="auto" w:fill="FFFFFF"/>
            <w:tcMar>
              <w:top w:w="60" w:type="dxa"/>
              <w:left w:w="120" w:type="dxa"/>
              <w:bottom w:w="30" w:type="dxa"/>
              <w:right w:w="120" w:type="dxa"/>
            </w:tcMar>
            <w:vAlign w:val="center"/>
          </w:tcPr>
          <w:p w14:paraId="3F0D4D09">
            <w:pPr>
              <w:keepNext w:val="0"/>
              <w:keepLines w:val="0"/>
              <w:pageBreakBefore w:val="0"/>
              <w:widowControl/>
              <w:kinsoku/>
              <w:wordWrap/>
              <w:overflowPunct/>
              <w:topLinePunct w:val="0"/>
              <w:autoSpaceDE/>
              <w:autoSpaceDN/>
              <w:bidi w:val="0"/>
              <w:adjustRightInd/>
              <w:snapToGrid w:val="0"/>
              <w:spacing w:after="0" w:line="240" w:lineRule="auto"/>
              <w:ind w:left="0" w:leftChars="0" w:right="0" w:rightChars="0" w:firstLine="0" w:firstLineChars="0"/>
              <w:jc w:val="left"/>
              <w:textAlignment w:val="auto"/>
              <w:rPr>
                <w:rFonts w:hint="default" w:ascii="Times New Roman" w:hAnsi="Times New Roman" w:eastAsia="宋体" w:cs="Times New Roman"/>
                <w:b w:val="0"/>
                <w:color w:val="000000"/>
                <w:sz w:val="24"/>
                <w:szCs w:val="24"/>
              </w:rPr>
            </w:pPr>
            <w:r>
              <w:rPr>
                <w:rFonts w:hint="default" w:ascii="Times New Roman" w:hAnsi="Times New Roman" w:eastAsia="宋体" w:cs="Times New Roman"/>
                <w:b w:val="0"/>
                <w:color w:val="000000"/>
                <w:sz w:val="24"/>
                <w:szCs w:val="24"/>
              </w:rPr>
              <w:t>测试/交付</w:t>
            </w:r>
          </w:p>
        </w:tc>
      </w:tr>
    </w:tbl>
    <w:p w14:paraId="026ADC2C">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0"/>
        <w:rPr>
          <w:rFonts w:hint="default" w:ascii="Times New Roman" w:hAnsi="Times New Roman" w:eastAsia="宋体" w:cs="Times New Roman"/>
        </w:rPr>
      </w:pPr>
      <w:bookmarkStart w:id="27" w:name="heading_29"/>
      <w:r>
        <w:rPr>
          <w:rFonts w:hint="default" w:ascii="Times New Roman" w:hAnsi="Times New Roman" w:eastAsia="宋体" w:cs="Times New Roman"/>
          <w:b/>
          <w:sz w:val="36"/>
        </w:rPr>
        <w:t>12 IPMT立项决策请求与审批栏</w:t>
      </w:r>
      <w:bookmarkEnd w:id="27"/>
    </w:p>
    <w:p w14:paraId="60184943">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1"/>
        <w:rPr>
          <w:rFonts w:hint="default" w:ascii="Times New Roman" w:hAnsi="Times New Roman" w:eastAsia="宋体" w:cs="Times New Roman"/>
        </w:rPr>
      </w:pPr>
      <w:bookmarkStart w:id="28" w:name="heading_30"/>
      <w:r>
        <w:rPr>
          <w:rFonts w:hint="default" w:ascii="Times New Roman" w:hAnsi="Times New Roman" w:eastAsia="宋体" w:cs="Times New Roman"/>
          <w:b/>
          <w:sz w:val="32"/>
        </w:rPr>
        <w:t>12.1 PDT团队建议</w:t>
      </w:r>
      <w:bookmarkEnd w:id="28"/>
    </w:p>
    <w:p w14:paraId="79F151A8">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同意立项，提请IPMT审批，启动CDCP流程，进入IPD概念阶段</w:t>
      </w:r>
    </w:p>
    <w:p w14:paraId="67AAAC77">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rPr>
      </w:pPr>
      <w:r>
        <w:rPr>
          <w:rFonts w:hint="default" w:ascii="Times New Roman" w:hAnsi="Times New Roman" w:eastAsia="宋体" w:cs="Times New Roman"/>
          <w:b/>
          <w:sz w:val="22"/>
        </w:rPr>
        <w:t>建议理由</w:t>
      </w:r>
      <w:r>
        <w:rPr>
          <w:rFonts w:hint="default" w:ascii="Times New Roman" w:hAnsi="Times New Roman" w:eastAsia="宋体" w:cs="Times New Roman"/>
          <w:sz w:val="22"/>
        </w:rPr>
        <w:t>：</w:t>
      </w:r>
    </w:p>
    <w:p w14:paraId="78648AE0">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政策窗口明确：水利部三年行动方案要求2027年前建成全链条监测感知体系，市场窗口期明确；</w:t>
      </w:r>
    </w:p>
    <w:p w14:paraId="4E843D5E">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技术可行性充分：YOLO轻量化模型已完成预研验证，Jetson Orin Nano（40 TOPS）算力充裕，推理延迟≤50ms满足实时性要求；</w:t>
      </w:r>
    </w:p>
    <w:p w14:paraId="02AE25DC">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投入产出可控：9天原型验证目标清晰，8人团队配置完整，现金预算控制在2万元以内，风险整体可控。</w:t>
      </w:r>
    </w:p>
    <w:p w14:paraId="70986FAF">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暂缓立项，需补充【______材料】重新评审</w:t>
      </w:r>
    </w:p>
    <w:p w14:paraId="52D89E7A">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否决立项，市场/技术条件不满足开发条件</w:t>
      </w:r>
    </w:p>
    <w:p w14:paraId="0B08CA39">
      <w:pPr>
        <w:keepNext w:val="0"/>
        <w:keepLines w:val="0"/>
        <w:pageBreakBefore w:val="0"/>
        <w:widowControl/>
        <w:kinsoku/>
        <w:wordWrap/>
        <w:overflowPunct/>
        <w:topLinePunct w:val="0"/>
        <w:autoSpaceDE/>
        <w:autoSpaceDN/>
        <w:bidi w:val="0"/>
        <w:adjustRightInd/>
        <w:spacing w:after="0" w:line="360" w:lineRule="auto"/>
        <w:ind w:left="0"/>
        <w:jc w:val="left"/>
        <w:textAlignment w:val="auto"/>
        <w:outlineLvl w:val="1"/>
        <w:rPr>
          <w:rFonts w:hint="default" w:ascii="Times New Roman" w:hAnsi="Times New Roman" w:eastAsia="宋体" w:cs="Times New Roman"/>
        </w:rPr>
      </w:pPr>
      <w:bookmarkStart w:id="29" w:name="heading_31"/>
      <w:r>
        <w:rPr>
          <w:rFonts w:hint="default" w:ascii="Times New Roman" w:hAnsi="Times New Roman" w:eastAsia="宋体" w:cs="Times New Roman"/>
          <w:b/>
          <w:sz w:val="32"/>
        </w:rPr>
        <w:t>12.2 IPMT评审意见</w:t>
      </w:r>
      <w:bookmarkEnd w:id="29"/>
    </w:p>
    <w:p w14:paraId="128F743D">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评审结论</w:t>
      </w:r>
      <w:r>
        <w:rPr>
          <w:rFonts w:hint="default" w:ascii="Times New Roman" w:hAnsi="Times New Roman" w:eastAsia="宋体" w:cs="Times New Roman"/>
          <w:sz w:val="24"/>
          <w:szCs w:val="24"/>
        </w:rPr>
        <w:t>：</w:t>
      </w:r>
    </w:p>
    <w:p w14:paraId="1E3E4148">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批准立项，启动PDT团队组建，按里程碑推进TR1~TR6研发</w:t>
      </w:r>
    </w:p>
    <w:p w14:paraId="2E533EC0">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驳回，修改Charter指定内容后重新提交评审</w:t>
      </w:r>
    </w:p>
    <w:p w14:paraId="04ADE873">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暂缓立项，补充市场/技术预研材料后二次评审</w:t>
      </w:r>
    </w:p>
    <w:p w14:paraId="00CDB5D5">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评审意见备注</w:t>
      </w:r>
      <w:r>
        <w:rPr>
          <w:rFonts w:hint="default" w:ascii="Times New Roman" w:hAnsi="Times New Roman" w:eastAsia="宋体" w:cs="Times New Roman"/>
          <w:sz w:val="24"/>
          <w:szCs w:val="24"/>
        </w:rPr>
        <w:t>：</w:t>
      </w:r>
    </w:p>
    <w:p w14:paraId="091EA3D8">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签字审批区</w:t>
      </w:r>
    </w:p>
    <w:p w14:paraId="03F45584">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PDT经理签字：_______________ 日期：_______________</w:t>
      </w:r>
    </w:p>
    <w:p w14:paraId="79632138">
      <w:pPr>
        <w:keepNext w:val="0"/>
        <w:keepLines w:val="0"/>
        <w:pageBreakBefore w:val="0"/>
        <w:widowControl/>
        <w:kinsoku/>
        <w:wordWrap/>
        <w:overflowPunct/>
        <w:topLinePunct w:val="0"/>
        <w:autoSpaceDE/>
        <w:autoSpaceDN/>
        <w:bidi w:val="0"/>
        <w:adjustRightInd/>
        <w:spacing w:after="0" w:line="360" w:lineRule="auto"/>
        <w:ind w:left="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IPMT负责人签字：_______________ 日期：_______________</w:t>
      </w:r>
    </w:p>
    <w:p w14:paraId="7CEE9F4D">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color w:val="000000" w:themeColor="text1"/>
          <w14:textFill>
            <w14:solidFill>
              <w14:schemeClr w14:val="tx1"/>
            </w14:solidFill>
          </w14:textFill>
        </w:rPr>
      </w:pPr>
    </w:p>
    <w:sectPr>
      <w:footerReference r:id="rId5" w:type="default"/>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842F4">
    <w:pPr>
      <w:pStyle w:val="24"/>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4DD5FA">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14DD5FA">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571B5E"/>
    <w:rsid w:val="1F8D69DB"/>
    <w:rsid w:val="25493224"/>
    <w:rsid w:val="37EF36B2"/>
    <w:rsid w:val="449D74FE"/>
    <w:rsid w:val="4D7B0673"/>
    <w:rsid w:val="6423385F"/>
    <w:rsid w:val="72E80E66"/>
    <w:rsid w:val="75BC563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7"/>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Normal (Web)"/>
    <w:basedOn w:val="1"/>
    <w:semiHidden/>
    <w:unhideWhenUsed/>
    <w:uiPriority w:val="99"/>
    <w:rPr>
      <w:sz w:val="24"/>
    </w:r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29"/>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267</Words>
  <Characters>313</Characters>
  <Lines>0</Lines>
  <Paragraphs>0</Paragraphs>
  <TotalTime>126</TotalTime>
  <ScaleCrop>false</ScaleCrop>
  <LinksUpToDate>false</LinksUpToDate>
  <CharactersWithSpaces>339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青山.</cp:lastModifiedBy>
  <dcterms:modified xsi:type="dcterms:W3CDTF">2026-07-19T04:02:13Z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eyJoZGlkIjoiMTI1N2UwMjZkNWI2YmRmYmU1Y2IyNzY2MmNmZDgzN2YiLCJ1c2VySWQiOiI4MzQ3NTExODUifQ==</vt:lpwstr>
  </property>
  <property fmtid="{D5CDD505-2E9C-101B-9397-08002B2CF9AE}" pid="3" name="KSOProductBuildVer">
    <vt:lpwstr>2052-12.1.0.26895</vt:lpwstr>
  </property>
  <property fmtid="{D5CDD505-2E9C-101B-9397-08002B2CF9AE}" pid="4" name="ICV">
    <vt:lpwstr>04F81B5729B74B5BBF61DFD0B1B22683_12</vt:lpwstr>
  </property>
</Properties>
</file>