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FB08B">
      <w:pPr>
        <w:pStyle w:val="3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产品包需求说明书（PRS）</w:t>
      </w:r>
    </w:p>
    <w:p w14:paraId="614AF798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文档编号：PRS-MA-001-V1.0</w:t>
      </w:r>
    </w:p>
    <w:p w14:paraId="794D7B19">
      <w:pPr>
        <w:spacing w:after="120" w:line="24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sz w:val="21"/>
        </w:rPr>
        <w:t>版本：V</w:t>
      </w:r>
      <w:r>
        <w:rPr>
          <w:rFonts w:hint="eastAsia" w:ascii="Calibri" w:hAnsi="Calibri" w:eastAsia="微软雅黑"/>
          <w:sz w:val="21"/>
          <w:lang w:val="en-US" w:eastAsia="zh-CN"/>
        </w:rPr>
        <w:t xml:space="preserve"> 1.0</w:t>
      </w:r>
    </w:p>
    <w:p w14:paraId="2665D028">
      <w:pPr>
        <w:spacing w:after="120" w:line="24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sz w:val="21"/>
        </w:rPr>
        <w:t>编制人：PDT产品/</w:t>
      </w:r>
      <w:r>
        <w:rPr>
          <w:rFonts w:hint="eastAsia" w:ascii="Calibri" w:hAnsi="Calibri" w:eastAsia="微软雅黑"/>
          <w:sz w:val="21"/>
          <w:lang w:val="en-US" w:eastAsia="zh-CN"/>
        </w:rPr>
        <w:t>SE</w:t>
      </w:r>
      <w:bookmarkStart w:id="0" w:name="_GoBack"/>
      <w:bookmarkEnd w:id="0"/>
    </w:p>
    <w:p w14:paraId="217B3703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编制日期</w:t>
      </w:r>
      <w:r>
        <w:rPr>
          <w:rFonts w:hint="eastAsia" w:ascii="Calibri" w:hAnsi="Calibri" w:eastAsia="微软雅黑"/>
          <w:sz w:val="21"/>
          <w:lang w:val="en-US" w:eastAsia="zh-CN"/>
        </w:rPr>
        <w:t xml:space="preserve"> : 2026</w:t>
      </w:r>
      <w:r>
        <w:rPr>
          <w:rFonts w:ascii="Calibri" w:hAnsi="Calibri" w:eastAsia="微软雅黑"/>
          <w:sz w:val="21"/>
        </w:rPr>
        <w:t>年</w:t>
      </w:r>
      <w:r>
        <w:rPr>
          <w:rFonts w:hint="eastAsia" w:ascii="Calibri" w:hAnsi="Calibri" w:eastAsia="微软雅黑"/>
          <w:sz w:val="21"/>
          <w:lang w:val="en-US" w:eastAsia="zh-CN"/>
        </w:rPr>
        <w:t>7月18</w:t>
      </w:r>
      <w:r>
        <w:rPr>
          <w:rFonts w:ascii="Calibri" w:hAnsi="Calibri" w:eastAsia="微软雅黑"/>
          <w:sz w:val="21"/>
        </w:rPr>
        <w:t>日</w:t>
      </w:r>
    </w:p>
    <w:p w14:paraId="29CC0095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关联项目：基于边缘智能与多模态感知的河道主动巡护与风险闭环系统</w:t>
      </w:r>
    </w:p>
    <w:p w14:paraId="148F5A65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前置依据：项目Charter、市场机会分析报告、客户VOC访谈记录、技术预研报告</w:t>
      </w:r>
    </w:p>
    <w:p w14:paraId="7706C18A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使用阶段：IPD概念阶段、TR1评审基线，全研发阶段需求基准</w:t>
      </w:r>
    </w:p>
    <w:p w14:paraId="6D43DBCB"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评审人员：PDT全体、行业业务专家、IPMT代表</w:t>
      </w:r>
    </w:p>
    <w:p w14:paraId="1A696AA9">
      <w:r>
        <w:br w:type="page"/>
      </w:r>
    </w:p>
    <w:p w14:paraId="6602C67B">
      <w:pPr>
        <w:pStyle w:val="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目录</w:t>
      </w:r>
    </w:p>
    <w:p w14:paraId="0D044E8C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1.</w:t>
      </w:r>
      <w:r>
        <w:rPr>
          <w:rFonts w:ascii="Calibri" w:hAnsi="Calibri" w:eastAsia="微软雅黑"/>
          <w:sz w:val="21"/>
        </w:rPr>
        <w:t>文档概述</w:t>
      </w:r>
    </w:p>
    <w:p w14:paraId="6E03E162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2.</w:t>
      </w:r>
      <w:r>
        <w:rPr>
          <w:rFonts w:ascii="Calibri" w:hAnsi="Calibri" w:eastAsia="微软雅黑"/>
          <w:sz w:val="21"/>
        </w:rPr>
        <w:t>产品定位与目标用户</w:t>
      </w:r>
    </w:p>
    <w:p w14:paraId="529D2713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3.</w:t>
      </w:r>
      <w:r>
        <w:rPr>
          <w:rFonts w:ascii="Calibri" w:hAnsi="Calibri" w:eastAsia="微软雅黑"/>
          <w:sz w:val="21"/>
        </w:rPr>
        <w:t>业务场景需求</w:t>
      </w:r>
    </w:p>
    <w:p w14:paraId="66111B3E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4.</w:t>
      </w:r>
      <w:r>
        <w:rPr>
          <w:rFonts w:ascii="Calibri" w:hAnsi="Calibri" w:eastAsia="微软雅黑"/>
          <w:sz w:val="21"/>
        </w:rPr>
        <w:t>产品核心能力需求（AI多智能体专属模块）</w:t>
      </w:r>
    </w:p>
    <w:p w14:paraId="56013AE2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5.</w:t>
      </w:r>
      <w:r>
        <w:rPr>
          <w:rFonts w:ascii="Calibri" w:hAnsi="Calibri" w:eastAsia="微软雅黑"/>
          <w:sz w:val="21"/>
        </w:rPr>
        <w:t>功能需求清单</w:t>
      </w:r>
    </w:p>
    <w:p w14:paraId="3619E91D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6.</w:t>
      </w:r>
      <w:r>
        <w:rPr>
          <w:rFonts w:ascii="Calibri" w:hAnsi="Calibri" w:eastAsia="微软雅黑"/>
          <w:sz w:val="21"/>
        </w:rPr>
        <w:t>非功能DFX需求（性能、安全、兼容、合规等）</w:t>
      </w:r>
    </w:p>
    <w:p w14:paraId="7F502A8B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7.</w:t>
      </w:r>
      <w:r>
        <w:rPr>
          <w:rFonts w:ascii="Calibri" w:hAnsi="Calibri" w:eastAsia="微软雅黑"/>
          <w:sz w:val="21"/>
        </w:rPr>
        <w:t>数据与存储需求</w:t>
      </w:r>
    </w:p>
    <w:p w14:paraId="24A337A4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8.</w:t>
      </w:r>
      <w:r>
        <w:rPr>
          <w:rFonts w:ascii="Calibri" w:hAnsi="Calibri" w:eastAsia="微软雅黑"/>
          <w:sz w:val="21"/>
        </w:rPr>
        <w:t>第三方依赖与外部接口需求</w:t>
      </w:r>
    </w:p>
    <w:p w14:paraId="54B9DC90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9.</w:t>
      </w:r>
      <w:r>
        <w:rPr>
          <w:rFonts w:ascii="Calibri" w:hAnsi="Calibri" w:eastAsia="微软雅黑"/>
          <w:sz w:val="21"/>
        </w:rPr>
        <w:t>需求分级管理（P0/P1/P2）</w:t>
      </w:r>
    </w:p>
    <w:p w14:paraId="2183FA56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10.</w:t>
      </w:r>
      <w:r>
        <w:rPr>
          <w:rFonts w:ascii="Calibri" w:hAnsi="Calibri" w:eastAsia="微软雅黑"/>
          <w:sz w:val="21"/>
        </w:rPr>
        <w:t>需求追溯与变更规则</w:t>
      </w:r>
    </w:p>
    <w:p w14:paraId="38832C64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11.</w:t>
      </w:r>
      <w:r>
        <w:rPr>
          <w:rFonts w:ascii="Calibri" w:hAnsi="Calibri" w:eastAsia="微软雅黑"/>
          <w:sz w:val="21"/>
        </w:rPr>
        <w:t>验收标准基线</w:t>
      </w:r>
    </w:p>
    <w:p w14:paraId="67D8F27F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12.</w:t>
      </w:r>
      <w:r>
        <w:rPr>
          <w:rFonts w:ascii="Calibri" w:hAnsi="Calibri" w:eastAsia="微软雅黑"/>
          <w:sz w:val="21"/>
        </w:rPr>
        <w:t>附件</w:t>
      </w:r>
    </w:p>
    <w:p w14:paraId="37703DF0">
      <w:r>
        <w:br w:type="page"/>
      </w:r>
    </w:p>
    <w:p w14:paraId="7BB0CB5D">
      <w:pPr>
        <w:pStyle w:val="4"/>
        <w:spacing w:before="240" w:after="120" w:line="276" w:lineRule="auto"/>
        <w:rPr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1 文档概述</w:t>
      </w:r>
    </w:p>
    <w:p w14:paraId="736CC5B9">
      <w:pPr>
        <w:pStyle w:val="5"/>
        <w:spacing w:before="240" w:after="120" w:line="276" w:lineRule="auto"/>
        <w:rPr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1.1 文档目的</w:t>
      </w:r>
    </w:p>
    <w:p w14:paraId="4161EE9A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>本文档为本项目唯一正式需求基线，用于支撑 TR1 需求与概念评审、系统架构设计、模块详细开发、单元 / 集成测试、现场试点交付全流程；所有研发、测试、交付产出物必须对齐本 PRS 内容，任何功能偏离需走正式需求变更流程。文档统一规范边缘 AI 视觉巡护、多模态感知融合、分级风险研判、智能工单闭环、Web 管理看板全部需求指标，作为 8 人 PDT 团队 9 天集中研发统一协作依据。</w:t>
      </w:r>
    </w:p>
    <w:p w14:paraId="5768F8F5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1.2 文档范围</w:t>
      </w:r>
    </w:p>
    <w:p w14:paraId="5DBABA93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>覆盖 Jetson Orin Nano 边缘终端、本地交互触摸屏、云端管理平台、AI 识别算法、多传感器融合、告警联动、智能工单、水利行业大模型辅助模块全部需求； 本文档不含硬件整机生产、河道土建立杆施工、第三方政务平台深度定制、无人机巡检、流域数字孪生、专业实验室水质检测设备自研相关需求，边界与项目 Charter 保持完全一致。</w:t>
      </w:r>
    </w:p>
    <w:p w14:paraId="04CC15A3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1.3 术语与缩略语</w:t>
      </w:r>
    </w:p>
    <w:p w14:paraId="09F71B10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</w:t>
      </w:r>
      <w:r>
        <w:rPr>
          <w:rFonts w:hint="eastAsia" w:ascii="Calibri" w:hAnsi="Calibri" w:eastAsia="微软雅黑"/>
          <w:sz w:val="24"/>
          <w:szCs w:val="24"/>
        </w:rPr>
        <w:t xml:space="preserve"> </w:t>
      </w:r>
      <w:r>
        <w:rPr>
          <w:rFonts w:ascii="Calibri" w:hAnsi="Calibri" w:eastAsia="微软雅黑"/>
          <w:sz w:val="24"/>
          <w:szCs w:val="24"/>
        </w:rPr>
        <w:t>PRS：产品包需求说明书</w:t>
      </w:r>
    </w:p>
    <w:p w14:paraId="7E667393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PDT：跨职能研发小组</w:t>
      </w:r>
    </w:p>
    <w:p w14:paraId="32CD5589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TR：技术评审；DCP：投资决策评审</w:t>
      </w:r>
    </w:p>
    <w:p w14:paraId="029AF20D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Jetson Orin Nano：边缘计算硬件终端</w:t>
      </w:r>
    </w:p>
    <w:p w14:paraId="26BED0C0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RTSP：实时视频流传输协议</w:t>
      </w:r>
    </w:p>
    <w:p w14:paraId="5410C9B2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多模态感知：视频图像 + 温湿度 / 水位 / 水质 / 雨量传感器数据融合</w:t>
      </w:r>
    </w:p>
    <w:p w14:paraId="1736B9FD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感知智能体：边缘端 AI 目标检测跟踪推理模块</w:t>
      </w:r>
    </w:p>
    <w:p w14:paraId="2CD87F72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研判智能体：风险规则引擎、行业大模型 RAG 检索模块</w:t>
      </w:r>
    </w:p>
    <w:p w14:paraId="64E477A4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调度决策智能体：工单生成、任务派发、分级告警调度模块</w:t>
      </w:r>
    </w:p>
    <w:p w14:paraId="7E1EAF03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交互智能体：触摸屏语音提示、本地人机交互模块</w:t>
      </w:r>
    </w:p>
    <w:p w14:paraId="0F40F12A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RAG：检索增强生成，用于水利法规、巡检报告生成</w:t>
      </w:r>
    </w:p>
    <w:p w14:paraId="0AC7E12D">
      <w:pPr>
        <w:spacing w:after="120" w:line="240" w:lineRule="auto"/>
        <w:rPr>
          <w:rFonts w:ascii="Calibri" w:hAnsi="Calibri" w:eastAsia="微软雅黑"/>
          <w:sz w:val="24"/>
          <w:szCs w:val="24"/>
        </w:rPr>
      </w:pPr>
      <w:r>
        <w:rPr>
          <w:rFonts w:hint="default" w:ascii="Calibri" w:hAnsi="Calibri" w:eastAsia="微软雅黑"/>
          <w:sz w:val="24"/>
          <w:szCs w:val="24"/>
        </w:rPr>
        <w:t>·</w:t>
      </w:r>
      <w:r>
        <w:rPr>
          <w:rFonts w:hint="eastAsia" w:ascii="Calibri" w:hAnsi="Calibri" w:eastAsia="微软雅黑"/>
          <w:sz w:val="24"/>
          <w:szCs w:val="24"/>
        </w:rPr>
        <w:t xml:space="preserve">  </w:t>
      </w:r>
      <w:r>
        <w:rPr>
          <w:rFonts w:ascii="Calibri" w:hAnsi="Calibri" w:eastAsia="微软雅黑"/>
          <w:sz w:val="24"/>
          <w:szCs w:val="24"/>
        </w:rPr>
        <w:t>河湖四乱：乱占、乱采、乱堆、乱建</w:t>
      </w:r>
    </w:p>
    <w:p w14:paraId="1FAB7B92">
      <w:pPr>
        <w:spacing w:after="120" w:line="240" w:lineRule="auto"/>
        <w:ind w:firstLine="420"/>
        <w:rPr>
          <w:rFonts w:ascii="Calibri" w:hAnsi="Calibri" w:eastAsia="微软雅黑"/>
          <w:color w:val="808080"/>
          <w:sz w:val="21"/>
        </w:rPr>
      </w:pPr>
    </w:p>
    <w:p w14:paraId="750D0BA5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1.4 参考文档</w:t>
      </w:r>
    </w:p>
    <w:p w14:paraId="403AE1E8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en-US" w:bidi="ar-SA"/>
        </w:rPr>
        <w:t>1.《项目Charter立项任务书》</w:t>
      </w:r>
    </w:p>
    <w:p w14:paraId="0C70DC75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en-US" w:bidi="ar-SA"/>
        </w:rPr>
        <w:t>2.《市场机会分析报告》</w:t>
      </w:r>
    </w:p>
    <w:p w14:paraId="0401616F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en-US" w:bidi="ar-SA"/>
        </w:rPr>
        <w:t>3.《关键技术预研报告》</w:t>
      </w:r>
    </w:p>
    <w:p w14:paraId="69BA7AFC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en-US" w:bidi="ar-SA"/>
        </w:rPr>
        <w:t>4.客户VOC访谈记录</w:t>
      </w:r>
    </w:p>
    <w:p w14:paraId="739C1940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en-US" w:bidi="ar-SA"/>
        </w:rPr>
        <w:t>5.行业规范/政策文件</w:t>
      </w:r>
    </w:p>
    <w:p w14:paraId="1FB4A010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2 产品定位与目标用户</w:t>
      </w:r>
    </w:p>
    <w:p w14:paraId="7A5A555C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2.1 产品定位</w:t>
      </w:r>
    </w:p>
    <w:p w14:paraId="0BADFB6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en-US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面向区县水利局、河湖长办、基层执法运维单位，基于边缘计算实现河道多模态感知、本地 AI 实时识别、风险自动分级、证据留存、工单闭环处置，解决传统人工巡河滞后、网络依赖高、取证难、多部门协同低效痛点的轻量化云边一体化智慧巡护系统。</w:t>
      </w:r>
    </w:p>
    <w:p w14:paraId="269D7C5E">
      <w:pPr>
        <w:spacing w:after="120" w:line="240" w:lineRule="auto"/>
        <w:rPr>
          <w:rFonts w:ascii="Calibri" w:hAnsi="Calibri" w:eastAsia="微软雅黑"/>
          <w:sz w:val="21"/>
        </w:rPr>
      </w:pPr>
    </w:p>
    <w:p w14:paraId="65C2B873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2.2 目标用户分层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4A58E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1FA2859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用户角色</w:t>
            </w:r>
          </w:p>
        </w:tc>
        <w:tc>
          <w:tcPr>
            <w:tcW w:w="2878" w:type="dxa"/>
          </w:tcPr>
          <w:p w14:paraId="616E163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使用场景</w:t>
            </w:r>
          </w:p>
        </w:tc>
        <w:tc>
          <w:tcPr>
            <w:tcW w:w="2878" w:type="dxa"/>
          </w:tcPr>
          <w:p w14:paraId="22044AE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核心诉求</w:t>
            </w:r>
          </w:p>
        </w:tc>
      </w:tr>
      <w:tr w14:paraId="72ACC14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426C9CD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河湖长 / 水利管理员</w:t>
            </w:r>
          </w:p>
        </w:tc>
        <w:tc>
          <w:tcPr>
            <w:tcW w:w="2878" w:type="dxa"/>
          </w:tcPr>
          <w:p w14:paraId="62E50C7E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云端大屏查看全域河道、事件审核、月度巡检考核、报表导出</w:t>
            </w:r>
          </w:p>
        </w:tc>
        <w:tc>
          <w:tcPr>
            <w:tcW w:w="2878" w:type="dxa"/>
          </w:tcPr>
          <w:p w14:paraId="08AB41B3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全域实时监控、异常一键核查、自动生成巡检台账、满足上级河湖考核要求</w:t>
            </w:r>
          </w:p>
        </w:tc>
      </w:tr>
      <w:tr w14:paraId="37DF61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B897D0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一线河道运维保洁员</w:t>
            </w:r>
          </w:p>
        </w:tc>
        <w:tc>
          <w:tcPr>
            <w:tcW w:w="2878" w:type="dxa"/>
          </w:tcPr>
          <w:p w14:paraId="3B85995C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现场触摸屏查看告警、接收处置工单、上传处置结果</w:t>
            </w:r>
          </w:p>
        </w:tc>
        <w:tc>
          <w:tcPr>
            <w:tcW w:w="2878" w:type="dxa"/>
          </w:tcPr>
          <w:p w14:paraId="4FB0BE40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本地离线查看事件、简易操作、快速反馈处置完成情况</w:t>
            </w:r>
          </w:p>
        </w:tc>
      </w:tr>
      <w:tr w14:paraId="6AE7D9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76EC552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水政执法人员</w:t>
            </w:r>
          </w:p>
        </w:tc>
        <w:tc>
          <w:tcPr>
            <w:tcW w:w="2878" w:type="dxa"/>
          </w:tcPr>
          <w:p w14:paraId="04B4DAC2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违规事件取证、查看视频证据、判定非法采砂 / 捕鱼线索</w:t>
            </w:r>
          </w:p>
        </w:tc>
        <w:tc>
          <w:tcPr>
            <w:tcW w:w="2878" w:type="dxa"/>
          </w:tcPr>
          <w:p w14:paraId="37644C83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完整可追溯证据链、事件分级、快速导出执法材料</w:t>
            </w:r>
          </w:p>
        </w:tc>
      </w:tr>
      <w:tr w14:paraId="379F0C1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B3C1478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系统运维工程师</w:t>
            </w:r>
          </w:p>
        </w:tc>
        <w:tc>
          <w:tcPr>
            <w:tcW w:w="2878" w:type="dxa"/>
          </w:tcPr>
          <w:p w14:paraId="653F1650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终端设备配置、传感器接入、模型更新、日志排查</w:t>
            </w:r>
          </w:p>
        </w:tc>
        <w:tc>
          <w:tcPr>
            <w:tcW w:w="2878" w:type="dxa"/>
          </w:tcPr>
          <w:p w14:paraId="6811AD5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设备可视化配置、模型一键升级、故障自动告警、日志导出</w:t>
            </w:r>
          </w:p>
        </w:tc>
      </w:tr>
    </w:tbl>
    <w:p w14:paraId="3ADE2ED7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2.3 用户痛点汇总</w:t>
      </w:r>
    </w:p>
    <w:p w14:paraId="5A8A31B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人工巡河覆盖不足，偏远河段、夜间无法实时监管，垃圾、违建、非法行为发现滞后；</w:t>
      </w:r>
    </w:p>
    <w:p w14:paraId="5C1AC1B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传统监控仅云端回看，野外河道网络差，断网后无识别、无预警，流量成本高；</w:t>
      </w:r>
    </w:p>
    <w:p w14:paraId="12F875CE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单一摄像头识别误报多，无水位、雨量等数据辅助判断，频繁无效告警；</w:t>
      </w:r>
    </w:p>
    <w:p w14:paraId="7CD9F6C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异常事件无自动截图、视频留存，执法缺少标准化证据；</w:t>
      </w:r>
    </w:p>
    <w:p w14:paraId="4C45E7D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发现问题后无自动派单流程，保洁、执法部门线下沟通效率低，处置无闭环；</w:t>
      </w:r>
    </w:p>
    <w:p w14:paraId="1495370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每月巡检报告、河湖考核台账需人工整理，法规查询、事件归因耗时久；</w:t>
      </w:r>
    </w:p>
    <w:p w14:paraId="0ACFD13B">
      <w:pPr>
        <w:spacing w:after="120" w:line="240" w:lineRule="auto"/>
        <w:rPr>
          <w:rFonts w:ascii="Calibri" w:hAnsi="Calibri" w:eastAsia="微软雅黑"/>
          <w:sz w:val="21"/>
          <w:lang w:val="en-US" w:eastAsia="zh-CN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长期河道变化无统一数字档案，无法追溯反复污染、堆料点位</w:t>
      </w:r>
      <w:r>
        <w:rPr>
          <w:rFonts w:ascii="Calibri" w:hAnsi="Calibri" w:eastAsia="微软雅黑"/>
          <w:sz w:val="21"/>
          <w:lang w:val="en-US" w:eastAsia="zh-CN"/>
        </w:rPr>
        <w:t>。</w:t>
      </w:r>
    </w:p>
    <w:p w14:paraId="0214B4B2">
      <w:pPr>
        <w:spacing w:after="120" w:line="240" w:lineRule="auto"/>
        <w:ind w:firstLine="420"/>
        <w:rPr>
          <w:rFonts w:ascii="Calibri" w:hAnsi="Calibri" w:eastAsia="微软雅黑"/>
          <w:color w:val="808080"/>
          <w:sz w:val="21"/>
        </w:rPr>
      </w:pPr>
    </w:p>
    <w:p w14:paraId="6754B68B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3 业务场景需求</w:t>
      </w:r>
    </w:p>
    <w:p w14:paraId="536E19AC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场景1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河道 7×24 小时自动巡护与实时预警</w:t>
      </w:r>
    </w:p>
    <w:p w14:paraId="0FCBE7B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场景描述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河道点位摄像头、传感器不间断采集数据，边缘终端本地 AI 识别河道垃圾、违规船只、岸边堆料违建，结合水文数据自动判定风险等级，现场声光告警同步云端。</w:t>
      </w:r>
    </w:p>
    <w:p w14:paraId="6784E03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用户操作流程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：无需人工持续值守，系统自动运行；管理员可远程 / 现场查看实时画面与告警列表。</w:t>
      </w:r>
    </w:p>
    <w:p w14:paraId="58E8AC3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预期业务结果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：全天候自动识别河道异常，断网状态下本地识别、告警、存证不中断；达到风险阈值立即触发声光提醒，同步推送事件至管理端。</w:t>
      </w:r>
    </w:p>
    <w:p w14:paraId="54D9ABFC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场景2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：异常事件取证、工单派发与处置闭环</w:t>
      </w:r>
    </w:p>
    <w:p w14:paraId="38FE8E0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场景描述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：系统识别违规事件后自动留存截图、视频片段，生成标准化工单，推荐对应处置部门；工作人员接收工单完成现场处置后回填结果，系统归档形成完整处置记录。</w:t>
      </w:r>
    </w:p>
    <w:p w14:paraId="3050605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用户操作流程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：管理员审核事件→确认风险等级→下发工单至对应运维 / 执法人员→现场处置→触摸屏 / 云端回填处置结果→系统自动归档事件档案。</w:t>
      </w:r>
    </w:p>
    <w:p w14:paraId="616A037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预期业务结果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：从问题发现到处置归档全流程线上闭环，每起事件留存完整时间、地点、影像证据，支持后续溯源、考核、执法使用。</w:t>
      </w:r>
    </w:p>
    <w:p w14:paraId="4E2807D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场景3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：多模态数据联合研判降低误报</w:t>
      </w:r>
    </w:p>
    <w:p w14:paraId="66A20CA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场景描述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：系统融合视频图像、水位、雨量、水质传感器数据，通过规则引擎综合判定风险，过滤单一图像带来的误告警。</w:t>
      </w:r>
    </w:p>
    <w:p w14:paraId="4ED40D6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用户操作流程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：可自定义各类风险判定阈值、多条件联合触发规则；支持查看单事件对应的图像、传感数据对照曲线。</w:t>
      </w:r>
    </w:p>
    <w:p w14:paraId="2DC87F0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预期业务结果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：纯视觉误报量下降 40% 以上，暴雨、高水位场景自动提升污染、溢流风险等级，分级差异化推送告警。</w:t>
      </w:r>
    </w:p>
    <w:p w14:paraId="6A456D9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</w:t>
      </w:r>
      <w:r>
        <w:rPr>
          <w:rFonts w:hint="eastAsia"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4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：水利智能辅助决策与巡检报表生成</w:t>
      </w:r>
    </w:p>
    <w:p w14:paraId="4420FCA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场景描述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：管理人员查询河湖管理法规、调取历史同类事件处置方案，系统自动汇总月度巡检数据，生成标准化河湖巡检日报、月报。</w:t>
      </w:r>
    </w:p>
    <w:p w14:paraId="1FC7997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用户操作流程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：输入自然语言提问法规 / 处置建议→大模型返回专业答复；选择时间区间，一键导出巡检台账、事件统计报表。</w:t>
      </w:r>
    </w:p>
    <w:p w14:paraId="1BC2653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b/>
          <w:bCs/>
          <w:sz w:val="24"/>
          <w:szCs w:val="24"/>
          <w:lang w:val="en-US" w:eastAsia="zh-CN" w:bidi="ar-SA"/>
        </w:rPr>
        <w:t>预期业务结果：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减少人工整理报表工作量，快速提供合规处置依据，满足河湖长制月度考核上报需求。</w:t>
      </w:r>
    </w:p>
    <w:p w14:paraId="1ED96C71">
      <w:pPr>
        <w:spacing w:after="120" w:line="240" w:lineRule="auto"/>
        <w:rPr>
          <w:rFonts w:ascii="Calibri" w:hAnsi="Calibri" w:eastAsia="微软雅黑"/>
          <w:sz w:val="21"/>
        </w:rPr>
      </w:pPr>
    </w:p>
    <w:p w14:paraId="02FDB8D7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4 产品核心能力需求（AI多智能体项目专属章节）</w:t>
      </w:r>
    </w:p>
    <w:p w14:paraId="3624A5EE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4.1 感知智能体需求</w:t>
      </w:r>
    </w:p>
    <w:p w14:paraId="23B76E4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识别目标：漂浮垃圾、岸边建筑垃圾、泡沫油污、船只、渔网、采砂挖掘设备、违规人员、临时围挡堆料；</w:t>
      </w:r>
    </w:p>
    <w:p w14:paraId="52303E6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精度指标：常规光照目标识别 mAP≥92%，夜间 / 雨天 mAP≥83%；</w:t>
      </w:r>
    </w:p>
    <w:p w14:paraId="32ED0E1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运行模式：完全支持本地离线推理，不依赖云端算力；</w:t>
      </w:r>
    </w:p>
    <w:p w14:paraId="76C592FC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视频并发：单 Jetson Orin Nano 终端同时接入 4 路 RTSP 摄像头稳定识别；</w:t>
      </w:r>
    </w:p>
    <w:p w14:paraId="1E7FB06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告警触发规则：目标持续停留超 5 分钟、垃圾聚集数量达到阈值、船只进入禁采 / 禁捕区域自动触发告警；</w:t>
      </w:r>
    </w:p>
    <w:p w14:paraId="7AD3C27A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配套能力：目标实时跟踪、画面差异对比识别新增违建堆料。</w:t>
      </w:r>
    </w:p>
    <w:p w14:paraId="526E52FB">
      <w:pPr>
        <w:spacing w:after="120" w:line="240" w:lineRule="auto"/>
        <w:rPr>
          <w:rFonts w:ascii="Calibri" w:hAnsi="Calibri" w:eastAsia="微软雅黑"/>
          <w:sz w:val="21"/>
        </w:rPr>
      </w:pPr>
    </w:p>
    <w:p w14:paraId="26D80BC3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4.2 研判智能体需求</w:t>
      </w:r>
    </w:p>
    <w:p w14:paraId="1AA3B27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RAG 知识库：内置《河道管理条例》《水污染防治法》、地方河湖管理细则、典型违规处置案例；</w:t>
      </w:r>
    </w:p>
    <w:p w14:paraId="65102BE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检索能力：自然语言问答匹配相关法规、同类事件处置方案，检索响应≤2 秒；</w:t>
      </w:r>
    </w:p>
    <w:p w14:paraId="28BC977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风险分级：自动划分一般 / 较大 / 重大三级风险，支持管理员自定义分级规则；</w:t>
      </w:r>
    </w:p>
    <w:p w14:paraId="53552D9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文案生成：自动生成事件描述、巡检日报、月度统计报告，支持 Excel/PDF 导出；</w:t>
      </w:r>
    </w:p>
    <w:p w14:paraId="4FBFD376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多模态融合计算：同步读取水位、浊度、雨量数据参与风险评分。</w:t>
      </w:r>
    </w:p>
    <w:p w14:paraId="03487E3B">
      <w:pPr>
        <w:spacing w:after="120" w:line="240" w:lineRule="auto"/>
        <w:rPr>
          <w:rFonts w:ascii="Calibri" w:hAnsi="Calibri" w:eastAsia="微软雅黑"/>
          <w:sz w:val="21"/>
        </w:rPr>
      </w:pPr>
    </w:p>
    <w:p w14:paraId="163A9EFB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4.3 调度决策智能体需求</w:t>
      </w:r>
    </w:p>
    <w:p w14:paraId="2F6900D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任务优先级：重大水位上涨、非法采砂事件优先级高于普通漂浮垃圾；</w:t>
      </w:r>
    </w:p>
    <w:p w14:paraId="329758A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工单下发规则：按事件类型自动匹配保洁、养护、水政执法对应责任部门；</w:t>
      </w:r>
    </w:p>
    <w:p w14:paraId="25A0081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告警调度：本地触摸屏弹窗、继电器联动报警灯 / 蜂鸣器，云端同步消息提醒；</w:t>
      </w:r>
    </w:p>
    <w:p w14:paraId="06E0F6AD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事件归档：处置完成后自动归档至河道数字档案，长期留存可查询。</w:t>
      </w:r>
    </w:p>
    <w:p w14:paraId="123D031B">
      <w:pPr>
        <w:spacing w:after="120" w:line="240" w:lineRule="auto"/>
        <w:rPr>
          <w:rFonts w:ascii="Calibri" w:hAnsi="Calibri" w:eastAsia="微软雅黑"/>
          <w:sz w:val="21"/>
        </w:rPr>
      </w:pPr>
    </w:p>
    <w:p w14:paraId="61063367">
      <w:pPr>
        <w:pStyle w:val="5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4.4 对话交互智能体需求</w:t>
      </w:r>
    </w:p>
    <w:p w14:paraId="2E03301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本地触摸屏文字交互，支持语音播报告警信息、垃圾分类提示；</w:t>
      </w:r>
    </w:p>
    <w:p w14:paraId="36EA4E3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垃圾投放识别后自动语音提示正确分类方式；</w:t>
      </w:r>
    </w:p>
    <w:p w14:paraId="671DC788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支持管理员文字提问，返回法规、处置建议标准化答复；</w:t>
      </w:r>
    </w:p>
    <w:p w14:paraId="207CDD17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异常告警时语音播报事件位置、风险等级。</w:t>
      </w:r>
    </w:p>
    <w:p w14:paraId="0DBE4CEC">
      <w:pPr>
        <w:spacing w:after="120" w:line="240" w:lineRule="auto"/>
        <w:rPr>
          <w:rFonts w:ascii="Calibri" w:hAnsi="Calibri" w:eastAsia="微软雅黑"/>
          <w:sz w:val="21"/>
        </w:rPr>
      </w:pPr>
    </w:p>
    <w:p w14:paraId="4C07CD1A">
      <w:pPr>
        <w:pStyle w:val="4"/>
        <w:spacing w:before="240" w:after="120" w:line="276" w:lineRule="auto"/>
        <w:rPr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5 功能需求清单</w:t>
      </w:r>
    </w:p>
    <w:p w14:paraId="4BD9A689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24"/>
          <w:szCs w:val="24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5.1</w:t>
      </w:r>
      <w:r>
        <w:rPr>
          <w:rFonts w:ascii="Calibri" w:hAnsi="Calibri" w:eastAsia="微软雅黑"/>
          <w:b/>
          <w:i w:val="0"/>
          <w:color w:val="000000"/>
          <w:sz w:val="24"/>
          <w:szCs w:val="24"/>
        </w:rPr>
        <w:t>可视化大屏模块</w:t>
      </w:r>
    </w:p>
    <w:p w14:paraId="59707A9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REQ001：实时视频画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面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展示 </w:t>
      </w:r>
    </w:p>
    <w:p w14:paraId="2A443C3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REQ002：本地告警弹窗、语音播报、指示灯联动提示 </w:t>
      </w:r>
    </w:p>
    <w:p w14:paraId="37C844A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REQ003：工单查看、处置结果回填、事件截图视频本地回放 </w:t>
      </w:r>
    </w:p>
    <w:p w14:paraId="1B47250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REQ004：系统基础参数本地可视化配置（识别阈值、告警开关） </w:t>
      </w:r>
    </w:p>
    <w:p w14:paraId="66D97C1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REQ005：公共垃圾投放语音分类提示功能</w:t>
      </w:r>
    </w:p>
    <w:p w14:paraId="0589D061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5.2视频监控与AI识别模块</w:t>
      </w:r>
    </w:p>
    <w:p w14:paraId="6428185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REQ006：支持 RTSP 高清摄像头视频实时采集 </w:t>
      </w:r>
    </w:p>
    <w:p w14:paraId="3B2067E8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REQ007：轻量化 YOLO 模型本地目标检测、多目标跟踪</w:t>
      </w:r>
    </w:p>
    <w:p w14:paraId="6BA7D29E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REQ008：历史画面对比，识别新增堆料、违建、河道侵占 </w:t>
      </w:r>
    </w:p>
    <w:p w14:paraId="31EDF03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REQ009：垃圾数量、停留时长、聚集区域自动统计 </w:t>
      </w:r>
    </w:p>
    <w:p w14:paraId="22EF482C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REQ010：事件自动截取视频片段、高清截图本地加密存储</w:t>
      </w:r>
    </w:p>
    <w:p w14:paraId="4BE49022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5.3智能研判与报告生成模块</w:t>
      </w:r>
    </w:p>
    <w:p w14:paraId="689E0A4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REQ01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：风险规则引擎，自定义各类事件风险评分阈值 </w:t>
      </w:r>
    </w:p>
    <w:p w14:paraId="36EA6B2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REQ01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2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：自动生成标准化处置工单，标注地点、证据、风险等级、建议部门 </w:t>
      </w:r>
    </w:p>
    <w:p w14:paraId="6710CA5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REQ01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3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：工单状态流转：待处置 / 处置中 / 已完成 / 复核归档 </w:t>
      </w:r>
    </w:p>
    <w:p w14:paraId="203D41EC">
      <w:pPr>
        <w:spacing w:after="120" w:line="240" w:lineRule="auto"/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REQ01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4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：重大事件优先推送，支持人工手动升级告警等级</w:t>
      </w:r>
    </w:p>
    <w:p w14:paraId="7B3E2F1A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5.4档案台账与报表导出模块</w:t>
      </w:r>
    </w:p>
    <w:p w14:paraId="5A2C47BE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15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：多边缘终端统一接入、设备在线状态监控 </w:t>
      </w:r>
    </w:p>
    <w:p w14:paraId="0347DFE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16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：全域事件汇总、区域统计看板可视化大屏 </w:t>
      </w:r>
    </w:p>
    <w:p w14:paraId="5885455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17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：历史图像、事件、传感数据长期归档，形成河道数字档案 </w:t>
      </w:r>
    </w:p>
    <w:p w14:paraId="30B19971">
      <w:pPr>
        <w:spacing w:after="120" w:line="240" w:lineRule="auto"/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18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：报表、事件证据包支持 Excel、PDF 批量导出</w:t>
      </w:r>
    </w:p>
    <w:p w14:paraId="26F55BA2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5.5系统权限与配置模块</w:t>
      </w:r>
    </w:p>
    <w:p w14:paraId="19FDE54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EQ0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19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：多级账号权限：管理员 / 运维 / 执法 / 只读查看账号 </w:t>
      </w:r>
    </w:p>
    <w:p w14:paraId="5817A69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REQ02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0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：摄像头、传感器、告警继电器参数统一配置 </w:t>
      </w:r>
    </w:p>
    <w:p w14:paraId="30D610A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REQ02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1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 xml:space="preserve">：识别模型一键本地更新、规则模板导入导出 </w:t>
      </w:r>
    </w:p>
    <w:p w14:paraId="30F27FDF">
      <w:pPr>
        <w:spacing w:after="120" w:line="240" w:lineRule="auto"/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REQ03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>2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：全操作日志、告警日志完整留存可检索</w:t>
      </w:r>
    </w:p>
    <w:p w14:paraId="2CDE2983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6 非功能DFX需求（关键验收基线）</w:t>
      </w:r>
    </w:p>
    <w:p w14:paraId="5C55D54D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6.1 性能需求</w:t>
      </w:r>
    </w:p>
    <w:p w14:paraId="76567AFB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视频 AI 推理延迟≤120ms；</w:t>
      </w:r>
    </w:p>
    <w:p w14:paraId="362DF73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触摸屏页面加载响应≤1 秒，云端大屏页面加载≤2 秒；</w:t>
      </w:r>
    </w:p>
    <w:p w14:paraId="66559DC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Jetson 终端内存峰值占用≤6GB，CPU 占用峰值≤75%；</w:t>
      </w:r>
    </w:p>
    <w:p w14:paraId="24D6D3CB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本地大模型问答响应≤2 秒，云端 API 问答缓存后≤1 秒；</w:t>
      </w:r>
    </w:p>
    <w:p w14:paraId="4400F56C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单终端稳定承载视频路传感器数据并行处理。</w:t>
      </w:r>
    </w:p>
    <w:p w14:paraId="7CFAEBCA">
      <w:pPr>
        <w:spacing w:after="120" w:line="240" w:lineRule="auto"/>
        <w:rPr>
          <w:rFonts w:ascii="Calibri" w:hAnsi="Calibri" w:eastAsia="微软雅黑"/>
          <w:sz w:val="21"/>
        </w:rPr>
      </w:pPr>
    </w:p>
    <w:p w14:paraId="0B708E38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6.2 兼容性需求</w:t>
      </w:r>
    </w:p>
    <w:p w14:paraId="683DCF1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边缘硬件：Jetson Orin Nano 完整适配；</w:t>
      </w:r>
    </w:p>
    <w:p w14:paraId="0EA0850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摄像头：兼容主流品牌 RTSP 标准流；</w:t>
      </w:r>
    </w:p>
    <w:p w14:paraId="4DB0316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传感器：支持 Modbus、RS485 通用工业协议；</w:t>
      </w:r>
    </w:p>
    <w:p w14:paraId="7CB5A037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云端管理平台兼容 Windows10/11 浏览器；</w:t>
      </w:r>
    </w:p>
    <w:p w14:paraId="1741BDCE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AI 模型支持 INT8 量化，适配边缘低算力环境。</w:t>
      </w:r>
    </w:p>
    <w:p w14:paraId="31766CD2">
      <w:pPr>
        <w:spacing w:after="120" w:line="240" w:lineRule="auto"/>
        <w:rPr>
          <w:rFonts w:ascii="Calibri" w:hAnsi="Calibri" w:eastAsia="微软雅黑"/>
          <w:sz w:val="21"/>
        </w:rPr>
      </w:pPr>
    </w:p>
    <w:p w14:paraId="27EE1BCC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6.3 安全与隐私需求</w:t>
      </w:r>
    </w:p>
    <w:p w14:paraId="10A8B9D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原始视频默认仅本地存储，无强制云端上传，断网数据不丢失；</w:t>
      </w:r>
    </w:p>
    <w:p w14:paraId="39AC283B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告警截图、视频片段加密存储，无权限账号不可查看；</w:t>
      </w:r>
    </w:p>
    <w:p w14:paraId="6296336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设备、平台接口均采用 Token 鉴权，禁止非法访问；</w:t>
      </w:r>
    </w:p>
    <w:p w14:paraId="7354C7C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所有操作、查看、下载行为留存日志，日志保存不少于 1 年；</w:t>
      </w:r>
    </w:p>
    <w:p w14:paraId="76DAB8F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视频画面可模糊处理无关行人面部，满足隐私保护要求。</w:t>
      </w:r>
    </w:p>
    <w:p w14:paraId="76100849">
      <w:pPr>
        <w:spacing w:after="120" w:line="240" w:lineRule="auto"/>
        <w:rPr>
          <w:rFonts w:ascii="Calibri" w:hAnsi="Calibri" w:eastAsia="微软雅黑"/>
          <w:sz w:val="21"/>
        </w:rPr>
      </w:pPr>
    </w:p>
    <w:p w14:paraId="6257A08F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6.4 可靠性需求</w:t>
      </w:r>
    </w:p>
    <w:p w14:paraId="2D8E1B6C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边缘终端支持 7×24 小时不间断稳定运行；</w:t>
      </w:r>
    </w:p>
    <w:p w14:paraId="250CD7D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外网断开后，AI 识别、告警、工单、存储全部本地正常工作；</w:t>
      </w:r>
    </w:p>
    <w:p w14:paraId="7E10D93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程序异常自动重启，重启后自动恢复视频、识别任务；</w:t>
      </w:r>
    </w:p>
    <w:p w14:paraId="7C1ACD7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存储空间不足时按时间自动清理早期视频，保留近 30 天告警证据；</w:t>
      </w:r>
    </w:p>
    <w:p w14:paraId="7ACD6C4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传感器断连自动标记异常，恢复后自动补传历史数据。</w:t>
      </w:r>
    </w:p>
    <w:p w14:paraId="1079867D">
      <w:pPr>
        <w:spacing w:after="120" w:line="240" w:lineRule="auto"/>
        <w:rPr>
          <w:rFonts w:ascii="Calibri" w:hAnsi="Calibri" w:eastAsia="微软雅黑"/>
          <w:sz w:val="21"/>
        </w:rPr>
      </w:pPr>
    </w:p>
    <w:p w14:paraId="170D4306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6.5 可维护性需求</w:t>
      </w:r>
    </w:p>
    <w:p w14:paraId="70435AF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系统日志分级：调试、信息、告警、错误，支持按类型导出；</w:t>
      </w:r>
    </w:p>
    <w:p w14:paraId="138A7106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识别阈值、告警开关、风险规则全部可视化配置，无需修改代码；</w:t>
      </w:r>
    </w:p>
    <w:p w14:paraId="368851A5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AI 模型支持本地离线一键更新，无需重新部署系统；</w:t>
      </w:r>
    </w:p>
    <w:p w14:paraId="247841D3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终端支持远程日志采集、故障诊断。</w:t>
      </w:r>
    </w:p>
    <w:p w14:paraId="2237E60A">
      <w:pPr>
        <w:spacing w:after="120" w:line="240" w:lineRule="auto"/>
        <w:rPr>
          <w:rFonts w:ascii="Calibri" w:hAnsi="Calibri" w:eastAsia="微软雅黑"/>
          <w:sz w:val="21"/>
        </w:rPr>
      </w:pPr>
    </w:p>
    <w:p w14:paraId="7C240215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6.6 合规需求</w:t>
      </w:r>
    </w:p>
    <w:p w14:paraId="368110E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满足《河湖长制信息化建设规范》事件取证、台账留存要求；</w:t>
      </w:r>
    </w:p>
    <w:p w14:paraId="67AB9AF8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视频、事件数据存储周期符合水利监管存档规定；</w:t>
      </w:r>
    </w:p>
    <w:p w14:paraId="53C3815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数据本地存储，满足政务数据不出属地合规要求；</w:t>
      </w:r>
    </w:p>
    <w:p w14:paraId="04EB508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事件证据格式可直接用于水政执法备查。</w:t>
      </w:r>
    </w:p>
    <w:p w14:paraId="6C7036EF">
      <w:pPr>
        <w:spacing w:after="120" w:line="240" w:lineRule="auto"/>
        <w:rPr>
          <w:rFonts w:ascii="Calibri" w:hAnsi="Calibri" w:eastAsia="微软雅黑"/>
          <w:sz w:val="21"/>
        </w:rPr>
      </w:pPr>
    </w:p>
    <w:p w14:paraId="459BFF02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7 数据与存储需求</w:t>
      </w:r>
    </w:p>
    <w:p w14:paraId="7A5AA479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7.1 业务数据库存储需求</w:t>
      </w:r>
    </w:p>
    <w:p w14:paraId="4F336458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存储实体：设备信息、告警事件记录、工单流转记录、账号权限、系统操作日志、传感器时序数据； 普通业务数据存储周期≥3 年，日志数据存储≥12 个月；支持按点位、时间、事件类型快速检索。</w:t>
      </w:r>
    </w:p>
    <w:p w14:paraId="50F028C1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7.2 向量知识库（RAG）存储需求</w:t>
      </w:r>
    </w:p>
    <w:p w14:paraId="54244132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支持 PDF、Word 格式水利法规、案例文档导入；</w:t>
      </w:r>
    </w:p>
    <w:p w14:paraId="049CDDC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单份文档上限 50MB，知识库总容量支持 10GB；</w:t>
      </w:r>
    </w:p>
    <w:p w14:paraId="3F60B29E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向量检索单次查询耗时≤2 秒；</w:t>
      </w:r>
    </w:p>
    <w:p w14:paraId="29A4D10F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支持新增、删除、更新知识库文档，自动重生成向量索引。</w:t>
      </w:r>
    </w:p>
    <w:p w14:paraId="7E6EA8E0">
      <w:pPr>
        <w:spacing w:after="120" w:line="240" w:lineRule="auto"/>
        <w:rPr>
          <w:rFonts w:ascii="Calibri" w:hAnsi="Calibri" w:eastAsia="微软雅黑"/>
          <w:sz w:val="21"/>
        </w:rPr>
      </w:pPr>
    </w:p>
    <w:p w14:paraId="3317DF2F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7.3 媒体文件存储需求</w:t>
      </w:r>
    </w:p>
    <w:p w14:paraId="6CC6E13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告警截图、事件短视频片段本地存储，默认保留 30 天；</w:t>
      </w:r>
    </w:p>
    <w:p w14:paraId="7B2042B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存储容量阈值触发自动清理，优先删除最早无执法标记视频；</w:t>
      </w:r>
    </w:p>
    <w:p w14:paraId="0BF48B0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媒体文件加密存储，导出证据包自动附带时间、点位水印；</w:t>
      </w:r>
    </w:p>
    <w:p w14:paraId="610BAF8B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支持重要事件手动锁定，不参与自动清理。</w:t>
      </w:r>
    </w:p>
    <w:p w14:paraId="190AE60C">
      <w:pPr>
        <w:spacing w:after="120" w:line="240" w:lineRule="auto"/>
        <w:rPr>
          <w:rFonts w:ascii="Calibri" w:hAnsi="Calibri" w:eastAsia="微软雅黑"/>
          <w:sz w:val="21"/>
        </w:rPr>
      </w:pPr>
    </w:p>
    <w:p w14:paraId="4E71CCAF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8 第三方依赖与外部接口需求</w:t>
      </w:r>
    </w:p>
    <w:p w14:paraId="19F2FA2F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8.1 本地AI模型依赖</w:t>
      </w:r>
    </w:p>
    <w:p w14:paraId="11C2824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河道多目标检测轻量化 YOLO-INT8 量化模型；</w:t>
      </w:r>
    </w:p>
    <w:p w14:paraId="4E933CC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河道风险评分轻量规则模型；</w:t>
      </w:r>
    </w:p>
    <w:p w14:paraId="35779F8A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本地小参数水利行业微调大模型； 全部模型支持离线本地加载，无需联网校验。</w:t>
      </w:r>
    </w:p>
    <w:p w14:paraId="0E7E8EC0">
      <w:pPr>
        <w:spacing w:after="120" w:line="240" w:lineRule="auto"/>
        <w:rPr>
          <w:rFonts w:ascii="Calibri" w:hAnsi="Calibri" w:eastAsia="微软雅黑"/>
          <w:sz w:val="21"/>
        </w:rPr>
      </w:pPr>
    </w:p>
    <w:p w14:paraId="66B75065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8.2 云端大模型API接口需求</w:t>
      </w:r>
    </w:p>
    <w:p w14:paraId="380C40D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云端 API 作为备选扩容方案，本地模型优先执行；</w:t>
      </w:r>
    </w:p>
    <w:p w14:paraId="4C09E86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设置调用限流，单终端每日调用上限 2000 次；</w:t>
      </w:r>
    </w:p>
    <w:p w14:paraId="5007343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接口故障自动降级切换至本地大模型，不中断业务；</w:t>
      </w:r>
    </w:p>
    <w:p w14:paraId="6299F9F1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问答结果本地缓存，重复问题直接读取缓存减少调用。</w:t>
      </w:r>
    </w:p>
    <w:p w14:paraId="1B32A236">
      <w:pPr>
        <w:spacing w:after="120" w:line="240" w:lineRule="auto"/>
        <w:rPr>
          <w:rFonts w:ascii="Calibri" w:hAnsi="Calibri" w:eastAsia="微软雅黑"/>
          <w:sz w:val="21"/>
        </w:rPr>
      </w:pPr>
    </w:p>
    <w:p w14:paraId="17492D4E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8.3 外部文件导入接口</w:t>
      </w:r>
    </w:p>
    <w:p w14:paraId="0B6CD409">
      <w:pPr>
        <w:spacing w:after="120" w:line="240" w:lineRule="auto"/>
        <w:rPr>
          <w:rFonts w:ascii="Calibri" w:hAnsi="Calibri" w:eastAsia="微软雅黑"/>
          <w:sz w:val="21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支持 PDF、Excel、MP4、图片格式导入；支持批量导入点位台账、法规文档、历史巡检记录。</w:t>
      </w:r>
    </w:p>
    <w:p w14:paraId="12E90B3D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9 需求分级管理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746412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566CB2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需求ID</w:t>
            </w:r>
          </w:p>
        </w:tc>
        <w:tc>
          <w:tcPr>
            <w:tcW w:w="2158" w:type="dxa"/>
          </w:tcPr>
          <w:p w14:paraId="19E572A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需求内容</w:t>
            </w:r>
          </w:p>
        </w:tc>
        <w:tc>
          <w:tcPr>
            <w:tcW w:w="2158" w:type="dxa"/>
          </w:tcPr>
          <w:p w14:paraId="3A4EA6C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分级P0/P1/P2</w:t>
            </w:r>
          </w:p>
        </w:tc>
        <w:tc>
          <w:tcPr>
            <w:tcW w:w="2158" w:type="dxa"/>
          </w:tcPr>
          <w:p w14:paraId="2776F652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归属模块</w:t>
            </w:r>
          </w:p>
        </w:tc>
      </w:tr>
      <w:tr w14:paraId="46EB20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59DA537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REQ001</w:t>
            </w:r>
          </w:p>
        </w:tc>
        <w:tc>
          <w:tcPr>
            <w:tcW w:w="2158" w:type="dxa"/>
          </w:tcPr>
          <w:p w14:paraId="5E13701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本地触摸屏实时视频、告警弹窗</w:t>
            </w:r>
          </w:p>
        </w:tc>
        <w:tc>
          <w:tcPr>
            <w:tcW w:w="2158" w:type="dxa"/>
          </w:tcPr>
          <w:p w14:paraId="7048B60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4EDAF65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本地交互模块</w:t>
            </w:r>
          </w:p>
        </w:tc>
      </w:tr>
      <w:tr w14:paraId="0F86B3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7D53C6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REQ002</w:t>
            </w:r>
          </w:p>
        </w:tc>
        <w:tc>
          <w:tcPr>
            <w:tcW w:w="2158" w:type="dxa"/>
          </w:tcPr>
          <w:p w14:paraId="4354509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RTSP 摄像头接入 + 本地 AI 目标识别</w:t>
            </w:r>
          </w:p>
        </w:tc>
        <w:tc>
          <w:tcPr>
            <w:tcW w:w="2158" w:type="dxa"/>
          </w:tcPr>
          <w:p w14:paraId="2570AC26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4FAA86C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AI 识别模块</w:t>
            </w:r>
          </w:p>
        </w:tc>
      </w:tr>
      <w:tr w14:paraId="62F560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E69DF3B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158" w:type="dxa"/>
          </w:tcPr>
          <w:p w14:paraId="2C1DD47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画面对比识别违建堆料</w:t>
            </w:r>
          </w:p>
        </w:tc>
        <w:tc>
          <w:tcPr>
            <w:tcW w:w="2158" w:type="dxa"/>
          </w:tcPr>
          <w:p w14:paraId="2FB151F6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590D87F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AI 识别模块</w:t>
            </w:r>
          </w:p>
        </w:tc>
      </w:tr>
      <w:tr w14:paraId="694A32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2158" w:type="dxa"/>
          </w:tcPr>
          <w:p w14:paraId="47FE1C73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158" w:type="dxa"/>
          </w:tcPr>
          <w:p w14:paraId="67744B9E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事件截图、视频自动留存</w:t>
            </w:r>
          </w:p>
        </w:tc>
        <w:tc>
          <w:tcPr>
            <w:tcW w:w="2158" w:type="dxa"/>
          </w:tcPr>
          <w:p w14:paraId="50832232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098F671B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AI 识别模块</w:t>
            </w:r>
          </w:p>
        </w:tc>
      </w:tr>
      <w:tr w14:paraId="683F87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DBD3E9D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158" w:type="dxa"/>
          </w:tcPr>
          <w:p w14:paraId="60EB6083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风险引擎自动分级</w:t>
            </w:r>
          </w:p>
        </w:tc>
        <w:tc>
          <w:tcPr>
            <w:tcW w:w="2158" w:type="dxa"/>
          </w:tcPr>
          <w:p w14:paraId="103184B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1ABC883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研判调度模块</w:t>
            </w:r>
          </w:p>
        </w:tc>
      </w:tr>
      <w:tr w14:paraId="1941658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7A2B064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158" w:type="dxa"/>
          </w:tcPr>
          <w:p w14:paraId="287FEA8E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自动生成处置工单、闭环归档</w:t>
            </w:r>
          </w:p>
        </w:tc>
        <w:tc>
          <w:tcPr>
            <w:tcW w:w="2158" w:type="dxa"/>
          </w:tcPr>
          <w:p w14:paraId="67E0FB8E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P0</w:t>
            </w:r>
          </w:p>
        </w:tc>
        <w:tc>
          <w:tcPr>
            <w:tcW w:w="2158" w:type="dxa"/>
          </w:tcPr>
          <w:p w14:paraId="15133B69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研判调度模块</w:t>
            </w:r>
          </w:p>
        </w:tc>
      </w:tr>
      <w:tr w14:paraId="4D51C28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4FBFE56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158" w:type="dxa"/>
          </w:tcPr>
          <w:p w14:paraId="6614803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基础温湿度环境传感器接入</w:t>
            </w:r>
          </w:p>
        </w:tc>
        <w:tc>
          <w:tcPr>
            <w:tcW w:w="2158" w:type="dxa"/>
          </w:tcPr>
          <w:p w14:paraId="51C8D5E5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2158" w:type="dxa"/>
          </w:tcPr>
          <w:p w14:paraId="0F18F05B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多模态融合模块</w:t>
            </w:r>
          </w:p>
        </w:tc>
      </w:tr>
      <w:tr w14:paraId="6637DF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B79B1F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158" w:type="dxa"/>
          </w:tcPr>
          <w:p w14:paraId="72AE26D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水位、水质、雨量传感器扩展接口</w:t>
            </w:r>
          </w:p>
        </w:tc>
        <w:tc>
          <w:tcPr>
            <w:tcW w:w="2158" w:type="dxa"/>
          </w:tcPr>
          <w:p w14:paraId="40678C7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2158" w:type="dxa"/>
          </w:tcPr>
          <w:p w14:paraId="57C37CA9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多模态融合模块</w:t>
            </w:r>
          </w:p>
        </w:tc>
      </w:tr>
      <w:tr w14:paraId="62A721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0166DC6">
            <w:pPr>
              <w:spacing w:after="120" w:line="240" w:lineRule="auto"/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2158" w:type="dxa"/>
          </w:tcPr>
          <w:p w14:paraId="2B88E7B4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RAG 法规知识库问答</w:t>
            </w:r>
          </w:p>
        </w:tc>
        <w:tc>
          <w:tcPr>
            <w:tcW w:w="2158" w:type="dxa"/>
          </w:tcPr>
          <w:p w14:paraId="16C70C7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2158" w:type="dxa"/>
          </w:tcPr>
          <w:p w14:paraId="3D4CB38C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大模型辅助模块</w:t>
            </w:r>
          </w:p>
        </w:tc>
      </w:tr>
      <w:tr w14:paraId="25518E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2D084D5">
            <w:pPr>
              <w:spacing w:after="120" w:line="240" w:lineRule="auto"/>
              <w:rPr>
                <w:rFonts w:hint="default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158" w:type="dxa"/>
          </w:tcPr>
          <w:p w14:paraId="2757299A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自动生成巡检日报月报</w:t>
            </w:r>
          </w:p>
        </w:tc>
        <w:tc>
          <w:tcPr>
            <w:tcW w:w="2158" w:type="dxa"/>
          </w:tcPr>
          <w:p w14:paraId="565157FC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2158" w:type="dxa"/>
          </w:tcPr>
          <w:p w14:paraId="18742F90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大模型辅助模块</w:t>
            </w:r>
          </w:p>
        </w:tc>
      </w:tr>
      <w:tr w14:paraId="204D34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CB3BF1D">
            <w:pPr>
              <w:spacing w:after="120" w:line="240" w:lineRule="auto"/>
              <w:rPr>
                <w:rFonts w:hint="default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2158" w:type="dxa"/>
          </w:tcPr>
          <w:p w14:paraId="0100A2E7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长期河道数字档案对比分析</w:t>
            </w:r>
          </w:p>
        </w:tc>
        <w:tc>
          <w:tcPr>
            <w:tcW w:w="2158" w:type="dxa"/>
          </w:tcPr>
          <w:p w14:paraId="5436B919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P2</w:t>
            </w:r>
          </w:p>
        </w:tc>
        <w:tc>
          <w:tcPr>
            <w:tcW w:w="2158" w:type="dxa"/>
          </w:tcPr>
          <w:p w14:paraId="78DC66AC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云端档案模块</w:t>
            </w:r>
          </w:p>
        </w:tc>
      </w:tr>
      <w:tr w14:paraId="636F5FA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406E8D2">
            <w:pPr>
              <w:spacing w:after="120" w:line="240" w:lineRule="auto"/>
              <w:rPr>
                <w:rFonts w:hint="default"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REQ0</w:t>
            </w:r>
            <w:r>
              <w:rPr>
                <w:rFonts w:hint="eastAsia" w:ascii="Calibri" w:hAnsi="Calibri" w:eastAsia="微软雅黑" w:cstheme="minorBidi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2158" w:type="dxa"/>
          </w:tcPr>
          <w:p w14:paraId="350504E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高发污染点位自动统计分析</w:t>
            </w:r>
          </w:p>
        </w:tc>
        <w:tc>
          <w:tcPr>
            <w:tcW w:w="2158" w:type="dxa"/>
          </w:tcPr>
          <w:p w14:paraId="04D2F577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P2</w:t>
            </w:r>
          </w:p>
        </w:tc>
        <w:tc>
          <w:tcPr>
            <w:tcW w:w="2158" w:type="dxa"/>
          </w:tcPr>
          <w:p w14:paraId="28150D91">
            <w:pPr>
              <w:spacing w:after="120" w:line="240" w:lineRule="auto"/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sz w:val="24"/>
                <w:szCs w:val="24"/>
                <w:lang w:val="en-US" w:eastAsia="zh-CN" w:bidi="ar-SA"/>
              </w:rPr>
              <w:t>大模型辅助模块</w:t>
            </w:r>
          </w:p>
        </w:tc>
      </w:tr>
    </w:tbl>
    <w:p w14:paraId="060ED02A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10 需求追溯与变更规则</w:t>
      </w:r>
    </w:p>
    <w:p w14:paraId="507DAE8A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10.1 需求追溯机制</w:t>
      </w:r>
    </w:p>
    <w:p w14:paraId="3CEC9686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每条需求分配唯一 REQ 编号，向下追溯至架构设计章节、模块详细设计文档、单元测试用例、集成测试场景、交付功能验收项；向上追溯至客户 VOC、项目 Charter 业务目标，形成全链路需求追溯台账，变更时同步更新全链路关联文档。</w:t>
      </w:r>
    </w:p>
    <w:p w14:paraId="05D345C6">
      <w:pPr>
        <w:pStyle w:val="5"/>
        <w:spacing w:before="240" w:after="120" w:line="276" w:lineRule="auto"/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</w:pPr>
      <w:r>
        <w:rPr>
          <w:rFonts w:hint="default" w:ascii="Calibri" w:hAnsi="Calibri" w:eastAsia="微软雅黑"/>
          <w:b/>
          <w:i w:val="0"/>
          <w:color w:val="000000"/>
          <w:sz w:val="24"/>
          <w:szCs w:val="24"/>
          <w:lang w:val="en-US" w:eastAsia="en-US"/>
        </w:rPr>
        <w:t>10.2 需求变更管控流程</w:t>
      </w:r>
    </w:p>
    <w:p w14:paraId="26E8577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需求变更提交《需求变更申请单》，写明变更内容、影响模块、工期 / 成本变动；</w:t>
      </w:r>
    </w:p>
    <w:p w14:paraId="505F83DB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PDT 全体评审变更影响，IPMT 重大变更需二次审批；</w:t>
      </w:r>
    </w:p>
    <w:p w14:paraId="718183A8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评审通过后更新 PRS 版本号，同步架构、测试、开发全部基线文档；</w:t>
      </w:r>
    </w:p>
    <w:p w14:paraId="1DAAF00E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TR1 完成基线锁定，TR2~TR6 阶段无审批变更禁止私自修改需求，阻断交付的 P0 变更需重新组织阶段评审。</w:t>
      </w:r>
    </w:p>
    <w:p w14:paraId="0C8C1DB5">
      <w:pPr>
        <w:spacing w:after="120" w:line="240" w:lineRule="auto"/>
        <w:rPr>
          <w:rFonts w:ascii="Calibri" w:hAnsi="Calibri" w:eastAsia="微软雅黑"/>
          <w:sz w:val="21"/>
        </w:rPr>
      </w:pPr>
    </w:p>
    <w:p w14:paraId="072B38D3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11 验收标准基线</w:t>
      </w:r>
    </w:p>
    <w:p w14:paraId="5F935604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全部 P0 级需求 100% 开发完成，功能可复现、满足用户预期；</w:t>
      </w:r>
    </w:p>
    <w:p w14:paraId="599BD139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所有性能、安全、可靠性、合规非功能指标全部达到文档量化标准；</w:t>
      </w:r>
    </w:p>
    <w:p w14:paraId="0DCF58E8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AI 识别精度、多模态融合、工单闭环核心指标通过现场河道试点实测验证；</w:t>
      </w:r>
    </w:p>
    <w:p w14:paraId="6056AE3D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断网离线运行、数据加密存储、证据留存等关键约束全部落地；</w:t>
      </w:r>
    </w:p>
    <w:p w14:paraId="785681B6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hint="default" w:ascii="Calibri" w:hAnsi="Calibri" w:eastAsia="微软雅黑" w:cstheme="minorBidi"/>
          <w:sz w:val="24"/>
          <w:szCs w:val="24"/>
          <w:lang w:val="en-US" w:eastAsia="zh-CN" w:bidi="ar-SA"/>
        </w:rPr>
        <w:t>·</w:t>
      </w:r>
      <w:r>
        <w:rPr>
          <w:rFonts w:hint="eastAsia" w:ascii="Calibri" w:hAnsi="Calibri" w:eastAsia="微软雅黑" w:cstheme="minorBidi"/>
          <w:sz w:val="24"/>
          <w:szCs w:val="24"/>
          <w:lang w:val="en-US" w:eastAsia="zh-CN" w:bidi="ar-SA"/>
        </w:rPr>
        <w:t xml:space="preserve">  </w:t>
      </w: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配套需求追溯台账、测试报告、用户操作手册齐全，方可进入 TR5 系统集成与 TR6 定型交付。</w:t>
      </w:r>
    </w:p>
    <w:p w14:paraId="47449223">
      <w:pPr>
        <w:spacing w:after="120" w:line="240" w:lineRule="auto"/>
        <w:rPr>
          <w:rFonts w:ascii="Calibri" w:hAnsi="Calibri" w:eastAsia="微软雅黑"/>
          <w:sz w:val="21"/>
        </w:rPr>
      </w:pPr>
    </w:p>
    <w:p w14:paraId="43B2D198">
      <w:pPr>
        <w:pStyle w:val="4"/>
        <w:spacing w:before="240" w:after="120" w:line="276" w:lineRule="auto"/>
        <w:rPr>
          <w:rFonts w:ascii="Calibri" w:hAnsi="Calibri" w:eastAsia="微软雅黑"/>
          <w:b/>
          <w:i w:val="0"/>
          <w:color w:val="000000"/>
          <w:sz w:val="30"/>
          <w:szCs w:val="30"/>
        </w:rPr>
      </w:pPr>
      <w:r>
        <w:rPr>
          <w:rFonts w:ascii="Calibri" w:hAnsi="Calibri" w:eastAsia="微软雅黑"/>
          <w:b/>
          <w:i w:val="0"/>
          <w:color w:val="000000"/>
          <w:sz w:val="30"/>
          <w:szCs w:val="30"/>
        </w:rPr>
        <w:t>12 附件清单</w:t>
      </w:r>
    </w:p>
    <w:p w14:paraId="7F096AAF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附件1：客户VOC需求访谈记录表</w:t>
      </w:r>
    </w:p>
    <w:p w14:paraId="37C644B6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附件2：业务场景流程图</w:t>
      </w:r>
    </w:p>
    <w:p w14:paraId="5B523623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附件3：AI智能体能力指标对照表</w:t>
      </w:r>
    </w:p>
    <w:p w14:paraId="3597F530">
      <w:pPr>
        <w:spacing w:after="120" w:line="240" w:lineRule="auto"/>
        <w:rPr>
          <w:rFonts w:ascii="Calibri" w:hAnsi="Calibri" w:eastAsia="微软雅黑" w:cstheme="minorBidi"/>
          <w:sz w:val="24"/>
          <w:szCs w:val="24"/>
          <w:lang w:val="en-US" w:eastAsia="zh-CN" w:bidi="ar-SA"/>
        </w:rPr>
      </w:pPr>
      <w:r>
        <w:rPr>
          <w:rFonts w:ascii="Calibri" w:hAnsi="Calibri" w:eastAsia="微软雅黑" w:cstheme="minorBidi"/>
          <w:sz w:val="24"/>
          <w:szCs w:val="24"/>
          <w:lang w:val="en-US" w:eastAsia="zh-CN" w:bidi="ar-SA"/>
        </w:rPr>
        <w:t>附件4：行业合规规范文件节选</w:t>
      </w:r>
    </w:p>
    <w:p w14:paraId="5D6CF1C5">
      <w:r>
        <w:br w:type="page"/>
      </w:r>
    </w:p>
    <w:p w14:paraId="35EA3D6C">
      <w:pPr>
        <w:pStyle w:val="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Word使用说明</w:t>
      </w:r>
    </w:p>
    <w:p w14:paraId="76D067A0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1.</w:t>
      </w:r>
      <w:r>
        <w:rPr>
          <w:rFonts w:ascii="Calibri" w:hAnsi="Calibri" w:eastAsia="微软雅黑"/>
          <w:sz w:val="21"/>
        </w:rPr>
        <w:t>排版：标题二号黑体，一级标题小三黑体，正文小四宋体，1.5倍行距</w:t>
      </w:r>
    </w:p>
    <w:p w14:paraId="0DC18267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2.</w:t>
      </w:r>
      <w:r>
        <w:rPr>
          <w:rFonts w:ascii="Calibri" w:hAnsi="Calibri" w:eastAsia="微软雅黑"/>
          <w:sz w:val="21"/>
        </w:rPr>
        <w:t>配套IPD流程：本PRS是TR1核心交付物，评审通过后作为全项目唯一需求基线</w:t>
      </w:r>
    </w:p>
    <w:p w14:paraId="19F3353A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3.</w:t>
      </w:r>
      <w:r>
        <w:rPr>
          <w:rFonts w:ascii="Calibri" w:hAnsi="Calibri" w:eastAsia="微软雅黑"/>
          <w:sz w:val="21"/>
        </w:rPr>
        <w:t>毕设简化：可删减复杂多版本变更流程，保留场景、AI智能体能力、DFX非功能需求核心板块</w:t>
      </w:r>
    </w:p>
    <w:p w14:paraId="5D85A056">
      <w:pPr>
        <w:pStyle w:val="14"/>
        <w:numPr>
          <w:ilvl w:val="0"/>
          <w:numId w:val="0"/>
        </w:numPr>
        <w:tabs>
          <w:tab w:val="clear" w:pos="360"/>
        </w:tabs>
        <w:spacing w:after="120" w:line="288" w:lineRule="auto"/>
        <w:ind w:left="360" w:leftChars="0" w:hanging="360" w:firstLineChars="0"/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4.</w:t>
      </w:r>
      <w:r>
        <w:rPr>
          <w:rFonts w:ascii="Calibri" w:hAnsi="Calibri" w:eastAsia="微软雅黑"/>
          <w:sz w:val="21"/>
        </w:rPr>
        <w:t>飞书适配：复制至飞书文档，关联多维表格需求台账、TR评审台账统一管控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F8381B"/>
    <w:rsid w:val="5A9B15D2"/>
    <w:rsid w:val="79A30B24"/>
    <w:rsid w:val="7EC5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1229</Words>
  <Characters>1356</Characters>
  <Lines>0</Lines>
  <Paragraphs>0</Paragraphs>
  <TotalTime>912</TotalTime>
  <ScaleCrop>false</ScaleCrop>
  <LinksUpToDate>false</LinksUpToDate>
  <CharactersWithSpaces>1432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邓招鼎</cp:lastModifiedBy>
  <dcterms:modified xsi:type="dcterms:W3CDTF">2026-07-21T09:03:43Z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eyJoZGlkIjoiNDAyN2MxM2NjNjVhMGJhN2JhN2FkNjA3MjRmMGY1NmUiLCJ1c2VySWQiOiIxNjEzODU0NzA1In0=</vt:lpwstr>
  </property>
  <property fmtid="{D5CDD505-2E9C-101B-9397-08002B2CF9AE}" pid="3" name="KSOProductBuildVer">
    <vt:lpwstr>2052-12.1.0.26381</vt:lpwstr>
  </property>
  <property fmtid="{D5CDD505-2E9C-101B-9397-08002B2CF9AE}" pid="4" name="ICV">
    <vt:lpwstr>C8B9B9DFC2444D78BAD49F446CFAC271_12</vt:lpwstr>
  </property>
</Properties>
</file>