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80" w:before="48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3366"/>
          <w:sz w:val="52"/>
          <w:szCs w:val="52"/>
          <w:rtl w:val="0"/>
        </w:rPr>
        <w:t xml:space="preserve">Cognizant CPI Migration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60" w:lineRule="auto"/>
        <w:rPr/>
      </w:pPr>
      <w:r w:rsidDel="00000000" w:rsidR="00000000" w:rsidRPr="00000000">
        <w:rPr>
          <w:rFonts w:ascii="Calibri" w:cs="Calibri" w:eastAsia="Calibri" w:hAnsi="Calibri"/>
          <w:color w:val="008080"/>
          <w:sz w:val="32"/>
          <w:szCs w:val="32"/>
          <w:rtl w:val="0"/>
        </w:rPr>
        <w:t xml:space="preserve">Solution Overview &amp; Functional Design Document (FDD)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Layout w:type="fixed"/>
        <w:tblLook w:val="0400"/>
      </w:tblPr>
      <w:tblGrid>
        <w:gridCol w:w="2880"/>
        <w:gridCol w:w="6480"/>
        <w:tblGridChange w:id="0">
          <w:tblGrid>
            <w:gridCol w:w="2880"/>
            <w:gridCol w:w="6480"/>
          </w:tblGrid>
        </w:tblGridChange>
      </w:tblGrid>
      <w:tr>
        <w:tc>
          <w:tcPr>
            <w:shd w:fill="eaecee" w:val="clear"/>
          </w:tcPr>
          <w:p w:rsidR="00000000" w:rsidDel="00000000" w:rsidP="00000000" w:rsidRDefault="00000000" w:rsidRPr="00000000" w14:paraId="00000003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color w:val="333333"/>
                <w:sz w:val="20"/>
                <w:szCs w:val="20"/>
                <w:rtl w:val="0"/>
              </w:rPr>
              <w:t xml:space="preserve">Document Version: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6f8" w:val="clear"/>
          </w:tcPr>
          <w:p w:rsidR="00000000" w:rsidDel="00000000" w:rsidP="00000000" w:rsidRDefault="00000000" w:rsidRPr="00000000" w14:paraId="00000004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eaecee" w:val="clear"/>
          </w:tcPr>
          <w:p w:rsidR="00000000" w:rsidDel="00000000" w:rsidP="00000000" w:rsidRDefault="00000000" w:rsidRPr="00000000" w14:paraId="00000005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color w:val="333333"/>
                <w:sz w:val="20"/>
                <w:szCs w:val="20"/>
                <w:rtl w:val="0"/>
              </w:rPr>
              <w:t xml:space="preserve">Document Type: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6f8" w:val="clear"/>
          </w:tcPr>
          <w:p w:rsidR="00000000" w:rsidDel="00000000" w:rsidP="00000000" w:rsidRDefault="00000000" w:rsidRPr="00000000" w14:paraId="00000006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Functional Design Document (FDD)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eaecee" w:val="clear"/>
          </w:tcPr>
          <w:p w:rsidR="00000000" w:rsidDel="00000000" w:rsidP="00000000" w:rsidRDefault="00000000" w:rsidRPr="00000000" w14:paraId="00000007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color w:val="333333"/>
                <w:sz w:val="20"/>
                <w:szCs w:val="20"/>
                <w:rtl w:val="0"/>
              </w:rPr>
              <w:t xml:space="preserve">Solution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6f8" w:val="clear"/>
          </w:tcPr>
          <w:p w:rsidR="00000000" w:rsidDel="00000000" w:rsidP="00000000" w:rsidRDefault="00000000" w:rsidRPr="00000000" w14:paraId="00000008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Cognizant CPI Migration 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eaecee" w:val="clear"/>
          </w:tcPr>
          <w:p w:rsidR="00000000" w:rsidDel="00000000" w:rsidP="00000000" w:rsidRDefault="00000000" w:rsidRPr="00000000" w14:paraId="00000009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color w:val="333333"/>
                <w:sz w:val="20"/>
                <w:szCs w:val="20"/>
                <w:rtl w:val="0"/>
              </w:rPr>
              <w:t xml:space="preserve">Organization: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6f8" w:val="clear"/>
          </w:tcPr>
          <w:p w:rsidR="00000000" w:rsidDel="00000000" w:rsidP="00000000" w:rsidRDefault="00000000" w:rsidRPr="00000000" w14:paraId="0000000A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Cognizant Technology Solutions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eaecee" w:val="clear"/>
          </w:tcPr>
          <w:p w:rsidR="00000000" w:rsidDel="00000000" w:rsidP="00000000" w:rsidRDefault="00000000" w:rsidRPr="00000000" w14:paraId="0000000B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color w:val="333333"/>
                <w:sz w:val="20"/>
                <w:szCs w:val="20"/>
                <w:rtl w:val="0"/>
              </w:rPr>
              <w:t xml:space="preserve">Date / Confidentiality: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6f8" w:val="clear"/>
          </w:tcPr>
          <w:p w:rsidR="00000000" w:rsidDel="00000000" w:rsidP="00000000" w:rsidRDefault="00000000" w:rsidRPr="00000000" w14:paraId="0000000C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July 31, 2026 | Internal Use Only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8080"/>
          <w:sz w:val="28"/>
          <w:szCs w:val="28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1. Executive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2. Business Background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3. Problem Statement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4. Proposed Solution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5. Solution Objectives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6. Solution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7. Functional Workflow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8. Functional Modules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9. Business Benefits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10. Resource &amp; Cost Optimization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11. Future Enhancements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12. Visual Representation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13. Conclusion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3366"/>
          <w:sz w:val="36"/>
          <w:szCs w:val="36"/>
          <w:rtl w:val="0"/>
        </w:rPr>
        <w:t xml:space="preserve">1. Executive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 CPI Migration Copilot is an intelligent browser-based assistant developed to support SAP Integration Suite (Cloud Integration / CPI) migration projects. The solution streamlines the migration process by providing real-time guidance, automated validation, and contextual recommendations during interface development.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Instead of repeatedly referring to migration inventory spreadsheets and manually verifying configuration values, consultants receive immediate assistance directly within the SAP Integration Suite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 solution transforms traditional migration activities into an intelligent, structured, and highly efficient workflow that significantly improves productivity while reducing implementation errors.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3366"/>
          <w:sz w:val="36"/>
          <w:szCs w:val="36"/>
          <w:rtl w:val="0"/>
        </w:rPr>
        <w:t xml:space="preserve">2. Business Background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Migration from SAP PI/PO to SAP Integration Suite typically involves reviewing large migration inventories containing interface configurations, adapter settings, routing logic, mappings, and transformation rules.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Consultants generally perform the following repetitive activities: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Search migration inventory spreadsheets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Compare configuration values manually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Validate adapter parameters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Review routing logic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Check mapping configurations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Configure SAP CPI accordingly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These repetitive validation activities increase implementation time and create opportunities for configuration inconsistencies.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3366"/>
          <w:sz w:val="36"/>
          <w:szCs w:val="36"/>
          <w:rtl w:val="0"/>
        </w:rPr>
        <w:t xml:space="preserve">3. Problem Statement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Current migration projects face several operational challenges: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Manual comparison between migration inventory and SAP CPI configuration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Time-consuming lookup across multiple Excel sheets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Increased risk of incorrect adapter configuration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Inconsistent implementation across consultants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Knowledge dependency on experienced migration specialists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Higher rework due to configuration mismatches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Reduced productivity during large-scale migration programs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These challenges directly affect delivery timelines, project quality, and implementation costs.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1"/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3366"/>
          <w:sz w:val="36"/>
          <w:szCs w:val="36"/>
          <w:rtl w:val="0"/>
        </w:rPr>
        <w:t xml:space="preserve">4. Proposed Solution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 CPI Migration Copilot provides an intelligent side-panel extension integrated with SAP Integration Suite.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 solution enables consultants 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Upload migration inventory workbooks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Search interfaces instantly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Review migration information in one location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Compare live CPI configuration with migration inventory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Receive validation results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Identify missing configuration fields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Receive context-aware migration guidance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Complete implementations with improved confidence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 extension functions as an intelligent migration companion throughout the implementation lifecycle.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1"/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3366"/>
          <w:sz w:val="36"/>
          <w:szCs w:val="36"/>
          <w:rtl w:val="0"/>
        </w:rPr>
        <w:t xml:space="preserve">5. Solution Objectives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 primary objectives of the solution include: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Accelerate SAP CPI migration 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Improve implementation accuracy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Minimize manual verification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Reduce configuration inconsistencies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Standardize migration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Improve consultant productivity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Simplify onboarding of new migration team members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Reduce project delivery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1"/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3366"/>
          <w:sz w:val="36"/>
          <w:szCs w:val="36"/>
          <w:rtl w:val="0"/>
        </w:rPr>
        <w:t xml:space="preserve">6. Solution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 architecture of the CPI Migration Copilot is designed to seamlessly integrate into the browser environment, connecting the SAP Integration Suite workspace directly with local migration artifacts.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120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7"/>
          <w:szCs w:val="17"/>
          <w:rtl w:val="0"/>
        </w:rPr>
        <w:t xml:space="preserve">+--------------------------------------------------------------+</w:t>
        <w:br w:type="textWrapping"/>
        <w:t xml:space="preserve">|                    SAP Integration Suite                     |</w:t>
        <w:br w:type="textWrapping"/>
        <w:t xml:space="preserve">|                  (Cloud Integration / CPI)                   |</w:t>
        <w:br w:type="textWrapping"/>
        <w:t xml:space="preserve">+---------------------------+----------------------------------+</w:t>
        <w:br w:type="textWrapping"/>
        <w:t xml:space="preserve">                            |</w:t>
        <w:br w:type="textWrapping"/>
        <w:t xml:space="preserve">                            |</w:t>
        <w:br w:type="textWrapping"/>
        <w:t xml:space="preserve">                  Browser Extension</w:t>
        <w:br w:type="textWrapping"/>
        <w:t xml:space="preserve">                            |</w:t>
        <w:br w:type="textWrapping"/>
        <w:t xml:space="preserve">        +--------------------------------------+</w:t>
        <w:br w:type="textWrapping"/>
        <w:t xml:space="preserve">        |       CPI Migration Copilot          |</w:t>
        <w:br w:type="textWrapping"/>
        <w:t xml:space="preserve">        +--------------------------------------+</w:t>
        <w:br w:type="textWrapping"/>
        <w:t xml:space="preserve">        |                                      |</w:t>
        <w:br w:type="textWrapping"/>
        <w:t xml:space="preserve">        |  User Interface Layer                |</w:t>
        <w:br w:type="textWrapping"/>
        <w:t xml:space="preserve">        |  HTML + CSS + JavaScript             |</w:t>
        <w:br w:type="textWrapping"/>
        <w:t xml:space="preserve">        |                                      |</w:t>
        <w:br w:type="textWrapping"/>
        <w:t xml:space="preserve">        +--------------------------------------+</w:t>
        <w:br w:type="textWrapping"/>
        <w:t xml:space="preserve">                        |</w:t>
        <w:br w:type="textWrapping"/>
        <w:t xml:space="preserve">        +--------------------------------------+</w:t>
        <w:br w:type="textWrapping"/>
        <w:t xml:space="preserve">        |  Excel Parsing &amp; Local Storage       |</w:t>
        <w:br w:type="textWrapping"/>
        <w:t xml:space="preserve">        |                                      |</w:t>
        <w:br w:type="textWrapping"/>
        <w:t xml:space="preserve">        |  Migration Inventory                 |</w:t>
        <w:br w:type="textWrapping"/>
        <w:t xml:space="preserve">        |  Browser Local Storage               |</w:t>
        <w:br w:type="textWrapping"/>
        <w:t xml:space="preserve">        +--------------------------------------+</w:t>
        <w:br w:type="textWrapping"/>
        <w:t xml:space="preserve">                        |</w:t>
        <w:br w:type="textWrapping"/>
        <w:t xml:space="preserve">        +--------------------------------------+</w:t>
        <w:br w:type="textWrapping"/>
        <w:t xml:space="preserve">        | Context Awareness Engine             |</w:t>
        <w:br w:type="textWrapping"/>
        <w:t xml:space="preserve">        |                                      |</w:t>
        <w:br w:type="textWrapping"/>
        <w:t xml:space="preserve">        | Reads Current CPI Screen             |</w:t>
        <w:br w:type="textWrapping"/>
        <w:t xml:space="preserve">        | Detects Active Component             |</w:t>
        <w:br w:type="textWrapping"/>
        <w:t xml:space="preserve">        +--------------------------------------+</w:t>
        <w:br w:type="textWrapping"/>
        <w:t xml:space="preserve">                        |</w:t>
        <w:br w:type="textWrapping"/>
        <w:t xml:space="preserve">        +--------------------------------------+</w:t>
        <w:br w:type="textWrapping"/>
        <w:t xml:space="preserve">        | Validation Engine                    |</w:t>
        <w:br w:type="textWrapping"/>
        <w:t xml:space="preserve">        |                                      |</w:t>
        <w:br w:type="textWrapping"/>
        <w:t xml:space="preserve">        | Compare Inventory                    |</w:t>
        <w:br w:type="textWrapping"/>
        <w:t xml:space="preserve">        | vs CPI Configuration                 |</w:t>
        <w:br w:type="textWrapping"/>
        <w:t xml:space="preserve">        +--------------------------------------+</w:t>
        <w:br w:type="textWrapping"/>
        <w:t xml:space="preserve">                        |</w:t>
        <w:br w:type="textWrapping"/>
        <w:t xml:space="preserve">        +--------------------------------------+</w:t>
        <w:br w:type="textWrapping"/>
        <w:t xml:space="preserve">        | Recommendation Engine                |</w:t>
        <w:br w:type="textWrapping"/>
        <w:t xml:space="preserve">        |                                      |</w:t>
        <w:br w:type="textWrapping"/>
        <w:t xml:space="preserve">        | Adapter Guidance                     |</w:t>
        <w:br w:type="textWrapping"/>
        <w:t xml:space="preserve">        | Mapping Suggestions                  |</w:t>
        <w:br w:type="textWrapping"/>
        <w:t xml:space="preserve">        | FCC Guidance                         |</w:t>
        <w:br w:type="textWrapping"/>
        <w:t xml:space="preserve">        | Routing Suggestions                  |</w:t>
        <w:br w:type="textWrapping"/>
        <w:t xml:space="preserve">        +--------------------------------------+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1"/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3366"/>
          <w:sz w:val="36"/>
          <w:szCs w:val="36"/>
          <w:rtl w:val="0"/>
        </w:rPr>
        <w:t xml:space="preserve">7. Functional Workflow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333333"/>
          <w:rtl w:val="0"/>
        </w:rPr>
        <w:t xml:space="preserve">Step 1 – Upload Migration Inventory: </w:t>
      </w: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 consultant uploads the migration inventory workbook containing interface configuration details.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333333"/>
          <w:rtl w:val="0"/>
        </w:rPr>
        <w:t xml:space="preserve">Step 2 – Parse Inventory: </w:t>
      </w: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 extension reads and parses the workbook, extracting all relevant migration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333333"/>
          <w:rtl w:val="0"/>
        </w:rPr>
        <w:t xml:space="preserve">Step 3 – Store Data: </w:t>
      </w: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 extracted information is securely stored within browser local storage for fast retrieval and offline access.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333333"/>
          <w:rtl w:val="0"/>
        </w:rPr>
        <w:t xml:space="preserve">Step 4 – Interface Selection: </w:t>
      </w: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Users search and select the required interface using Interface Name, Sender System, Receiver System, or Interface Identifier.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333333"/>
          <w:rtl w:val="0"/>
        </w:rPr>
        <w:t xml:space="preserve">Step 5 – Migration Overview: </w:t>
      </w: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 extension displays Sender Details, Receiver Details, Communication Pattern, Adapter Type, Mapping Details, Routing Logic, QoS, and Transformation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333333"/>
          <w:rtl w:val="0"/>
        </w:rPr>
        <w:t xml:space="preserve">Step 6 – Live CPI Validation: </w:t>
      </w: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While configuring SAP CPI, current configuration is detected, configuration fields are extracted, and inventory values are compared.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333333"/>
          <w:rtl w:val="0"/>
        </w:rPr>
        <w:t xml:space="preserve">Step 7 – Validation Results: </w:t>
      </w: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 extension categorizes validation results as Correct (✅), Missing (⚠), or Mismatch (❌). Each result includes recommendations for corrective action.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1"/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3366"/>
          <w:sz w:val="36"/>
          <w:szCs w:val="36"/>
          <w:rtl w:val="0"/>
        </w:rPr>
        <w:t xml:space="preserve">8. Functional Modules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8080"/>
          <w:sz w:val="28"/>
          <w:szCs w:val="28"/>
          <w:rtl w:val="0"/>
        </w:rPr>
        <w:t xml:space="preserve">8.1 Overview Module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Provides a consolidated migration dashboard including Interface Information, Sender System, Receiver System, Integration Pattern, Mapping Information, and Recommended CPI Design.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8080"/>
          <w:sz w:val="28"/>
          <w:szCs w:val="28"/>
          <w:rtl w:val="0"/>
        </w:rPr>
        <w:t xml:space="preserve">8.2 Adapter Validation Module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Validates sender and receiver adapter configurations. Supported validation parameters include: Host, Port, Directory, Authentication, Security, Encoding, File Name Pattern, Polling Configuration, and Transport Protocol.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8080"/>
          <w:sz w:val="28"/>
          <w:szCs w:val="28"/>
          <w:rtl w:val="0"/>
        </w:rPr>
        <w:t xml:space="preserve">8.3 Router &amp; Mapping Guidance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Provides migration assistance for Routing Conditions, Receiver Determination, Message Mapping, Operation Mapping, and CPI Flow Adaptation.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8080"/>
          <w:sz w:val="28"/>
          <w:szCs w:val="28"/>
          <w:rtl w:val="0"/>
        </w:rPr>
        <w:t xml:space="preserve">8.4 FCC &amp; Conversion Support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Supports migration of file conversion scenarios including Fixed Length Files, Delimited Files, XML Conversion, CSV Processing, and File Content Conversion (FCC). The module recommends the most appropriate CPI transformation approach.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8080"/>
          <w:sz w:val="28"/>
          <w:szCs w:val="28"/>
          <w:rtl w:val="0"/>
        </w:rPr>
        <w:t xml:space="preserve">8.5 Validation Engine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Automatically compares inventory baseline values against active CPI configurations: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center"/>
        <w:tblLayout w:type="fixed"/>
        <w:tblLook w:val="0400"/>
      </w:tblPr>
      <w:tblGrid>
        <w:gridCol w:w="2880"/>
        <w:gridCol w:w="2880"/>
        <w:gridCol w:w="3600"/>
        <w:tblGridChange w:id="0">
          <w:tblGrid>
            <w:gridCol w:w="2880"/>
            <w:gridCol w:w="2880"/>
            <w:gridCol w:w="3600"/>
          </w:tblGrid>
        </w:tblGridChange>
      </w:tblGrid>
      <w:tr>
        <w:tc>
          <w:tcPr>
            <w:shd w:fill="003366" w:val="clear"/>
          </w:tcPr>
          <w:p w:rsidR="00000000" w:rsidDel="00000000" w:rsidP="00000000" w:rsidRDefault="00000000" w:rsidRPr="00000000" w14:paraId="00000060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color w:val="ffffff"/>
                <w:sz w:val="20"/>
                <w:szCs w:val="20"/>
                <w:rtl w:val="0"/>
              </w:rPr>
              <w:t xml:space="preserve">Inventory 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61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color w:val="ffffff"/>
                <w:sz w:val="20"/>
                <w:szCs w:val="20"/>
                <w:rtl w:val="0"/>
              </w:rPr>
              <w:t xml:space="preserve">CPI Configuration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62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color w:val="ffffff"/>
                <w:sz w:val="20"/>
                <w:szCs w:val="20"/>
                <w:rtl w:val="0"/>
              </w:rPr>
              <w:t xml:space="preserve">Validation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ffffff" w:val="clear"/>
          </w:tcPr>
          <w:p w:rsidR="00000000" w:rsidDel="00000000" w:rsidP="00000000" w:rsidRDefault="00000000" w:rsidRPr="00000000" w14:paraId="00000063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Host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4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Host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5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Match / Mismatch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f4f6f8" w:val="clear"/>
          </w:tcPr>
          <w:p w:rsidR="00000000" w:rsidDel="00000000" w:rsidP="00000000" w:rsidRDefault="00000000" w:rsidRPr="00000000" w14:paraId="00000066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Directory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6f8" w:val="clear"/>
          </w:tcPr>
          <w:p w:rsidR="00000000" w:rsidDel="00000000" w:rsidP="00000000" w:rsidRDefault="00000000" w:rsidRPr="00000000" w14:paraId="00000067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Directory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6f8" w:val="clear"/>
          </w:tcPr>
          <w:p w:rsidR="00000000" w:rsidDel="00000000" w:rsidP="00000000" w:rsidRDefault="00000000" w:rsidRPr="00000000" w14:paraId="00000068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Match / Mismatch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ffffff" w:val="clear"/>
          </w:tcPr>
          <w:p w:rsidR="00000000" w:rsidDel="00000000" w:rsidP="00000000" w:rsidRDefault="00000000" w:rsidRPr="00000000" w14:paraId="00000069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A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B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Match / Mismatch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f4f6f8" w:val="clear"/>
          </w:tcPr>
          <w:p w:rsidR="00000000" w:rsidDel="00000000" w:rsidP="00000000" w:rsidRDefault="00000000" w:rsidRPr="00000000" w14:paraId="0000006C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QoS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6f8" w:val="clear"/>
          </w:tcPr>
          <w:p w:rsidR="00000000" w:rsidDel="00000000" w:rsidP="00000000" w:rsidRDefault="00000000" w:rsidRPr="00000000" w14:paraId="0000006D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QoS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6f8" w:val="clear"/>
          </w:tcPr>
          <w:p w:rsidR="00000000" w:rsidDel="00000000" w:rsidP="00000000" w:rsidRDefault="00000000" w:rsidRPr="00000000" w14:paraId="0000006E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Match / Mismatch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ffffff" w:val="clear"/>
          </w:tcPr>
          <w:p w:rsidR="00000000" w:rsidDel="00000000" w:rsidP="00000000" w:rsidRDefault="00000000" w:rsidRPr="00000000" w14:paraId="0000006F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Mapping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0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Mapping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1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Match / Mismatch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1"/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3366"/>
          <w:sz w:val="36"/>
          <w:szCs w:val="36"/>
          <w:rtl w:val="0"/>
        </w:rPr>
        <w:t xml:space="preserve">9. Business Benefits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 CPI Migration Copilot delivers measurable improvements across migration projects: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Faster Migration: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Reduces time spent searching migration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Enhanced Efficiency: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Accelerates interface implementation and improves consultant efficiency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Improved Accuracy: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Automated validation significantly reduces incorrect adapter configurations, missing parameters, human error, and rework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Standardized Migration: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Provides a consistent implementation approach across teams, ensuring better governance, higher quality, and uniform delivery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Knowledge Transfer: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Assists new consultants by providing guided implementation rather than relying solely on project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Reduced Project Risk: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Continuous validation minimizes implementation issues before deployment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1"/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3366"/>
          <w:sz w:val="36"/>
          <w:szCs w:val="36"/>
          <w:rtl w:val="0"/>
        </w:rPr>
        <w:t xml:space="preserve">10. Resource &amp; Cost Optimization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 solution contributes directly to project cost savings by: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Reducing manual validation effort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Minimizing repeated review cycles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Preventing configuration defects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Improving consultant productivity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Reducing implementation rework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Supporting faster project delivery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For large migration programs involving hundreds of interfaces, these improvements translate into significant reductions in delivery effort and operational cost.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1"/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3366"/>
          <w:sz w:val="36"/>
          <w:szCs w:val="36"/>
          <w:rtl w:val="0"/>
        </w:rPr>
        <w:t xml:space="preserve">11. Future Enhancements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Potential roadmap enhancements include: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AI-powered migration recommendations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Automatic iFlow generation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Intelligent adapter mapping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SAP PO object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BPM migration assistance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ESR artifact interpretation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Automated documentation generation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Integration with SAP Cloud ALM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Migration progress dashboard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Risk prediction and quality scoring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Multi-project migration inventory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1"/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3366"/>
          <w:sz w:val="36"/>
          <w:szCs w:val="36"/>
          <w:rtl w:val="0"/>
        </w:rPr>
        <w:t xml:space="preserve">12. Visual Representation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 figures below illustrate the CPI Migration Copilot user interface panels integrated directly into the SAP Integration Suite workspace: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1"/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color w:val="003366"/>
          <w:sz w:val="36"/>
          <w:szCs w:val="36"/>
          <w:rtl w:val="0"/>
        </w:rPr>
        <w:t xml:space="preserve">13. Conclusion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The CPI Migration Copilot modernizes SAP PI/PO to SAP Integration Suite migration by combining migration inventory intelligence, real-time configuration validation, and context-aware implementation guidance into a unified browser extension. By reducing manual effort, improving configuration accuracy, and standardizing migration practices, the solution enables organizations to accelerate delivery while maintaining high quality and consistency.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>
          <w:rFonts w:ascii="Calibri" w:cs="Calibri" w:eastAsia="Calibri" w:hAnsi="Calibri"/>
          <w:color w:val="333333"/>
        </w:rPr>
      </w:pPr>
      <w:r w:rsidDel="00000000" w:rsidR="00000000" w:rsidRPr="00000000">
        <w:rPr>
          <w:rFonts w:ascii="Calibri" w:cs="Calibri" w:eastAsia="Calibri" w:hAnsi="Calibri"/>
          <w:color w:val="333333"/>
          <w:rtl w:val="0"/>
        </w:rPr>
        <w:t xml:space="preserve">Designed to integrate seamlessly into consultants' existing workflows, the Copilot supports efficient execution of complex migration projects and provides a scalable foundation for future AI-assisted capabilities such as automated iFlow generation, intelligent recommendations, and advanced migration analytics. It represents a practical accelerator for organizations seeking faster, more reliable, and cost-effective SAP integration modernization initiatives.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Calibri" w:cs="Calibri" w:eastAsia="Calibri" w:hAnsi="Calibri"/>
          <w:color w:val="33333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1"/>
        <w:spacing w:after="120" w:before="360" w:lineRule="auto"/>
        <w:rPr>
          <w:rFonts w:ascii="Calibri" w:cs="Calibri" w:eastAsia="Calibri" w:hAnsi="Calibri"/>
          <w:b w:val="1"/>
          <w:color w:val="003366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003366"/>
          <w:sz w:val="36"/>
          <w:szCs w:val="36"/>
          <w:rtl w:val="0"/>
        </w:rPr>
        <w:t xml:space="preserve">14. Snapshot</w:t>
      </w:r>
    </w:p>
    <w:p w:rsidR="00000000" w:rsidDel="00000000" w:rsidP="00000000" w:rsidRDefault="00000000" w:rsidRPr="00000000" w14:paraId="00000098">
      <w:pPr>
        <w:keepNext w:val="1"/>
        <w:spacing w:after="120" w:before="360" w:lineRule="auto"/>
        <w:rPr>
          <w:rFonts w:ascii="Calibri" w:cs="Calibri" w:eastAsia="Calibri" w:hAnsi="Calibri"/>
          <w:b w:val="1"/>
          <w:color w:val="003366"/>
          <w:sz w:val="36"/>
          <w:szCs w:val="36"/>
        </w:rPr>
      </w:pPr>
      <w:r w:rsidDel="00000000" w:rsidR="00000000" w:rsidRPr="00000000">
        <w:rPr/>
        <w:drawing>
          <wp:inline distB="0" distT="0" distL="0" distR="0">
            <wp:extent cx="5943600" cy="334518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mc:AlternateContent>
          <mc:Choice Requires="wps">
            <w:drawing>
              <wp:inline distB="0" distT="0" distL="0" distR="0">
                <wp:extent cx="304800" cy="304800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/>
                          <a:ext uri="{91240B29-F687-4F45-9708-019B960494DF}"/>
                        </a:extLst>
                      </wps:spPr>
                      <wps:bodyPr anchorCtr="0" anchor="t" bIns="45720" lIns="91440" rIns="91440" rot="0" upright="1" vert="horz" wrap="square" tIns="4572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304800" cy="304800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4800" cy="3048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1"/>
        <w:spacing w:after="120"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Courier New"/>
  <w:font w:name="Noto Sans Symbol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