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100" w:after="100"/>
        <w:rPr/>
      </w:pPr>
      <w:r>
        <w:rPr/>
        <w:t>Smart Hydration Tracker: A Water Intake Monitoring System with a Portable Design and High Performance</w:t>
      </w:r>
    </w:p>
    <w:p>
      <w:pPr>
        <w:pStyle w:val="Author"/>
        <w:spacing w:lineRule="auto" w:line="120" w:before="100" w:after="100"/>
        <w:rPr>
          <w:sz w:val="16"/>
          <w:szCs w:val="16"/>
        </w:rPr>
      </w:pPr>
      <w:r>
        <w:rPr>
          <w:sz w:val="16"/>
          <w:szCs w:val="16"/>
        </w:rPr>
        <w:t>*Note: Sub-titles are not captured in Xplore and should not be used</w:t>
      </w:r>
    </w:p>
    <w:p>
      <w:pPr>
        <w:pStyle w:val="Author"/>
        <w:spacing w:lineRule="auto" w:line="120" w:before="100" w:after="100"/>
        <w:rPr>
          <w:sz w:val="16"/>
          <w:szCs w:val="16"/>
        </w:rPr>
      </w:pPr>
      <w:r>
        <w:rPr>
          <w:sz w:val="16"/>
          <w:szCs w:val="16"/>
        </w:rPr>
      </w:r>
    </w:p>
    <w:p>
      <w:pPr>
        <w:sectPr>
          <w:footerReference w:type="default" r:id="rId2"/>
          <w:footerReference w:type="first" r:id="rId3"/>
          <w:type w:val="nextPage"/>
          <w:pgSz w:w="11906" w:h="16838"/>
          <w:pgMar w:left="893" w:right="893" w:gutter="0" w:header="0" w:top="540" w:footer="720" w:bottom="1440"/>
          <w:pgNumType w:fmt="decimal"/>
          <w:formProt w:val="false"/>
          <w:titlePg/>
          <w:textDirection w:val="lrTb"/>
          <w:docGrid w:type="default" w:linePitch="360" w:charSpace="0"/>
        </w:sectPr>
      </w:pPr>
    </w:p>
    <w:p>
      <w:pPr>
        <w:pStyle w:val="Author"/>
        <w:spacing w:before="100" w:after="40"/>
        <w:rPr/>
      </w:pPr>
      <w:r>
        <w:rPr>
          <w:sz w:val="18"/>
          <w:szCs w:val="18"/>
        </w:rPr>
        <w:t>Rahul Raj R</w:t>
      </w:r>
      <w:r>
        <w:rPr>
          <w:sz w:val="18"/>
          <w:szCs w:val="18"/>
        </w:rPr>
        <w:br/>
      </w:r>
      <w:r>
        <w:rPr>
          <w:i/>
          <w:sz w:val="18"/>
          <w:szCs w:val="18"/>
        </w:rPr>
        <w:t xml:space="preserve">dept. </w:t>
      </w:r>
      <w:r>
        <w:rPr>
          <w:i/>
          <w:sz w:val="18"/>
          <w:szCs w:val="18"/>
        </w:rPr>
        <w:t>of Electrical Engineering</w:t>
      </w:r>
      <w:r>
        <w:rPr>
          <w:sz w:val="18"/>
          <w:szCs w:val="18"/>
        </w:rPr>
        <w:br/>
      </w:r>
      <w:r>
        <w:rPr>
          <w:sz w:val="18"/>
          <w:szCs w:val="18"/>
        </w:rPr>
        <w:t>Vellore Institute of Technology Chennai Campus</w:t>
      </w:r>
      <w:r>
        <w:rPr>
          <w:i/>
          <w:sz w:val="18"/>
          <w:szCs w:val="18"/>
        </w:rPr>
        <w:br/>
      </w:r>
      <w:r>
        <w:rPr>
          <w:i/>
          <w:sz w:val="18"/>
          <w:szCs w:val="18"/>
        </w:rPr>
        <w:t>Chennai,India</w:t>
      </w:r>
      <w:r>
        <w:rPr>
          <w:sz w:val="18"/>
          <w:szCs w:val="18"/>
        </w:rPr>
        <w:br/>
        <w:t>line 5: email address or ORCID</w:t>
      </w:r>
    </w:p>
    <w:p>
      <w:pPr>
        <w:pStyle w:val="Author"/>
        <w:spacing w:before="100" w:after="40"/>
        <w:rPr/>
      </w:pPr>
      <w:r>
        <w:br w:type="column"/>
      </w:r>
      <w:r>
        <w:rPr>
          <w:sz w:val="18"/>
          <w:szCs w:val="18"/>
        </w:rPr>
        <w:t>Shrinidhi</w:t>
      </w:r>
      <w:r>
        <w:rPr>
          <w:sz w:val="18"/>
          <w:szCs w:val="18"/>
        </w:rPr>
        <w:br/>
      </w:r>
      <w:r>
        <w:rPr>
          <w:i/>
          <w:sz w:val="18"/>
          <w:szCs w:val="18"/>
        </w:rPr>
        <w:t xml:space="preserve">dept. </w:t>
      </w:r>
      <w:r>
        <w:rPr>
          <w:i/>
          <w:sz w:val="18"/>
          <w:szCs w:val="18"/>
        </w:rPr>
        <w:t>of Electrical Engineering</w:t>
      </w:r>
      <w:r>
        <w:rPr>
          <w:i/>
          <w:sz w:val="18"/>
          <w:szCs w:val="18"/>
        </w:rPr>
        <w:t xml:space="preserve"> </w:t>
        <w:br/>
      </w:r>
      <w:r>
        <w:rPr>
          <w:i/>
          <w:sz w:val="18"/>
          <w:szCs w:val="18"/>
        </w:rPr>
        <w:t>Vellore Institute of Technology Chennai Campus</w:t>
      </w:r>
      <w:r>
        <w:rPr>
          <w:i/>
          <w:sz w:val="18"/>
          <w:szCs w:val="18"/>
        </w:rPr>
        <w:br/>
      </w:r>
      <w:r>
        <w:rPr>
          <w:i/>
          <w:sz w:val="18"/>
          <w:szCs w:val="18"/>
        </w:rPr>
        <w:t>Chennai,India</w:t>
      </w:r>
      <w:r>
        <w:rPr>
          <w:sz w:val="18"/>
          <w:szCs w:val="18"/>
        </w:rPr>
        <w:br/>
        <w:t>line 5: email address or ORCID</w:t>
      </w:r>
    </w:p>
    <w:p>
      <w:pPr>
        <w:pStyle w:val="Author"/>
        <w:spacing w:before="100" w:after="40"/>
        <w:rPr>
          <w:sz w:val="18"/>
          <w:szCs w:val="18"/>
        </w:rPr>
      </w:pPr>
      <w:r>
        <w:rPr/>
      </w:r>
    </w:p>
    <w:p>
      <w:pPr>
        <w:pStyle w:val="Author"/>
        <w:spacing w:before="100" w:after="40"/>
        <w:rPr/>
      </w:pPr>
      <w:r>
        <w:br w:type="column"/>
      </w:r>
      <w:r>
        <w:rPr>
          <w:sz w:val="18"/>
          <w:szCs w:val="18"/>
        </w:rPr>
        <w:t>Aswin S D</w:t>
      </w:r>
      <w:r>
        <w:rPr>
          <w:sz w:val="18"/>
          <w:szCs w:val="18"/>
        </w:rPr>
        <w:br/>
      </w:r>
      <w:r>
        <w:rPr>
          <w:i/>
          <w:sz w:val="18"/>
          <w:szCs w:val="18"/>
        </w:rPr>
        <w:t xml:space="preserve">dept. </w:t>
      </w:r>
      <w:r>
        <w:rPr>
          <w:i/>
          <w:sz w:val="18"/>
          <w:szCs w:val="18"/>
        </w:rPr>
        <w:t>of Electrical Engineering</w:t>
      </w:r>
      <w:r>
        <w:rPr>
          <w:i/>
          <w:sz w:val="18"/>
          <w:szCs w:val="18"/>
        </w:rPr>
        <w:br/>
      </w:r>
      <w:r>
        <w:rPr>
          <w:i/>
          <w:sz w:val="18"/>
          <w:szCs w:val="18"/>
        </w:rPr>
        <w:t>Vellore Institute of Technology Chennai Campus</w:t>
      </w:r>
      <w:r>
        <w:rPr>
          <w:i/>
          <w:sz w:val="18"/>
          <w:szCs w:val="18"/>
        </w:rPr>
        <w:br/>
      </w:r>
      <w:r>
        <w:rPr>
          <w:i/>
          <w:sz w:val="18"/>
          <w:szCs w:val="18"/>
        </w:rPr>
        <w:t>Chennai,India</w:t>
      </w:r>
      <w:r>
        <w:rPr>
          <w:sz w:val="18"/>
          <w:szCs w:val="18"/>
        </w:rPr>
        <w:br/>
        <w:t>line 5: email address or ORCID</w:t>
      </w:r>
    </w:p>
    <w:p>
      <w:pPr>
        <w:pStyle w:val="Author"/>
        <w:spacing w:before="100" w:after="40"/>
        <w:rPr/>
      </w:pP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0"/>
        </w:sectPr>
      </w:pPr>
    </w:p>
    <w:p>
      <w:pPr>
        <w:pStyle w:val="Normal"/>
        <w:numPr>
          <w:ilvl w:val="0"/>
          <w:numId w:val="0"/>
        </w:numPr>
        <w:rPr/>
      </w:pP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0"/>
        </w:sectPr>
      </w:pPr>
    </w:p>
    <w:p>
      <w:pPr>
        <w:pStyle w:val="Abstract"/>
        <w:rPr/>
      </w:pPr>
      <w:r>
        <w:rPr>
          <w:i/>
          <w:iCs/>
        </w:rPr>
        <w:t>Abstract</w:t>
      </w:r>
      <w:r>
        <w:rPr/>
        <w:t>—</w:t>
      </w:r>
      <w:r>
        <w:rPr>
          <w:iCs/>
        </w:rPr>
        <w:t xml:space="preserve">A </w:t>
      </w:r>
      <w:r>
        <w:rPr>
          <w:iCs/>
        </w:rPr>
        <w:t>Internet of Things (IOT)</w:t>
      </w:r>
      <w:r>
        <w:rPr>
          <w:iCs/>
        </w:rPr>
        <w:t xml:space="preserve"> based hydration monitoring and computing system using a miniature </w:t>
      </w:r>
      <w:r>
        <w:rPr>
          <w:iCs/>
        </w:rPr>
        <w:t>Force sensitive Resistor</w:t>
      </w:r>
      <w:r>
        <w:rPr>
          <w:iCs/>
        </w:rPr>
        <w:t xml:space="preserve"> and </w:t>
      </w:r>
      <w:r>
        <w:rPr>
          <w:iCs/>
        </w:rPr>
        <w:t>B</w:t>
      </w:r>
      <w:r>
        <w:rPr>
          <w:iCs/>
        </w:rPr>
        <w:t xml:space="preserve">luetooth </w:t>
      </w:r>
      <w:r>
        <w:rPr>
          <w:iCs/>
        </w:rPr>
        <w:t>and WiFi</w:t>
      </w:r>
      <w:r>
        <w:rPr>
          <w:iCs/>
        </w:rPr>
        <w:t xml:space="preserve"> connectivity with works as a accessory  to the water bottle </w:t>
      </w:r>
      <w:r>
        <w:rPr>
          <w:iCs/>
        </w:rPr>
        <w:t xml:space="preserve">by regularly measuring the amount of water present in the bottle and send the real-time data to the mobile app wirelessly and gives you remainder regularly depending on the weather, humidity and body mass Index of the user. </w:t>
      </w:r>
      <w:r>
        <w:rPr>
          <w:iCs/>
        </w:rPr>
        <w:t>The circuit uses a miniature microcontroller to process the analog data from the sensor and LiPo battery to for longetivity.</w:t>
      </w:r>
    </w:p>
    <w:p>
      <w:pPr>
        <w:pStyle w:val="Keywords"/>
        <w:rPr/>
      </w:pPr>
      <w:r>
        <w:rPr/>
        <w:t>Keywords—</w:t>
      </w:r>
      <w:r>
        <w:rPr/>
        <w:t>Force Sensitive Resistor</w:t>
      </w:r>
      <w:r>
        <w:rPr/>
        <w:t xml:space="preserve">, hydration, IOT, monitoring, </w:t>
      </w:r>
      <w:r>
        <w:rPr/>
        <w:t>ESP32</w:t>
      </w:r>
      <w:r>
        <w:rPr/>
        <w:t>, smart-life</w:t>
      </w:r>
    </w:p>
    <w:p>
      <w:pPr>
        <w:pStyle w:val="Heading1"/>
        <w:rPr/>
      </w:pPr>
      <w:r>
        <w:rPr/>
        <w:t xml:space="preserve">Introduction </w:t>
      </w:r>
    </w:p>
    <w:p>
      <w:pPr>
        <w:pStyle w:val="BodyText"/>
        <w:rPr/>
      </w:pPr>
      <w:r>
        <w:rPr/>
        <w:t>While hydration is central to one’s well-being, a majority still face challenges in tracking their daily water intake. The goal of our project is to develop a Smart Hydration Tracker which is a portable device that tracks water consumption in real-time. The system comprises of a thin coaster type sensor module that can be stuck onto any water container or bottle. It employs a weight measurement technology that has load cells which capture the weight of the empty bottle or container. The sensors are then able to record water volume as the user drinks from the container</w:t>
      </w:r>
    </w:p>
    <w:p>
      <w:pPr>
        <w:pStyle w:val="BodyText"/>
        <w:rPr/>
      </w:pPr>
      <w:r>
        <w:rPr/>
        <w:t>A microcontroller such as PIC or ARM forms the base of this device. This microcontroller handles the processing of sensor data and updates the users on the existing water levels in real-time. Users can be reminded of their optimum water consumption levels through VIA Bluetooth or Wi-Fi. These features can help users stay hydrated. Interfaces like a mobile app can be incorporated into the system for daily water consumption logs and further hydration guidance to meet the user's needs.</w:t>
      </w:r>
    </w:p>
    <w:p>
      <w:pPr>
        <w:pStyle w:val="BodyText"/>
        <w:rPr/>
      </w:pPr>
      <w:r>
        <w:rPr/>
        <w:t xml:space="preserve">All the available gadgets available in the current market are </w:t>
      </w:r>
      <w:r>
        <w:rPr/>
        <w:t xml:space="preserve">in-built with the bottle itself or requires manual tracking of water intake which </w:t>
      </w:r>
      <w:r>
        <w:rPr/>
        <w:t xml:space="preserve">might be hard for most people to stick with it or too tiring. This device removes both cons of the and can be used with any water bottles that user may have and it requires little to no effort in tracking and can also be in hospitals to track their patients fluid intake. </w:t>
      </w:r>
    </w:p>
    <w:p>
      <w:pPr>
        <w:pStyle w:val="BodyText"/>
        <w:rPr/>
      </w:pPr>
      <w:r>
        <w:rPr/>
        <w:t xml:space="preserve"> </w:t>
      </w:r>
      <w:r>
        <w:rPr/>
        <w:t>The goal here is to build a lightweight, portable, easy to use hydration tracking system that helps people stay hydrated through custom reminders to improve overall health. This system can especially benefit performance athletes, elderly people, or anyone trying to increase their daily water consumption. Future developments may include smartphone control, voice reminders, or AI powered suggestions based on the user's activity level and environmental factors.</w:t>
      </w:r>
    </w:p>
    <w:p>
      <w:pPr>
        <w:pStyle w:val="Heading1"/>
        <w:rPr/>
      </w:pPr>
      <w:r>
        <w:rPr/>
        <w:t>Methods</w:t>
      </w:r>
    </w:p>
    <w:p>
      <w:pPr>
        <w:pStyle w:val="BodyText"/>
        <w:rPr/>
      </w:pPr>
      <w:r>
        <w:rPr/>
        <w:t xml:space="preserve">The device is made after considering 2 variations. They are a) Coaster model b) Sleeve model. Here we designed a coaster model which can be portable when needed and can be placed in same place long time as it has re-chargable battery. </w:t>
      </w:r>
      <w:r>
        <w:rPr/>
        <w:t>The 2 main parts are a) Hardware b) Software.</w:t>
      </w:r>
    </w:p>
    <w:p>
      <w:pPr>
        <w:pStyle w:val="Heading2"/>
        <w:ind w:hanging="0" w:left="0"/>
        <w:rPr/>
      </w:pPr>
      <w:r>
        <w:rPr/>
        <w:t>Hardware</w:t>
      </w:r>
    </w:p>
    <w:p>
      <w:pPr>
        <w:pStyle w:val="BodyText"/>
        <w:rPr/>
      </w:pPr>
      <w:r>
        <w:rPr/>
        <w:t xml:space="preserve">The </w:t>
      </w:r>
      <w:r>
        <w:rPr/>
        <w:t xml:space="preserve">system uses a small and space concise ESP32-C3 microcontroller which has in-built Bluetooth and Wi-Fi connectivity. The sensor used in circuit a Force Sensitive Resistor (FSR) which compared to the load cell is small compared to thichkness of a regular load-cell used in everyday weighing scale. </w:t>
      </w:r>
      <w:r>
        <w:rPr/>
        <w:t>Lithium – Polymer based battery is used in order reduce the size and have a variable specification, so has various applications.</w:t>
      </w:r>
    </w:p>
    <w:p>
      <w:pPr>
        <w:pStyle w:val="BodyText"/>
        <w:rPr/>
      </w:pPr>
      <w:r>
        <w:rPr/>
        <w:t xml:space="preserve"> </w:t>
      </w:r>
      <w:r>
        <w:rPr/>
        <w:t>FSR uses</w:t>
      </w:r>
      <w:r>
        <w:rPr/>
        <w:t xml:space="preserve"> piezo-resistive mechanism to vary the resistance and acts as a varying resistor and is </w:t>
      </w:r>
      <w:r>
        <w:rPr/>
        <w:t>connected</w:t>
      </w:r>
      <w:r>
        <w:rPr/>
        <w:t xml:space="preserve"> in voltage divider </w:t>
      </w:r>
      <w:r>
        <w:rPr/>
        <w:t xml:space="preserve">circuit  </w:t>
      </w:r>
      <w:r>
        <w:rPr/>
        <w:t xml:space="preserve">with the analog input from microcontroller </w:t>
      </w:r>
      <w:r>
        <w:rPr/>
        <w:t xml:space="preserve">and using voltage division rule the </w:t>
      </w:r>
      <w:r>
        <w:rPr/>
        <w:t>output voltage is calculated using resistances and input voltage.</w:t>
      </w:r>
    </w:p>
    <w:p>
      <w:pPr>
        <w:pStyle w:val="BodyText"/>
        <w:rPr/>
      </w:pPr>
      <w:r>
        <w:rPr/>
        <w:t xml:space="preserve">For the constant resistance for the circuit , 10 kilo-ohm resistor is used and is connected across Analog terminal and GND. FSR is connected from analog to V+ terminal. </w:t>
      </w:r>
    </w:p>
    <w:p>
      <w:pPr>
        <w:pStyle w:val="Heading2"/>
        <w:ind w:hanging="0" w:left="0"/>
        <w:rPr/>
      </w:pPr>
      <w:r>
        <w:rPr/>
        <w:t>Software</w:t>
      </w:r>
    </w:p>
    <w:p>
      <w:pPr>
        <w:pStyle w:val="BodyText"/>
        <w:rPr/>
      </w:pPr>
      <w:r>
        <w:rPr/>
        <w:t xml:space="preserve">The </w:t>
      </w:r>
      <w:r>
        <w:rPr/>
        <w:t xml:space="preserve">voltage division calculation is done locally in the microcontroller (ESP32 – C3). The code in microcontroller includes libraries for wifi manager, sleep function for ESP32 – C3 in order to increase the battery life of the device. </w:t>
      </w:r>
      <w:r>
        <w:rPr/>
        <w:t xml:space="preserve">It works such that ESP32 stays in stand-by mode until a weight of more than 0.1kg (100g) is varied in the FSR. </w:t>
      </w:r>
    </w:p>
    <w:p>
      <w:pPr>
        <w:pStyle w:val="BodyText"/>
        <w:rPr/>
      </w:pPr>
      <w:r>
        <w:rPr/>
        <w:t xml:space="preserve">Through WiFi the Real-time data is sent to the URL to the app which then calculate the requirement of the water intake the user from the weather, humidity data which is imported from the mobile’s IP address </w:t>
      </w:r>
      <w:r>
        <w:rPr/>
        <w:t>to change the regular remainder timings. While logging in the Weight and Height of the User is registered to keep an ideal water intake and remainder which varies during the time of the day. The remainders are turned off automatically and also manually when needed using the local time to no disturb during the sleep time.</w:t>
      </w:r>
    </w:p>
    <w:p>
      <w:pPr>
        <w:pStyle w:val="BodyText"/>
        <w:rPr/>
      </w:pPr>
      <w:r>
        <w:rPr/>
        <w:t>To set it up it requires manual or automatic updation of water bottle weight and upto 5 bottles can be added at the same time whose remainders can be set differently based on requirement. The output data of fluid intake can be downloaded locally in CSV or XLSX file formats,</w:t>
      </w:r>
    </w:p>
    <w:p>
      <w:pPr>
        <w:pStyle w:val="Normal"/>
        <w:rPr/>
      </w:pPr>
      <w:r>
        <w:rPr/>
      </w:r>
    </w:p>
    <w:p>
      <w:pPr>
        <w:pStyle w:val="Heading1"/>
        <w:rPr/>
      </w:pPr>
      <w:r>
        <w:rPr/>
        <w:t>Prepare Your Paper Before Styling</w:t>
      </w:r>
    </w:p>
    <w:p>
      <w:pPr>
        <w:pStyle w:val="BodyText"/>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BodyText"/>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ind w:hanging="0" w:left="0"/>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ind w:hanging="0" w:left="0"/>
        <w:rPr/>
      </w:pPr>
      <w:r>
        <w:rPr/>
        <w:t>Units</w:t>
      </w:r>
    </w:p>
    <w:p>
      <w:pPr>
        <w:pStyle w:val="bulletlist"/>
        <w:numPr>
          <w:ilvl w:val="0"/>
          <w:numId w:val="3"/>
        </w:numPr>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3"/>
        </w:numPr>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3"/>
        </w:numPr>
        <w:rPr/>
      </w:pPr>
      <w:r>
        <w:rPr/>
        <w:t>Do not mix complete spellings and abbreviations of units: “Wb/m2” or “webers per square meter”, not “webers/m2”.  Spell out units when they appear in text: “. . . a few henries”, not “. . . a few H”.</w:t>
      </w:r>
    </w:p>
    <w:p>
      <w:pPr>
        <w:pStyle w:val="bulletlist"/>
        <w:numPr>
          <w:ilvl w:val="0"/>
          <w:numId w:val="3"/>
        </w:numPr>
        <w:rPr/>
      </w:pPr>
      <w:r>
        <w:rPr/>
        <w:t>Use a zero before decimal points: “0.25”, not “.25”. Use “cm3”, not “cc”. (</w:t>
      </w:r>
      <w:r>
        <w:rPr>
          <w:i/>
          <w:iCs/>
        </w:rPr>
        <w:t>bullet list</w:t>
      </w:r>
      <w:r>
        <w:rPr/>
        <w:t>)</w:t>
      </w:r>
      <w:r>
        <mc:AlternateContent>
          <mc:Choice Requires="wps">
            <w:drawing>
              <wp:anchor behindDoc="0" distT="0" distB="0" distL="0" distR="0" simplePos="0" locked="0" layoutInCell="0" allowOverlap="1" relativeHeight="3">
                <wp:simplePos x="0" y="0"/>
                <wp:positionH relativeFrom="page">
                  <wp:posOffset>582930</wp:posOffset>
                </wp:positionH>
                <wp:positionV relativeFrom="page">
                  <wp:posOffset>9601835</wp:posOffset>
                </wp:positionV>
                <wp:extent cx="2907030" cy="265430"/>
                <wp:effectExtent l="0" t="0" r="0" b="0"/>
                <wp:wrapSquare wrapText="bothSides"/>
                <wp:docPr id="1" name="Frame1"/>
                <a:graphic xmlns:a="http://schemas.openxmlformats.org/drawingml/2006/main">
                  <a:graphicData uri="http://schemas.microsoft.com/office/word/2010/wordprocessingShape">
                    <wps:wsp>
                      <wps:cNvSpPr txBox="1"/>
                      <wps:spPr>
                        <a:xfrm>
                          <a:off x="0" y="0"/>
                          <a:ext cx="2907030" cy="265430"/>
                        </a:xfrm>
                        <a:prstGeom prst="rect"/>
                        <a:solidFill>
                          <a:srgbClr val="FFFFFF">
                            <a:alpha val="0"/>
                          </a:srgbClr>
                        </a:solidFill>
                      </wps:spPr>
                      <wps:txbx>
                        <w:txbxContent>
                          <w:p>
                            <w:pPr>
                              <w:pStyle w:val="sponsors"/>
                              <w:ind w:firstLine="289" w:right="0"/>
                              <w:rPr/>
                            </w:pPr>
                            <w:r>
                              <w:rPr/>
                              <w:t xml:space="preserve">Identify applicable funding agency here. </w:t>
                            </w:r>
                            <w:r>
                              <w:rPr>
                                <w:iCs/>
                              </w:rPr>
                              <w:t>If none, delete this text box.</w:t>
                            </w:r>
                          </w:p>
                        </w:txbxContent>
                      </wps:txbx>
                      <wps:bodyPr anchor="t" lIns="0" tIns="0" rIns="0" bIns="0">
                        <a:noAutofit/>
                      </wps:bodyPr>
                    </wps:wsp>
                  </a:graphicData>
                </a:graphic>
              </wp:anchor>
            </w:drawing>
          </mc:Choice>
          <mc:Fallback>
            <w:pict>
              <v:rect fillcolor="#FFFFFF" style="position:absolute;rotation:-0;width:228.9pt;height:20.9pt;mso-wrap-distance-left:0pt;mso-wrap-distance-right:0pt;mso-wrap-distance-top:0pt;mso-wrap-distance-bottom:0pt;margin-top:756.05pt;mso-position-vertical-relative:page;margin-left:45.9pt;mso-position-horizontal-relative:page">
                <v:fill opacity="0f"/>
                <v:textbox inset="0in,0in,0in,0in">
                  <w:txbxContent>
                    <w:p>
                      <w:pPr>
                        <w:pStyle w:val="sponsors"/>
                        <w:ind w:firstLine="289" w:right="0"/>
                        <w:rPr/>
                      </w:pPr>
                      <w:r>
                        <w:rPr/>
                        <w:t xml:space="preserve">Identify applicable funding agency here. </w:t>
                      </w:r>
                      <w:r>
                        <w:rPr>
                          <w:iCs/>
                        </w:rPr>
                        <w:t>If none, delete this text box.</w:t>
                      </w:r>
                    </w:p>
                  </w:txbxContent>
                </v:textbox>
                <w10:wrap type="square"/>
              </v:rect>
            </w:pict>
          </mc:Fallback>
        </mc:AlternateContent>
      </w:r>
    </w:p>
    <w:p>
      <w:pPr>
        <w:pStyle w:val="Heading2"/>
        <w:ind w:hanging="0" w:left="0"/>
        <w:rPr/>
      </w:pPr>
      <w: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sym w:font="Symbol" w:char="f020"/>
        <w:sym w:font="Symbol" w:char="f02b"/>
        <w:sym w:font="Symbol" w:char="f020"/>
      </w:r>
      <w:r>
        <w:rPr>
          <w:rFonts w:cs="Times New Roman" w:ascii="Times New Roman" w:hAnsi="Times New Roman"/>
          <w:i/>
        </w:rPr>
        <w:t>b</w:t>
      </w:r>
      <w:r>
        <w:rPr/>
        <w:t></w:t>
        <w:tab/>
        <w:sym w:font="Symbol" w:char="f028"/>
        <w:sym w:font="Symbol" w:char="f031"/>
        <w:sym w:font="Symbol" w:char="f029"/>
      </w:r>
    </w:p>
    <w:p>
      <w:pPr>
        <w:pStyle w:val="BodyText"/>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ind w:hanging="0" w:left="0"/>
        <w:rPr/>
      </w:pPr>
      <w:r>
        <w:rPr/>
        <w:t>Some Common Mistakes</w:t>
      </w:r>
    </w:p>
    <w:p>
      <w:pPr>
        <w:pStyle w:val="bulletlist"/>
        <w:numPr>
          <w:ilvl w:val="0"/>
          <w:numId w:val="3"/>
        </w:numPr>
        <w:rPr/>
      </w:pPr>
      <w:r>
        <w:rPr/>
        <w:t>The word “data” is plural, not singular.</w:t>
      </w:r>
    </w:p>
    <w:p>
      <w:pPr>
        <w:pStyle w:val="bulletlist"/>
        <w:numPr>
          <w:ilvl w:val="0"/>
          <w:numId w:val="3"/>
        </w:numPr>
        <w:rPr/>
      </w:pPr>
      <w:r>
        <w:rPr/>
        <w:t xml:space="preserve">The subscript for the permeability of vacuum </w:t>
      </w:r>
      <w:r>
        <w:rPr>
          <w:rFonts w:cs="Symbol" w:ascii="Symbol" w:hAnsi="Symbol"/>
          <w:i/>
          <w:iCs/>
        </w:rPr>
        <w:sym w:font="Symbol" w:char="f06d"/>
      </w:r>
      <w:r>
        <w:rPr>
          <w:vertAlign w:val="subscript"/>
        </w:rPr>
        <w:t>0</w:t>
      </w:r>
      <w:r>
        <w:rPr/>
        <w:t>, and other common scientific constants, is zero with subscript formatting, not a lowercase letter “o”.</w:t>
      </w:r>
    </w:p>
    <w:p>
      <w:pPr>
        <w:pStyle w:val="bulletlist"/>
        <w:numPr>
          <w:ilvl w:val="0"/>
          <w:numId w:val="3"/>
        </w:numPr>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3"/>
        </w:numPr>
        <w:rPr/>
      </w:pPr>
      <w:r>
        <w:rPr/>
        <w:t>A graph within a graph is an “inset”, not an “insert”. The word alternatively is preferred to the word “alternately” (unless you really mean something that alternates).</w:t>
      </w:r>
    </w:p>
    <w:p>
      <w:pPr>
        <w:pStyle w:val="bulletlist"/>
        <w:numPr>
          <w:ilvl w:val="0"/>
          <w:numId w:val="3"/>
        </w:numPr>
        <w:rPr/>
      </w:pPr>
      <w:r>
        <w:rPr/>
        <w:t>Do not use the word “essentially” to mean “approximately” or “effectively”.</w:t>
      </w:r>
    </w:p>
    <w:p>
      <w:pPr>
        <w:pStyle w:val="bulletlist"/>
        <w:numPr>
          <w:ilvl w:val="0"/>
          <w:numId w:val="3"/>
        </w:numPr>
        <w:rPr/>
      </w:pPr>
      <w:r>
        <w:rPr/>
        <w:t>In your paper title, if the words “that uses” can accurately replace the word “using”, capitalize the “u”; if not, keep using lower-cased.</w:t>
      </w:r>
    </w:p>
    <w:p>
      <w:pPr>
        <w:pStyle w:val="bulletlist"/>
        <w:numPr>
          <w:ilvl w:val="0"/>
          <w:numId w:val="3"/>
        </w:numPr>
        <w:rPr/>
      </w:pPr>
      <w:r>
        <w:rPr/>
        <w:t>Be aware of the different meanings of the homophones “affect” and “effect”, “complement” and “compliment”, “discreet” and “discrete”, “principal” and “principle”.</w:t>
      </w:r>
    </w:p>
    <w:p>
      <w:pPr>
        <w:pStyle w:val="bulletlist"/>
        <w:numPr>
          <w:ilvl w:val="0"/>
          <w:numId w:val="3"/>
        </w:numPr>
        <w:rPr/>
      </w:pPr>
      <w:r>
        <w:rPr/>
        <w:t>Do not confuse “imply” and “infer”.</w:t>
      </w:r>
    </w:p>
    <w:p>
      <w:pPr>
        <w:pStyle w:val="bulletlist"/>
        <w:numPr>
          <w:ilvl w:val="0"/>
          <w:numId w:val="3"/>
        </w:numPr>
        <w:rPr/>
      </w:pPr>
      <w:r>
        <w:rPr/>
        <w:t>The prefix “non” is not a word; it should be joined to the word it modifies, usually without a hyphen.</w:t>
      </w:r>
    </w:p>
    <w:p>
      <w:pPr>
        <w:pStyle w:val="bulletlist"/>
        <w:numPr>
          <w:ilvl w:val="0"/>
          <w:numId w:val="3"/>
        </w:numPr>
        <w:rPr/>
      </w:pPr>
      <w:r>
        <w:rPr/>
        <w:t>There is no period after the “et” in the Latin abbreviation “et al.”.</w:t>
      </w:r>
    </w:p>
    <w:p>
      <w:pPr>
        <w:pStyle w:val="bulletlist"/>
        <w:numPr>
          <w:ilvl w:val="0"/>
          <w:numId w:val="3"/>
        </w:numPr>
        <w:rPr/>
      </w:pPr>
      <w:r>
        <w:rPr/>
        <w:t>The abbreviation “i.e.” means “that is”, and the abbreviation “e.g.” means “for example”.</w:t>
      </w:r>
    </w:p>
    <w:p>
      <w:pPr>
        <w:pStyle w:val="BodyText"/>
        <w:rPr/>
      </w:pPr>
      <w:r>
        <w:rPr/>
        <w:t>An excellent style manual for science writers is [7].</w:t>
      </w:r>
    </w:p>
    <w:p>
      <w:pPr>
        <w:pStyle w:val="Heading1"/>
        <w:rPr/>
      </w:pPr>
      <w:r>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ind w:hanging="0" w:left="0"/>
        <w:rPr/>
      </w:pPr>
      <w:r>
        <w:rPr/>
        <w:t>Authors and Affiliations</w:t>
      </w:r>
    </w:p>
    <w:p>
      <w:pPr>
        <w:pStyle w:val="BodyText"/>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rPr/>
      </w:pPr>
      <w:r>
        <w:rPr/>
        <w:t xml:space="preserve">For papers with more than six authors: </w:t>
      </w:r>
      <w:r>
        <w:rPr>
          <w:i w:val="false"/>
        </w:rPr>
        <w:t>Add author names horizontally, moving to a third row if needed for more than 8 authors.</w:t>
      </w:r>
    </w:p>
    <w:p>
      <w:pPr>
        <w:pStyle w:val="Heading3"/>
        <w:rPr/>
      </w:pPr>
      <w:r>
        <w:rPr/>
        <w:t xml:space="preserve">For papers with less than six authors: </w:t>
      </w:r>
      <w:r>
        <w:rPr>
          <w:i w:val="false"/>
        </w:rPr>
        <w:t>To change the default, adjust the template as follows.</w:t>
      </w:r>
    </w:p>
    <w:p>
      <w:pPr>
        <w:pStyle w:val="Heading4"/>
        <w:rPr/>
      </w:pPr>
      <w:r>
        <w:rPr/>
        <w:t xml:space="preserve">Selection: </w:t>
      </w:r>
      <w:r>
        <w:rPr>
          <w:i w:val="false"/>
        </w:rPr>
        <w:t>Highlight all author and affiliation lines.</w:t>
      </w:r>
    </w:p>
    <w:p>
      <w:pPr>
        <w:pStyle w:val="Heading4"/>
        <w:rPr/>
      </w:pPr>
      <w:r>
        <w:rPr/>
        <w:t xml:space="preserve">Change number of columns: </w:t>
      </w:r>
      <w:r>
        <w:rPr>
          <w:i w:val="false"/>
        </w:rPr>
        <w:t>Select the Columns icon from the MS Word Standard toolbar and then select the correct number of columns from the selection palette.</w:t>
      </w:r>
    </w:p>
    <w:p>
      <w:pPr>
        <w:pStyle w:val="Heading4"/>
        <w:rPr>
          <w:i w:val="false"/>
          <w:i w:val="false"/>
        </w:rPr>
      </w:pPr>
      <w:r>
        <w:rPr/>
        <w:t xml:space="preserve">Deletion: </w:t>
      </w:r>
      <w:r>
        <w:rPr>
          <w:i w:val="false"/>
        </w:rPr>
        <w:t>Delete the author and affiliation lines for the extra authors.</w:t>
      </w:r>
    </w:p>
    <w:p>
      <w:pPr>
        <w:pStyle w:val="Normal"/>
        <w:jc w:val="left"/>
        <w:rPr>
          <w:i/>
          <w:i/>
          <w:iCs/>
          <w:lang w:val="en-US" w:eastAsia="en-US"/>
        </w:rPr>
      </w:pPr>
      <w:r>
        <w:rPr>
          <w:i/>
          <w:iCs/>
          <w:lang w:val="en-US" w:eastAsia="en-US"/>
        </w:rPr>
      </w:r>
    </w:p>
    <w:p>
      <w:pPr>
        <w:pStyle w:val="Heading2"/>
        <w:ind w:hanging="0" w:left="0"/>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BodyText"/>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ind w:hanging="0" w:left="0"/>
        <w:rPr/>
      </w:pPr>
      <w:r>
        <w:rPr/>
        <w:t>Figures and Tables</w:t>
      </w:r>
    </w:p>
    <w:p>
      <w:pPr>
        <w:pStyle w:val="Heading4"/>
        <w:rPr/>
      </w:pPr>
      <w:r>
        <w:rPr>
          <w:rFonts w:eastAsia="Times New Roman"/>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7"/>
        </w:numPr>
        <w:ind w:hanging="0" w:left="0"/>
        <w:rPr/>
      </w:pPr>
      <w:r>
        <w:rPr/>
        <w:t>Table Type Styles</w:t>
      </w:r>
    </w:p>
    <w:tbl>
      <w:tblPr>
        <w:tblW w:w="4860" w:type="dxa"/>
        <w:jc w:val="center"/>
        <w:tblInd w:w="0" w:type="dxa"/>
        <w:tblLayout w:type="fixed"/>
        <w:tblCellMar>
          <w:top w:w="0" w:type="dxa"/>
          <w:left w:w="108" w:type="dxa"/>
          <w:bottom w:w="0" w:type="dxa"/>
          <w:right w:w="108" w:type="dxa"/>
        </w:tblCellMar>
      </w:tblPr>
      <w:tblGrid>
        <w:gridCol w:w="720"/>
        <w:gridCol w:w="2340"/>
        <w:gridCol w:w="900"/>
        <w:gridCol w:w="900"/>
      </w:tblGrid>
      <w:tr>
        <w:trPr>
          <w:tblHeader w:val="true"/>
          <w:trHeight w:val="240" w:hRule="atLeast"/>
          <w:cantSplit w:val="true"/>
        </w:trPr>
        <w:tc>
          <w:tcPr>
            <w:tcW w:w="720"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rPr/>
            </w:pPr>
            <w:r>
              <w:rPr/>
              <w:t>Table Head</w:t>
            </w:r>
          </w:p>
        </w:tc>
        <w:tc>
          <w:tcPr>
            <w:tcW w:w="4140" w:type="dxa"/>
            <w:gridSpan w:val="3"/>
            <w:tcBorders>
              <w:top w:val="single" w:sz="2" w:space="0" w:color="000000"/>
              <w:left w:val="single" w:sz="2" w:space="0" w:color="000000"/>
              <w:bottom w:val="single" w:sz="2" w:space="0" w:color="000000"/>
              <w:right w:val="single" w:sz="2" w:space="0" w:color="000000"/>
            </w:tcBorders>
            <w:vAlign w:val="center"/>
          </w:tcPr>
          <w:p>
            <w:pPr>
              <w:pStyle w:val="tablecolhead"/>
              <w:rPr/>
            </w:pPr>
            <w:r>
              <w:rPr/>
              <w:t>Table Column Head</w:t>
            </w:r>
          </w:p>
        </w:tc>
      </w:tr>
      <w:tr>
        <w:trPr>
          <w:tblHeader w:val="true"/>
          <w:trHeight w:val="240" w:hRule="atLeast"/>
          <w:cantSplit w:val="true"/>
        </w:trPr>
        <w:tc>
          <w:tcPr>
            <w:tcW w:w="720"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Subhead</w:t>
            </w:r>
          </w:p>
        </w:tc>
      </w:tr>
      <w:tr>
        <w:trPr>
          <w:trHeight w:val="320" w:hRule="atLeast"/>
        </w:trPr>
        <w:tc>
          <w:tcPr>
            <w:tcW w:w="720" w:type="dxa"/>
            <w:tcBorders>
              <w:top w:val="single" w:sz="2" w:space="0" w:color="000000"/>
              <w:left w:val="single" w:sz="2" w:space="0" w:color="000000"/>
              <w:bottom w:val="single" w:sz="2" w:space="0" w:color="000000"/>
              <w:right w:val="single" w:sz="2" w:space="0" w:color="000000"/>
            </w:tcBorders>
            <w:vAlign w:val="center"/>
          </w:tcPr>
          <w:p>
            <w:pPr>
              <w:pStyle w:val="tablecopy"/>
              <w:rPr>
                <w:sz w:val="8"/>
                <w:szCs w:val="8"/>
              </w:rPr>
            </w:pPr>
            <w:r>
              <w:rPr/>
              <w:t>copy</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r>
    </w:tbl>
    <w:p>
      <w:pPr>
        <w:pStyle w:val="tablefootnote"/>
        <w:numPr>
          <w:ilvl w:val="0"/>
          <w:numId w:val="4"/>
        </w:numPr>
        <w:rPr/>
      </w:pPr>
      <w:r>
        <w:rPr/>
        <w:t>Sample of a Table footnote. (</w:t>
      </w:r>
      <w:r>
        <w:rPr>
          <w:i/>
        </w:rPr>
        <w:t>Table footnote</w:t>
      </w:r>
      <w:r>
        <w:rPr/>
        <w:t>)</w:t>
      </w:r>
    </w:p>
    <w:p>
      <w:pPr>
        <w:pStyle w:val="figurecaption"/>
        <w:numPr>
          <w:ilvl w:val="0"/>
          <w:numId w:val="6"/>
        </w:numPr>
        <w:rPr/>
      </w:pPr>
      <w:r>
        <w:rPr/>
        <w:t xml:space="preserve">Example of a figure caption. </w:t>
      </w:r>
      <w:r>
        <w:rPr>
          <w:iCs/>
        </w:rPr>
        <w:t>(</w:t>
      </w:r>
      <w:r>
        <w:rPr>
          <w:i/>
          <w:iCs/>
        </w:rPr>
        <w:t>figure caption</w:t>
      </w:r>
      <w:r>
        <w:rPr>
          <w:iCs/>
        </w:rPr>
        <w:t>)</w:t>
      </w:r>
    </w:p>
    <w:p>
      <w:pPr>
        <w:pStyle w:val="BodyText"/>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BodyText"/>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BodyText"/>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BodyText"/>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BodyText"/>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hanging="354" w:left="354" w:right="0"/>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left="354" w:right="0"/>
        <w:rPr/>
      </w:pPr>
      <w:r>
        <w:rPr/>
        <w:t>J. Clerk Maxwell, A Treatise on Electricity and Magnetism, 3rd ed., vol. 2. Oxford: Clarendon, 1892, pp.68–73.</w:t>
      </w:r>
    </w:p>
    <w:p>
      <w:pPr>
        <w:pStyle w:val="references"/>
        <w:numPr>
          <w:ilvl w:val="0"/>
          <w:numId w:val="5"/>
        </w:numPr>
        <w:ind w:hanging="354" w:left="354" w:right="0"/>
        <w:rPr/>
      </w:pPr>
      <w:r>
        <w:rPr/>
        <w:t>I. S. Jacobs and C. P. Bean, “Fine particles, thin films and exchange anisotropy,” in Magnetism, vol. III, G. T. Rado and H. Suhl, Eds. New York: Academic, 1963, pp. 271–350.</w:t>
      </w:r>
    </w:p>
    <w:p>
      <w:pPr>
        <w:pStyle w:val="references"/>
        <w:numPr>
          <w:ilvl w:val="0"/>
          <w:numId w:val="5"/>
        </w:numPr>
        <w:ind w:hanging="354" w:left="354" w:right="0"/>
        <w:rPr/>
      </w:pPr>
      <w:r>
        <w:rPr/>
        <w:t>K. Elissa, “Title of paper if known,” unpublished.</w:t>
      </w:r>
    </w:p>
    <w:p>
      <w:pPr>
        <w:pStyle w:val="references"/>
        <w:numPr>
          <w:ilvl w:val="0"/>
          <w:numId w:val="5"/>
        </w:numPr>
        <w:ind w:hanging="354" w:left="354" w:right="0"/>
        <w:rPr/>
      </w:pPr>
      <w:r>
        <w:rPr/>
        <w:t>R. Nicole, “Title of paper with only first word capitalized,” J. Name Stand. Abbrev., in press.</w:t>
      </w:r>
    </w:p>
    <w:p>
      <w:pPr>
        <w:pStyle w:val="references"/>
        <w:numPr>
          <w:ilvl w:val="0"/>
          <w:numId w:val="5"/>
        </w:numPr>
        <w:ind w:hanging="354" w:left="354" w:right="0"/>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left="354" w:right="0"/>
        <w:rPr/>
      </w:pPr>
      <w:r>
        <w:rPr/>
        <w:t>M. Young, The Technical Writer’s Handbook. Mill Valley, CA: University Science, 1989.</w:t>
      </w:r>
    </w:p>
    <w:p>
      <w:pPr>
        <w:pStyle w:val="references"/>
        <w:numPr>
          <w:ilvl w:val="0"/>
          <w:numId w:val="0"/>
        </w:numPr>
        <w:ind w:hanging="360" w:left="360" w:right="0"/>
        <w:rPr/>
      </w:pPr>
      <w:r>
        <w:rPr/>
      </w:r>
    </w:p>
    <w:p>
      <w:pPr>
        <w:pStyle w:val="references"/>
        <w:numPr>
          <w:ilvl w:val="0"/>
          <w:numId w:val="0"/>
        </w:numPr>
        <w:ind w:hanging="360" w:left="360" w:right="0"/>
        <w:jc w:val="center"/>
        <w:rPr/>
      </w:pPr>
      <w:r>
        <w:rPr>
          <w:rFonts w:eastAsia="SimSun;宋体"/>
          <w:b/>
          <w:color w:val="FF0000"/>
          <w:spacing w:val="-1"/>
          <w:sz w:val="20"/>
          <w:szCs w:val="20"/>
          <w:lang w:val="en-US"/>
        </w:rPr>
        <w:t>IEEE conference templates contain guidance text for composing and formatting conference papers. Please ensure that all template text is removed from your conference paper prior to submission to the conference. Failure to remove template text from your paper may</w:t>
      </w:r>
      <w:r>
        <w:rPr/>
        <w:t xml:space="preserve"> result in your paper not being published.</w:t>
      </w:r>
    </w:p>
    <w:p>
      <w:pPr>
        <w:sectPr>
          <w:type w:val="continuous"/>
          <w:pgSz w:w="11906" w:h="16838"/>
          <w:pgMar w:left="907" w:right="907" w:gutter="0" w:header="0" w:top="540" w:footer="720" w:bottom="1440"/>
          <w:cols w:num="2" w:space="360" w:equalWidth="true" w:sep="false"/>
          <w:formProt w:val="false"/>
          <w:titlePg/>
          <w:textDirection w:val="lrTb"/>
          <w:docGrid w:type="default" w:linePitch="360" w:charSpace="0"/>
        </w:sectPr>
      </w:pPr>
    </w:p>
    <w:p>
      <w:pPr>
        <w:pStyle w:val="Normal"/>
        <w:rPr/>
      </w:pPr>
      <w:r>
        <w:rPr/>
      </w:r>
      <w:r>
        <mc:AlternateContent>
          <mc:Choice Requires="wps">
            <w:drawing>
              <wp:anchor behindDoc="1" distT="0" distB="0" distL="0" distR="114935" simplePos="0" locked="0" layoutInCell="0" allowOverlap="1" relativeHeight="2">
                <wp:simplePos x="0" y="0"/>
                <wp:positionH relativeFrom="margin">
                  <wp:align>left</wp:align>
                </wp:positionH>
                <wp:positionV relativeFrom="paragraph">
                  <wp:posOffset>247015</wp:posOffset>
                </wp:positionV>
                <wp:extent cx="3209290" cy="1151890"/>
                <wp:effectExtent l="0" t="0" r="0" b="0"/>
                <wp:wrapTight wrapText="bothSides">
                  <wp:wrapPolygon edited="0">
                    <wp:start x="0" y="0"/>
                    <wp:lineTo x="21600" y="0"/>
                    <wp:lineTo x="21600" y="21600"/>
                    <wp:lineTo x="0" y="21600"/>
                    <wp:lineTo x="0" y="0"/>
                  </wp:wrapPolygon>
                </wp:wrapTight>
                <wp:docPr id="2" name="Frame2"/>
                <a:graphic xmlns:a="http://schemas.openxmlformats.org/drawingml/2006/main">
                  <a:graphicData uri="http://schemas.microsoft.com/office/word/2010/wordprocessingShape">
                    <wps:wsp>
                      <wps:cNvSpPr txBox="1"/>
                      <wps:spPr>
                        <a:xfrm>
                          <a:off x="0" y="0"/>
                          <a:ext cx="3209290" cy="1151890"/>
                        </a:xfrm>
                        <a:prstGeom prst="rect"/>
                        <a:solidFill>
                          <a:srgbClr val="FFFFFF"/>
                        </a:solidFill>
                        <a:ln w="9525">
                          <a:solidFill>
                            <a:srgbClr val="000000"/>
                          </a:solidFill>
                        </a:ln>
                      </wps:spPr>
                      <wps:txbx>
                        <w:txbxContent>
                          <w:p>
                            <w:pPr>
                              <w:pStyle w:val="BodyText"/>
                              <w:rPr/>
                            </w:pPr>
                            <w:r>
                              <w:rPr/>
                              <w:t>We suggest that you use a text box to insert a graphic (which is ideally a 300 dpi TIFF or EPS file, with all fonts embedded) because, in an MSW document, this method is somewhat more stable than directly inserting a picture.</w:t>
                            </w:r>
                          </w:p>
                          <w:p>
                            <w:pPr>
                              <w:pStyle w:val="BodyText"/>
                              <w:spacing w:lineRule="auto" w:line="228" w:before="0" w:after="120"/>
                              <w:ind w:firstLine="288" w:left="0" w:right="0"/>
                              <w:jc w:val="both"/>
                              <w:rPr/>
                            </w:pPr>
                            <w:r>
                              <w:rPr/>
                              <w:t>To have non-visible rules on your frame, use the MSWord “Format” pull-down menu, select Text Box &gt; Colors and Lines to choose No Fill and No Line.</w:t>
                            </w:r>
                          </w:p>
                        </w:txbxContent>
                      </wps:txbx>
                      <wps:bodyPr anchor="t" lIns="91440" tIns="45720" rIns="91440" bIns="45720">
                        <a:noAutofit/>
                      </wps:bodyPr>
                    </wps:wsp>
                  </a:graphicData>
                </a:graphic>
              </wp:anchor>
            </w:drawing>
          </mc:Choice>
          <mc:Fallback>
            <w:pict>
              <v:rect fillcolor="#FFFFFF" strokecolor="#000000" strokeweight="0pt" style="position:absolute;rotation:-0;width:252.7pt;height:90.7pt;mso-wrap-distance-left:0pt;mso-wrap-distance-right:9.05pt;mso-wrap-distance-top:0pt;mso-wrap-distance-bottom:0pt;margin-top:19.45pt;mso-position-vertical-relative:text;margin-left:0pt;mso-position-horizontal:left;mso-position-horizontal-relative:margin">
                <v:textbox>
                  <w:txbxContent>
                    <w:p>
                      <w:pPr>
                        <w:pStyle w:val="BodyText"/>
                        <w:rPr/>
                      </w:pPr>
                      <w:r>
                        <w:rPr/>
                        <w:t>We suggest that you use a text box to insert a graphic (which is ideally a 300 dpi TIFF or EPS file, with all fonts embedded) because, in an MSW document, this method is somewhat more stable than directly inserting a picture.</w:t>
                      </w:r>
                    </w:p>
                    <w:p>
                      <w:pPr>
                        <w:pStyle w:val="BodyText"/>
                        <w:spacing w:lineRule="auto" w:line="228" w:before="0" w:after="120"/>
                        <w:ind w:firstLine="288" w:left="0" w:right="0"/>
                        <w:jc w:val="both"/>
                        <w:rPr/>
                      </w:pPr>
                      <w:r>
                        <w:rPr/>
                        <w:t>To have non-visible rules on your frame, use the MSWord “Format” pull-down menu, select Text Box &gt; Colors and Lines to choose No Fill and No Line.</w:t>
                      </w:r>
                    </w:p>
                  </w:txbxContent>
                </v:textbox>
                <w10:wrap type="square"/>
              </v:rect>
            </w:pict>
          </mc:Fallback>
        </mc:AlternateContent>
      </w:r>
    </w:p>
    <w:sectPr>
      <w:type w:val="continuous"/>
      <w:pgSz w:w="11906" w:h="16838"/>
      <w:pgMar w:left="893" w:right="893" w:gutter="0" w:header="0" w:top="540" w:footer="720" w:bottom="1440"/>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vanish w:val="false"/>
        <w:rFonts w:ascii="Times New Roman" w:hAnsi="Times New Roman"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2">
      <w:start w:val="1"/>
      <w:pStyle w:val="Heading3"/>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decimal"/>
      <w:lvlText w:val="%1 "/>
      <w:lvlJc w:val="left"/>
      <w:pPr>
        <w:tabs>
          <w:tab w:val="num" w:pos="648"/>
        </w:tabs>
        <w:ind w:left="0" w:firstLine="288"/>
      </w:pPr>
      <w:rPr>
        <w:smallCaps w:val="false"/>
        <w:caps w:val="false"/>
        <w:outline w:val="false"/>
        <w:dstrike w:val="false"/>
        <w:strike w:val="false"/>
        <w:vertAlign w:val="superscript"/>
        <w:sz w:val="16"/>
        <w:i w:val="false"/>
        <w:shadow w:val="false"/>
        <w:b w:val="false"/>
        <w:szCs w:val="16"/>
        <w:iCs w:val="false"/>
        <w:bCs w:val="false"/>
        <w:vanish w:val="false"/>
        <w:rFonts w:ascii="Times New Roman" w:hAnsi="Times New Roman" w:cs="Times New Roman"/>
      </w:rPr>
    </w:lvl>
  </w:abstractNum>
  <w:abstractNum w:abstractNumId="3">
    <w:lvl w:ilvl="0">
      <w:start w:val="1"/>
      <w:numFmt w:val="bullet"/>
      <w:lvlText w:val=""/>
      <w:lvlJc w:val="left"/>
      <w:pPr>
        <w:tabs>
          <w:tab w:val="num" w:pos="648"/>
        </w:tabs>
        <w:ind w:left="648" w:hanging="360"/>
      </w:pPr>
      <w:rPr>
        <w:rFonts w:ascii="Symbol" w:hAnsi="Symbol" w:cs="Symbol" w:hint="default"/>
      </w:rPr>
    </w:lvl>
  </w:abstractNum>
  <w:abstractNum w:abstractNumId="4">
    <w:lvl w:ilvl="0">
      <w:start w:val="1"/>
      <w:numFmt w:val="lowerLetter"/>
      <w:lvlText w:val="%1."/>
      <w:lvlJc w:val="right"/>
      <w:pPr>
        <w:tabs>
          <w:tab w:val="num" w:pos="0"/>
        </w:tabs>
        <w:ind w:left="418" w:hanging="360"/>
      </w:pPr>
      <w:rPr>
        <w:smallCaps w:val="false"/>
        <w:caps w:val="false"/>
        <w:outline w:val="false"/>
        <w:dstrike w:val="false"/>
        <w:strike w:val="false"/>
        <w:vertAlign w:val="baseline"/>
        <w:position w:val="0"/>
        <w:sz w:val="16"/>
        <w:sz w:val="16"/>
        <w:spacing w:val="0"/>
        <w:i w:val="false"/>
        <w:shadow w:val="false"/>
        <w:b w:val="false"/>
        <w:kern w:val="0"/>
        <w:w w:val="100"/>
        <w:vanish w:val="false"/>
        <w:rFonts w:ascii="Times New Roman" w:hAnsi="Times New Roman" w:cs="Times New Roman"/>
        <w:color w:val="000000"/>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6">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000000"/>
      </w:rPr>
    </w:lvl>
  </w:abstractNum>
  <w:abstractNum w:abstractNumId="7">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4"/>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center"/>
    </w:pPr>
    <w:rPr>
      <w:rFonts w:ascii="Times New Roman" w:hAnsi="Times New Roman" w:eastAsia="SimSun;宋体"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tabs>
        <w:tab w:val="clear" w:pos="720"/>
        <w:tab w:val="left" w:pos="216" w:leader="none"/>
      </w:tabs>
      <w:spacing w:before="160" w:after="80"/>
      <w:ind w:hanging="0" w:left="0" w:right="0"/>
      <w:outlineLvl w:val="0"/>
    </w:pPr>
    <w:rPr>
      <w:smallCaps/>
      <w:lang w:val="en-US" w:eastAsia="en-U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jc w:val="left"/>
      <w:outlineLvl w:val="1"/>
    </w:pPr>
    <w:rPr>
      <w:i/>
      <w:iCs/>
      <w:lang w:val="en-US" w:eastAsia="en-US"/>
    </w:rPr>
  </w:style>
  <w:style w:type="paragraph" w:styleId="Heading3">
    <w:name w:val="heading 3"/>
    <w:basedOn w:val="Normal"/>
    <w:next w:val="Normal"/>
    <w:qFormat/>
    <w:pPr>
      <w:numPr>
        <w:ilvl w:val="2"/>
        <w:numId w:val="1"/>
      </w:numPr>
      <w:spacing w:lineRule="exact" w:line="240"/>
      <w:ind w:firstLine="288" w:left="0" w:right="0"/>
      <w:jc w:val="both"/>
      <w:outlineLvl w:val="2"/>
    </w:pPr>
    <w:rPr>
      <w:i/>
      <w:iCs/>
      <w:lang w:val="en-US" w:eastAsia="en-US"/>
    </w:rPr>
  </w:style>
  <w:style w:type="paragraph" w:styleId="Heading4">
    <w:name w:val="heading 4"/>
    <w:basedOn w:val="Normal"/>
    <w:next w:val="Normal"/>
    <w:qFormat/>
    <w:pPr>
      <w:numPr>
        <w:ilvl w:val="3"/>
        <w:numId w:val="1"/>
      </w:numPr>
      <w:tabs>
        <w:tab w:val="left" w:pos="720" w:leader="none"/>
      </w:tabs>
      <w:spacing w:before="40" w:after="40"/>
      <w:ind w:firstLine="504" w:left="0" w:right="0"/>
      <w:jc w:val="both"/>
      <w:outlineLvl w:val="3"/>
    </w:pPr>
    <w:rPr>
      <w:i/>
      <w:iCs/>
      <w:lang w:val="en-US" w:eastAsia="en-US"/>
    </w:rPr>
  </w:style>
  <w:style w:type="paragraph" w:styleId="Heading5">
    <w:name w:val="heading 5"/>
    <w:basedOn w:val="Normal"/>
    <w:next w:val="Normal"/>
    <w:qFormat/>
    <w:pPr>
      <w:tabs>
        <w:tab w:val="clear" w:pos="720"/>
        <w:tab w:val="left" w:pos="360" w:leader="none"/>
      </w:tabs>
      <w:spacing w:before="160" w:after="80"/>
      <w:outlineLvl w:val="4"/>
    </w:pPr>
    <w:rPr>
      <w:smallCaps/>
      <w:lang w:val="en-US" w:eastAsia="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3z0">
    <w:name w:val="WW8Num13z0"/>
    <w:qFormat/>
    <w:rPr>
      <w:rFonts w:cs="Times New Roman"/>
      <w:i w:val="false"/>
      <w:iCs w:val="false"/>
    </w:rPr>
  </w:style>
  <w:style w:type="character" w:styleId="WW8Num13z1">
    <w:name w:val="WW8Num13z1"/>
    <w:qFormat/>
    <w:rPr>
      <w:rFonts w:cs="Times New Roman"/>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14z1">
    <w:name w:val="WW8Num14z1"/>
    <w:qFormat/>
    <w:rPr>
      <w:rFont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cs="Times New Roman"/>
    </w:rPr>
  </w:style>
  <w:style w:type="character" w:styleId="WW8Num17z0">
    <w:name w:val="WW8Num17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7z1">
    <w:name w:val="WW8Num17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7z3">
    <w:name w:val="WW8Num17z3"/>
    <w:qFormat/>
    <w:rPr>
      <w:rFonts w:ascii="Times New Roman" w:hAnsi="Times New Roman" w:cs="Times New Roman"/>
      <w:b w:val="false"/>
      <w:bCs w:val="false"/>
      <w:i/>
      <w:iCs/>
      <w:sz w:val="20"/>
      <w:szCs w:val="20"/>
    </w:rPr>
  </w:style>
  <w:style w:type="character" w:styleId="WW8Num17z4">
    <w:name w:val="WW8Num17z4"/>
    <w:qFormat/>
    <w:rPr>
      <w:rFonts w:cs="Times New Roman"/>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BodyTextChar">
    <w:name w:val="Body Text Char"/>
    <w:qFormat/>
    <w:rPr>
      <w:spacing w:val="-1"/>
      <w:lang w:val="en-U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tabs>
        <w:tab w:val="clear" w:pos="720"/>
        <w:tab w:val="left" w:pos="288" w:leader="none"/>
      </w:tabs>
      <w:spacing w:lineRule="auto" w:line="228" w:before="0" w:after="120"/>
      <w:ind w:firstLine="288" w:left="0" w:right="0"/>
      <w:jc w:val="both"/>
    </w:pPr>
    <w:rPr>
      <w:spacing w:val="-1"/>
      <w:lang w:val="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name w:val="Abstract"/>
    <w:qFormat/>
    <w:pPr>
      <w:widowControl/>
      <w:bidi w:val="0"/>
      <w:spacing w:before="0" w:after="200"/>
      <w:ind w:firstLine="272" w:left="0" w:right="0"/>
      <w:jc w:val="both"/>
    </w:pPr>
    <w:rPr>
      <w:rFonts w:ascii="Times New Roman" w:hAnsi="Times New Roman" w:eastAsia="SimSun;宋体" w:cs="Times New Roman"/>
      <w:b/>
      <w:bCs/>
      <w:color w:val="auto"/>
      <w:sz w:val="18"/>
      <w:szCs w:val="18"/>
      <w:lang w:val="en-US" w:bidi="ar-SA" w:eastAsia="zh-CN"/>
    </w:rPr>
  </w:style>
  <w:style w:type="paragraph" w:styleId="Affiliation">
    <w:name w:val="Affiliation"/>
    <w:qFormat/>
    <w:pPr>
      <w:widowControl/>
      <w:bidi w:val="0"/>
      <w:jc w:val="center"/>
    </w:pPr>
    <w:rPr>
      <w:rFonts w:ascii="Times New Roman" w:hAnsi="Times New Roman" w:eastAsia="SimSun;宋体" w:cs="Times New Roman"/>
      <w:color w:val="auto"/>
      <w:sz w:val="20"/>
      <w:szCs w:val="20"/>
      <w:lang w:val="en-US" w:bidi="ar-SA" w:eastAsia="zh-CN"/>
    </w:rPr>
  </w:style>
  <w:style w:type="paragraph" w:styleId="Author">
    <w:name w:val="Author"/>
    <w:qFormat/>
    <w:pPr>
      <w:widowControl/>
      <w:bidi w:val="0"/>
      <w:spacing w:before="360" w:after="40"/>
      <w:jc w:val="center"/>
    </w:pPr>
    <w:rPr>
      <w:rFonts w:ascii="Times New Roman" w:hAnsi="Times New Roman" w:eastAsia="SimSun;宋体" w:cs="Times New Roman"/>
      <w:color w:val="auto"/>
      <w:sz w:val="22"/>
      <w:szCs w:val="22"/>
      <w:lang w:val="en-US" w:eastAsia="en-US" w:bidi="ar-SA"/>
    </w:rPr>
  </w:style>
  <w:style w:type="paragraph" w:styleId="bulletlist">
    <w:name w:val="bullet list"/>
    <w:basedOn w:val="BodyText"/>
    <w:qFormat/>
    <w:pPr>
      <w:numPr>
        <w:ilvl w:val="0"/>
        <w:numId w:val="3"/>
      </w:numPr>
      <w:ind w:hanging="288" w:left="576" w:right="0"/>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6"/>
      </w:numPr>
      <w:tabs>
        <w:tab w:val="clear" w:pos="720"/>
        <w:tab w:val="left" w:pos="533" w:leader="none"/>
      </w:tabs>
      <w:bidi w:val="0"/>
      <w:spacing w:before="80" w:after="200"/>
      <w:ind w:hanging="0" w:left="0" w:right="0"/>
      <w:jc w:val="both"/>
    </w:pPr>
    <w:rPr>
      <w:rFonts w:ascii="Times New Roman" w:hAnsi="Times New Roman" w:eastAsia="SimSun;宋体" w:cs="Times New Roman"/>
      <w:color w:val="auto"/>
      <w:sz w:val="16"/>
      <w:szCs w:val="16"/>
      <w:lang w:val="en-US" w:eastAsia="en-US" w:bidi="ar-SA"/>
    </w:rPr>
  </w:style>
  <w:style w:type="paragraph" w:styleId="footnote">
    <w:name w:val="footnote"/>
    <w:qFormat/>
    <w:pPr>
      <w:widowControl/>
      <w:numPr>
        <w:ilvl w:val="0"/>
        <w:numId w:val="2"/>
      </w:numPr>
      <w:bidi w:val="0"/>
      <w:spacing w:before="0" w:after="40"/>
    </w:pPr>
    <w:rPr>
      <w:rFonts w:ascii="Times New Roman" w:hAnsi="Times New Roman" w:eastAsia="SimSun;宋体" w:cs="Times New Roman"/>
      <w:color w:val="auto"/>
      <w:sz w:val="16"/>
      <w:szCs w:val="16"/>
      <w:lang w:val="en-US" w:bidi="ar-SA" w:eastAsia="zh-CN"/>
    </w:rPr>
  </w:style>
  <w:style w:type="paragraph" w:styleId="papersubtitle">
    <w:name w:val="paper subtitle"/>
    <w:qFormat/>
    <w:pPr>
      <w:widowControl/>
      <w:bidi w:val="0"/>
      <w:spacing w:before="0" w:after="120"/>
      <w:jc w:val="center"/>
    </w:pPr>
    <w:rPr>
      <w:rFonts w:ascii="Times New Roman" w:hAnsi="Times New Roman" w:eastAsia="MS Mincho;ＭＳ 明朝" w:cs="Times New Roman"/>
      <w:color w:val="auto"/>
      <w:sz w:val="28"/>
      <w:szCs w:val="28"/>
      <w:lang w:val="en-US" w:eastAsia="en-US" w:bidi="ar-SA"/>
    </w:rPr>
  </w:style>
  <w:style w:type="paragraph" w:styleId="papertitle">
    <w:name w:val="paper title"/>
    <w:qFormat/>
    <w:pPr>
      <w:widowControl/>
      <w:bidi w:val="0"/>
      <w:spacing w:before="0" w:after="120"/>
      <w:jc w:val="center"/>
    </w:pPr>
    <w:rPr>
      <w:rFonts w:ascii="Times New Roman" w:hAnsi="Times New Roman" w:eastAsia="MS Mincho;ＭＳ 明朝" w:cs="Times New Roman"/>
      <w:color w:val="auto"/>
      <w:sz w:val="48"/>
      <w:szCs w:val="48"/>
      <w:lang w:val="en-US" w:eastAsia="en-US" w:bidi="ar-SA"/>
    </w:rPr>
  </w:style>
  <w:style w:type="paragraph" w:styleId="references">
    <w:name w:val="references"/>
    <w:qFormat/>
    <w:pPr>
      <w:widowControl/>
      <w:numPr>
        <w:ilvl w:val="0"/>
        <w:numId w:val="5"/>
      </w:numPr>
      <w:bidi w:val="0"/>
      <w:spacing w:lineRule="exact" w:line="180" w:before="0" w:after="50"/>
      <w:jc w:val="both"/>
    </w:pPr>
    <w:rPr>
      <w:rFonts w:ascii="Times New Roman" w:hAnsi="Times New Roman" w:eastAsia="MS Mincho;ＭＳ 明朝" w:cs="Times New Roman"/>
      <w:color w:val="auto"/>
      <w:sz w:val="16"/>
      <w:szCs w:val="16"/>
      <w:lang w:val="en-US" w:eastAsia="en-US" w:bidi="ar-SA"/>
    </w:rPr>
  </w:style>
  <w:style w:type="paragraph" w:styleId="sponsors">
    <w:name w:val="sponsors"/>
    <w:qFormat/>
    <w:pPr>
      <w:widowControl/>
      <w:pBdr>
        <w:top w:val="single" w:sz="4" w:space="2" w:color="000000"/>
      </w:pBdr>
      <w:bidi w:val="0"/>
      <w:ind w:firstLine="288" w:left="0" w:right="0"/>
    </w:pPr>
    <w:rPr>
      <w:rFonts w:ascii="Times New Roman" w:hAnsi="Times New Roman" w:eastAsia="SimSun;宋体" w:cs="Times New Roman"/>
      <w:color w:val="auto"/>
      <w:sz w:val="16"/>
      <w:szCs w:val="16"/>
      <w:lang w:val="en-US" w:bidi="ar-SA" w:eastAsia="zh-CN"/>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bidi w:val="0"/>
      <w:jc w:val="both"/>
    </w:pPr>
    <w:rPr>
      <w:rFonts w:ascii="Times New Roman" w:hAnsi="Times New Roman" w:eastAsia="SimSun;宋体" w:cs="Times New Roman"/>
      <w:color w:val="auto"/>
      <w:sz w:val="16"/>
      <w:szCs w:val="16"/>
      <w:lang w:val="en-US" w:eastAsia="en-US" w:bidi="ar-SA"/>
    </w:rPr>
  </w:style>
  <w:style w:type="paragraph" w:styleId="tablefootnote">
    <w:name w:val="table footnote"/>
    <w:qFormat/>
    <w:pPr>
      <w:widowControl/>
      <w:numPr>
        <w:ilvl w:val="0"/>
        <w:numId w:val="4"/>
      </w:numPr>
      <w:bidi w:val="0"/>
      <w:spacing w:before="60" w:after="30"/>
      <w:ind w:hanging="29" w:left="58" w:right="0"/>
      <w:jc w:val="right"/>
    </w:pPr>
    <w:rPr>
      <w:rFonts w:ascii="Times New Roman" w:hAnsi="Times New Roman" w:eastAsia="SimSun;宋体" w:cs="Times New Roman"/>
      <w:color w:val="auto"/>
      <w:sz w:val="12"/>
      <w:szCs w:val="12"/>
      <w:lang w:val="en-US" w:bidi="ar-SA" w:eastAsia="zh-CN"/>
    </w:rPr>
  </w:style>
  <w:style w:type="paragraph" w:styleId="tablehead">
    <w:name w:val="table head"/>
    <w:qFormat/>
    <w:pPr>
      <w:widowControl/>
      <w:numPr>
        <w:ilvl w:val="0"/>
        <w:numId w:val="7"/>
      </w:numPr>
      <w:bidi w:val="0"/>
      <w:spacing w:lineRule="auto" w:line="216" w:before="240" w:after="120"/>
      <w:jc w:val="center"/>
    </w:pPr>
    <w:rPr>
      <w:rFonts w:ascii="Times New Roman" w:hAnsi="Times New Roman" w:eastAsia="SimSun;宋体" w:cs="Times New Roman"/>
      <w:smallCaps/>
      <w:color w:val="auto"/>
      <w:sz w:val="16"/>
      <w:szCs w:val="16"/>
      <w:lang w:val="en-US" w:eastAsia="en-US" w:bidi="ar-SA"/>
    </w:rPr>
  </w:style>
  <w:style w:type="paragraph" w:styleId="Keywords">
    <w:name w:val="Keywords"/>
    <w:basedOn w:val="Abstract"/>
    <w:qFormat/>
    <w:pPr>
      <w:spacing w:before="0" w:after="120"/>
      <w:ind w:firstLine="274" w:left="0" w:right="0"/>
    </w:pPr>
    <w:rPr>
      <w: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LTTitel">
    <w:name w:val="TITLE~LT~Titel"/>
    <w:qFormat/>
    <w:pPr>
      <w:widowControl w:val="false"/>
      <w:bidi w:val="0"/>
      <w:spacing w:lineRule="atLeast" w:line="0"/>
      <w:jc w:val="left"/>
    </w:pPr>
    <w:rPr>
      <w:rFonts w:ascii="Arial" w:hAnsi="Arial" w:eastAsia="Noto Sans" w:cs="Noto Sans"/>
      <w:b w:val="false"/>
      <w:i w:val="false"/>
      <w:caps w:val="false"/>
      <w:smallCaps w:val="false"/>
      <w:strike w:val="false"/>
      <w:dstrike w:val="false"/>
      <w:outline w:val="false"/>
      <w:shadow w:val="false"/>
      <w:color w:val="000000"/>
      <w:spacing w:val="0"/>
      <w:kern w:val="2"/>
      <w:sz w:val="28"/>
      <w:szCs w:val="24"/>
      <w:u w:val="none"/>
      <w:em w:val="none"/>
      <w:lang w:val="en-US" w:eastAsia="zh-CN" w:bidi="hi-IN"/>
    </w:rPr>
  </w:style>
  <w:style w:type="paragraph" w:styleId="TITLEANDBODYLTGliederung1">
    <w:name w:val="TITLE_AND_BODY~LT~Gliederung 1"/>
    <w:qFormat/>
    <w:pPr>
      <w:widowControl w:val="false"/>
      <w:bidi w:val="0"/>
      <w:spacing w:lineRule="atLeast" w:line="0" w:before="283" w:after="0"/>
      <w:jc w:val="left"/>
    </w:pPr>
    <w:rPr>
      <w:rFonts w:ascii="Arial" w:hAnsi="Arial" w:eastAsia="Noto Sans" w:cs="Noto Sans"/>
      <w:b w:val="false"/>
      <w:i w:val="false"/>
      <w:caps w:val="false"/>
      <w:smallCaps w:val="false"/>
      <w:strike w:val="false"/>
      <w:dstrike w:val="false"/>
      <w:outline w:val="false"/>
      <w:shadow w:val="false"/>
      <w:color w:val="000000"/>
      <w:spacing w:val="0"/>
      <w:kern w:val="2"/>
      <w:sz w:val="28"/>
      <w:szCs w:val="24"/>
      <w:u w:val="none"/>
      <w:em w:val="none"/>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LibreOffice/24.8.6.2$Linux_X86_64 LibreOffice_project/480$Build-2</Application>
  <AppVersion>15.0000</AppVersion>
  <Pages>4</Pages>
  <Words>2837</Words>
  <Characters>14240</Characters>
  <CharactersWithSpaces>16936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2017-07-26T01:29:00Z</dcterms:created>
  <dc:creator>IEEE</dc:creator>
  <dc:description/>
  <cp:keywords/>
  <dc:language>en-US</dc:language>
  <cp:lastModifiedBy/>
  <dcterms:modified xsi:type="dcterms:W3CDTF">2025-04-10T07:29:06Z</dcterms:modified>
  <cp:revision>10</cp:revision>
  <dc:subject/>
  <dc:title>Paper Title (use style: paper title)</dc:title>
</cp:coreProperties>
</file>