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A365D"/>
          <w:sz w:val="40"/>
          <w:szCs w:val="40"/>
        </w:rPr>
        <w:t xml:space="preserve">InternPath 项目技术尽职调查报告</w:t>
      </w:r>
    </w:p>
    <w:p>
      <w:pPr>
        <w:spacing w:after="360"/>
        <w:jc w:val="center"/>
      </w:pPr>
      <w:r>
        <w:rPr>
          <w:i/>
          <w:iCs/>
          <w:color w:val="4A5568"/>
          <w:sz w:val="24"/>
          <w:szCs w:val="24"/>
        </w:rPr>
        <w:t xml:space="preserve">Technical Due Diligence Report for Investment Decision</w:t>
      </w:r>
    </w:p>
    <w:p>
      <w:pPr>
        <w:spacing w:after="60" w:before="200"/>
        <w:jc w:val="center"/>
      </w:pPr>
      <w:r>
        <w:rPr>
          <w:sz w:val="21"/>
          <w:szCs w:val="21"/>
        </w:rPr>
        <w:t xml:space="preserve">评估对象: InternPath RAG Pipeline &amp; Agent 编排系统</w:t>
      </w:r>
    </w:p>
    <w:p>
      <w:pPr>
        <w:spacing w:after="60"/>
        <w:jc w:val="center"/>
      </w:pPr>
      <w:r>
        <w:rPr>
          <w:sz w:val="21"/>
          <w:szCs w:val="21"/>
        </w:rPr>
        <w:t xml:space="preserve">评估机构: 投资机构 AI 技术尽调 Agent</w:t>
      </w:r>
    </w:p>
    <w:p>
      <w:pPr>
        <w:spacing w:after="60"/>
        <w:jc w:val="center"/>
      </w:pPr>
      <w:r>
        <w:rPr>
          <w:b/>
          <w:bCs/>
          <w:color w:val="A00000"/>
          <w:sz w:val="21"/>
          <w:szCs w:val="21"/>
        </w:rPr>
        <w:t xml:space="preserve">报告级别: 投资机构机密 (CONFIDENTIAL)</w:t>
      </w:r>
    </w:p>
    <w:p>
      <w:pPr>
        <w:spacing w:after="400"/>
        <w:jc w:val="center"/>
      </w:pPr>
      <w:r>
        <w:rPr>
          <w:sz w:val="21"/>
          <w:szCs w:val="21"/>
        </w:rPr>
        <w:t xml:space="preserve">生成时间: 2026年5月28日</w:t>
      </w:r>
    </w:p>
    <w:p>
      <w:r>
        <w:br w:type="page"/>
      </w:r>
    </w:p>
    <w:p>
      <w:pPr>
        <w:spacing w:after="240" w:before="120"/>
      </w:pPr>
      <w:r>
        <w:rPr>
          <w:b/>
          <w:bCs/>
          <w:color w:val="1A365D"/>
          <w:sz w:val="28"/>
          <w:szCs w:val="28"/>
        </w:rPr>
        <w:t xml:space="preserve">目录 (Table of Contents)</w:t>
      </w:r>
    </w:p>
    <w:p>
      <w:pPr>
        <w:spacing w:after="80"/>
      </w:pPr>
      <w:r>
        <w:rPr>
          <w:sz w:val="22"/>
          <w:szCs w:val="22"/>
        </w:rPr>
        <w:t xml:space="preserve">1.  Executive Summary (项目总体定位)</w:t>
      </w:r>
    </w:p>
    <w:p>
      <w:pPr>
        <w:spacing w:after="80"/>
      </w:pPr>
      <w:r>
        <w:rPr>
          <w:sz w:val="22"/>
          <w:szCs w:val="22"/>
        </w:rPr>
        <w:t xml:space="preserve">2.  Architecture Analysis (技术架构深度分析)</w:t>
      </w:r>
    </w:p>
    <w:p>
      <w:pPr>
        <w:spacing w:after="80"/>
      </w:pPr>
      <w:r>
        <w:rPr>
          <w:sz w:val="22"/>
          <w:szCs w:val="22"/>
        </w:rPr>
        <w:t xml:space="preserve">3.  AI System Analysis (AI系统成熟度分析)</w:t>
      </w:r>
    </w:p>
    <w:p>
      <w:pPr>
        <w:spacing w:after="80"/>
      </w:pPr>
      <w:r>
        <w:rPr>
          <w:sz w:val="22"/>
          <w:szCs w:val="22"/>
        </w:rPr>
        <w:t xml:space="preserve">4.  Structured RAG Analysis (结构化 RAG 深度分析)</w:t>
      </w:r>
    </w:p>
    <w:p>
      <w:pPr>
        <w:spacing w:after="80"/>
      </w:pPr>
      <w:r>
        <w:rPr>
          <w:sz w:val="22"/>
          <w:szCs w:val="22"/>
        </w:rPr>
        <w:t xml:space="preserve">5.  Workflow &amp; Agent Analysis (工作流与智能体编排分析)</w:t>
      </w:r>
    </w:p>
    <w:p>
      <w:pPr>
        <w:spacing w:after="80"/>
      </w:pPr>
      <w:r>
        <w:rPr>
          <w:sz w:val="22"/>
          <w:szCs w:val="22"/>
        </w:rPr>
        <w:t xml:space="preserve">6.  AI Governance Analysis (可信 AI 治理与审计)</w:t>
      </w:r>
    </w:p>
    <w:p>
      <w:pPr>
        <w:spacing w:after="80"/>
      </w:pPr>
      <w:r>
        <w:rPr>
          <w:sz w:val="22"/>
          <w:szCs w:val="22"/>
        </w:rPr>
        <w:t xml:space="preserve">7.  Engineering Analysis (工程能力评估)</w:t>
      </w:r>
    </w:p>
    <w:p>
      <w:pPr>
        <w:spacing w:after="80"/>
      </w:pPr>
      <w:r>
        <w:rPr>
          <w:sz w:val="22"/>
          <w:szCs w:val="22"/>
        </w:rPr>
        <w:t xml:space="preserve">8.  Scalability Analysis (性能与扩展性分析)</w:t>
      </w:r>
    </w:p>
    <w:p>
      <w:pPr>
        <w:spacing w:after="80"/>
      </w:pPr>
      <w:r>
        <w:rPr>
          <w:sz w:val="22"/>
          <w:szCs w:val="22"/>
        </w:rPr>
        <w:t xml:space="preserve">9.  Commercial Analysis (商业化潜力分析)</w:t>
      </w:r>
    </w:p>
    <w:p>
      <w:pPr>
        <w:spacing w:after="80"/>
      </w:pPr>
      <w:r>
        <w:rPr>
          <w:sz w:val="22"/>
          <w:szCs w:val="22"/>
        </w:rPr>
        <w:t xml:space="preserve">10. Investment Risks (投资风险分析)</w:t>
      </w:r>
    </w:p>
    <w:p>
      <w:pPr>
        <w:spacing w:after="80"/>
      </w:pPr>
      <w:r>
        <w:rPr>
          <w:sz w:val="22"/>
          <w:szCs w:val="22"/>
        </w:rPr>
        <w:t xml:space="preserve">11. Recommended Next Steps (下一阶段重构路线图)</w:t>
      </w:r>
    </w:p>
    <w:p>
      <w:pPr>
        <w:spacing w:after="80"/>
      </w:pPr>
      <w:r>
        <w:rPr>
          <w:sz w:val="22"/>
          <w:szCs w:val="22"/>
        </w:rPr>
        <w:t xml:space="preserve">12. Final Rating (尽调最终综合评级)</w:t>
      </w:r>
    </w:p>
    <w:p>
      <w:r>
        <w:br w:type="page"/>
      </w:r>
    </w:p>
    <w:p>
      <w:pPr>
        <w:pStyle w:val="Heading1"/>
      </w:pPr>
      <w:r>
        <w:t xml:space="preserve">1. Executive Summary (项目总体定位)</w:t>
      </w:r>
    </w:p>
    <w:p>
      <w:r>
        <w:t xml:space="preserve">在深入透视 InternPath（实习通）项目的代码、数据库物理 Schema、工作流引擎以及 RAG Pipeline 之后，尽调小组给出如下总体定位：</w:t>
      </w:r>
    </w:p>
    <w:p>
      <w:r>
        <w:rPr>
          <w:sz w:val="21"/>
          <w:szCs w:val="21"/>
        </w:rPr>
        <w:t xml:space="preserve">该项目表面上是一个针对大学求职群体的智能简历修改与岗位匹配 SaaS 工具，但其底层技术核心实际上是一个 </w:t>
      </w:r>
      <w:r>
        <w:rPr>
          <w:b/>
          <w:bCs/>
          <w:color w:val="1A365D"/>
          <w:sz w:val="21"/>
          <w:szCs w:val="21"/>
        </w:rPr>
        <w:t xml:space="preserve">“以可信 AI 为导向、面向多模态文本治理的高级结构化 RAG 与 Agent 编排流水线系统 (Trustworthy AI Governance Infrastructure &amp; Agent Harness)”</w:t>
      </w:r>
      <w:r>
        <w:rPr>
          <w:sz w:val="21"/>
          <w:szCs w:val="21"/>
        </w:rPr>
        <w:t xml:space="preserve">。它致力于解决当前大语言模型（LLM）在特定高壁垒垂直场景落地时的黑盒决策、事实虚构（幻觉）以及证据无法回溯等共性痛点。</w:t>
      </w:r>
    </w:p>
    <w:p>
      <w:r>
        <w:rPr>
          <w:b/>
          <w:bCs/>
        </w:rPr>
        <w:t xml:space="preserve">项目拥有两大核心技术壁垒与护城河：</w:t>
      </w:r>
    </w:p>
    <w:p>
      <w:pPr>
        <w:pStyle w:val="ListParagraph"/>
        <w:numPr>
          <w:ilvl w:val="0"/>
          <w:numId w:val="2"/>
        </w:numPr>
        <w:spacing w:after="80" w:before="80"/>
      </w:pPr>
      <w:r>
        <w:rPr>
          <w:b/>
          <w:bCs/>
          <w:i w:val="false"/>
          <w:iCs w:val="false"/>
          <w:color w:val="000000"/>
          <w:sz w:val="23"/>
          <w:szCs w:val="23"/>
        </w:rPr>
        <w:t xml:space="preserve">Section-aware &amp; Metadata-inherited RAG 流水线</w:t>
      </w:r>
      <w:r>
        <w:rPr>
          <w:sz w:val="23"/>
          <w:szCs w:val="23"/>
        </w:rPr>
        <w:t xml:space="preserve">：相较于市面上绝大多数“暴力切片+无差分向量匹配”的初级 RAG，本项目能根据文档树状层级自动进行物理边界切割，保证语义片断的物理完整度，并通过 Chunker 树实现元数据的向下深度继承。</w:t>
      </w:r>
    </w:p>
    <w:p>
      <w:pPr>
        <w:pStyle w:val="ListParagraph"/>
        <w:numPr>
          <w:ilvl w:val="0"/>
          <w:numId w:val="2"/>
        </w:numPr>
        <w:spacing w:after="80" w:before="80"/>
      </w:pPr>
      <w:r>
        <w:rPr>
          <w:b/>
          <w:bCs/>
          <w:i w:val="false"/>
          <w:iCs w:val="false"/>
          <w:color w:val="000000"/>
          <w:sz w:val="23"/>
          <w:szCs w:val="23"/>
        </w:rPr>
        <w:t xml:space="preserve">Claim Evidence Mapping (可信事实审计门禁)</w:t>
      </w:r>
      <w:r>
        <w:rPr>
          <w:sz w:val="23"/>
          <w:szCs w:val="23"/>
        </w:rPr>
        <w:t xml:space="preserve">：构建了一套物理逻辑拦截防御体系。若模型输出的建议或求职断言中包含无法归属到对应简历项目经历段落的断言，系统会自动将其判定为“未找到经历支持 (UNSUPPORTED)”并执行置信度熔断或剔除，符合企业级合规审计的刚需。</w:t>
      </w:r>
    </w:p>
    <w:p>
      <w:pPr>
        <w:pStyle w:val="Heading1"/>
      </w:pPr>
      <w:r>
        <w:t xml:space="preserve">2. Architecture Analysis (技术架构深度分析)</w:t>
      </w:r>
    </w:p>
    <w:p>
      <w:r>
        <w:t xml:space="preserve">项目整体架构拓扑非常清晰，主要分为三个层级：</w:t>
      </w:r>
    </w:p>
    <w:p>
      <w:pPr>
        <w:pStyle w:val="ListParagraph"/>
        <w:numPr>
          <w:ilvl w:val="0"/>
          <w:numId w:val="2"/>
        </w:numPr>
        <w:spacing w:after="80" w:before="80"/>
      </w:pPr>
      <w:r>
        <w:rPr>
          <w:b/>
          <w:bCs/>
          <w:i w:val="false"/>
          <w:iCs w:val="false"/>
          <w:color w:val="000000"/>
          <w:sz w:val="23"/>
          <w:szCs w:val="23"/>
        </w:rPr>
        <w:t xml:space="preserve">前端交互层 (React + TypeScript)</w:t>
      </w:r>
      <w:r>
        <w:rPr>
          <w:sz w:val="23"/>
          <w:szCs w:val="23"/>
        </w:rPr>
        <w:t xml:space="preserve">：实现了高可信度审计面板与知识库片段的详细可视化，UI 高度内聚，防白屏崩溃能力好。</w:t>
      </w:r>
    </w:p>
    <w:p>
      <w:pPr>
        <w:pStyle w:val="ListParagraph"/>
        <w:numPr>
          <w:ilvl w:val="0"/>
          <w:numId w:val="2"/>
        </w:numPr>
        <w:spacing w:after="80" w:before="80"/>
      </w:pPr>
      <w:r>
        <w:rPr>
          <w:b/>
          <w:bCs/>
          <w:i w:val="false"/>
          <w:iCs w:val="false"/>
          <w:color w:val="000000"/>
          <w:sz w:val="23"/>
          <w:szCs w:val="23"/>
        </w:rPr>
        <w:t xml:space="preserve">算法与编排层 (FastAPI ai-service)</w:t>
      </w:r>
      <w:r>
        <w:rPr>
          <w:sz w:val="23"/>
          <w:szCs w:val="23"/>
        </w:rPr>
        <w:t xml:space="preserve">：提供原子化的 BaseNode 节点，并通过统一的 WorkflowState 状态扭转执行分析任务。</w:t>
      </w:r>
    </w:p>
    <w:p>
      <w:pPr>
        <w:pStyle w:val="ListParagraph"/>
        <w:numPr>
          <w:ilvl w:val="0"/>
          <w:numId w:val="2"/>
        </w:numPr>
        <w:spacing w:after="80" w:before="80"/>
      </w:pPr>
      <w:r>
        <w:rPr>
          <w:b/>
          <w:bCs/>
          <w:i w:val="false"/>
          <w:iCs w:val="false"/>
          <w:color w:val="000000"/>
          <w:sz w:val="23"/>
          <w:szCs w:val="23"/>
        </w:rPr>
        <w:t xml:space="preserve">持久化存储层 (SQLite / PostgreSQL 双模切换)</w:t>
      </w:r>
      <w:r>
        <w:rPr>
          <w:sz w:val="23"/>
          <w:szCs w:val="23"/>
        </w:rPr>
        <w:t xml:space="preserve">：支持自动 Schema 迁移，能动态进行列补充而绝不损坏既有数据。</w:t>
      </w:r>
    </w:p>
    <w:p>
      <w:pPr>
        <w:pStyle w:val="Heading2"/>
      </w:pPr>
      <w:r>
        <w:t xml:space="preserve">系统架构的优点与缺点摘要</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D5E8F0" w:val="clear"/>
          </w:tcPr>
          <w:p>
            <w:pPr>
              <w:jc w:val="center"/>
            </w:pPr>
            <w:r>
              <w:rPr>
                <w:b/>
                <w:bCs/>
                <w:sz w:val="21"/>
                <w:szCs w:val="21"/>
              </w:rPr>
              <w:t xml:space="preserve">架构优点 (Strengths)</w:t>
            </w:r>
          </w:p>
        </w:tc>
        <w:tc>
          <w:tcPr>
            <w:tcW w:type="dxa" w:w="4680"/>
            <w:tcBorders>
              <w:top w:val="single" w:color="CCCCCC" w:sz="4"/>
              <w:left w:val="single" w:color="CCCCCC" w:sz="4"/>
              <w:bottom w:val="single" w:color="CCCCCC" w:sz="4"/>
              <w:right w:val="single" w:color="CCCCCC" w:sz="4"/>
            </w:tcBorders>
            <w:shd w:fill="D5E8F0" w:val="clear"/>
          </w:tcPr>
          <w:p>
            <w:pPr>
              <w:jc w:val="center"/>
            </w:pPr>
            <w:r>
              <w:rPr>
                <w:b/>
                <w:bCs/>
                <w:sz w:val="21"/>
                <w:szCs w:val="21"/>
              </w:rPr>
              <w:t xml:space="preserve">主要架构痛点与技术债 (Debts)</w:t>
            </w:r>
          </w:p>
        </w:tc>
      </w:tr>
      <w:tr>
        <w:tc>
          <w:tcPr>
            <w:tcW w:type="dxa" w:w="4680"/>
            <w:tcBorders>
              <w:top w:val="single" w:color="CCCCCC" w:sz="4"/>
              <w:left w:val="single" w:color="CCCCCC" w:sz="4"/>
              <w:bottom w:val="single" w:color="CCCCCC" w:sz="4"/>
              <w:right w:val="single" w:color="CCCCCC" w:sz="4"/>
            </w:tcBorders>
          </w:tcPr>
          <w:p>
            <w:r>
              <w:t xml:space="preserve">1. 测试表面与接缝设计优秀，节点间单向传导，解耦度高。</w:t>
            </w:r>
          </w:p>
          <w:p>
            <w:r>
              <w:t xml:space="preserve">2. 双关系库动态 Schema 自动 ALTER 补齐，对老数据完美兼融。</w:t>
            </w:r>
          </w:p>
          <w:p>
            <w:r>
              <w:t xml:space="preserve">3. 评估与输出流程完全物理物理隔离，保障了输出的数据可追溯与合规。</w:t>
            </w:r>
          </w:p>
        </w:tc>
        <w:tc>
          <w:tcPr>
            <w:tcW w:type="dxa" w:w="4680"/>
            <w:tcBorders>
              <w:top w:val="single" w:color="CCCCCC" w:sz="4"/>
              <w:left w:val="single" w:color="CCCCCC" w:sz="4"/>
              <w:bottom w:val="single" w:color="CCCCCC" w:sz="4"/>
              <w:right w:val="single" w:color="CCCCCC" w:sz="4"/>
            </w:tcBorders>
          </w:tcPr>
          <w:p>
            <w:r>
              <w:t xml:space="preserve">1. 工作流引擎是纯串行同步阻塞运行，在高并发下会导致线程饥饿 (Starvation)。</w:t>
            </w:r>
          </w:p>
          <w:p>
            <w:r>
              <w:t xml:space="preserve">2. 状态扭转基于非强类型的 Dict 传递，长期看存在 key 外溢与重构隐患。</w:t>
            </w:r>
          </w:p>
          <w:p>
            <w:r>
              <w:t xml:space="preserve">3. SQLite 会在并发写入 chunks 时产生磁盘写锁争抢。</w:t>
            </w:r>
          </w:p>
        </w:tc>
      </w:tr>
    </w:tbl>
    <w:p>
      <w:pPr>
        <w:spacing w:before="200"/>
      </w:pPr>
    </w:p>
    <w:p>
      <w:pPr>
        <w:pStyle w:val="Heading1"/>
      </w:pPr>
      <w:r>
        <w:t xml:space="preserve">3. AI System Analysis (AI系统成熟度分析)</w:t>
      </w:r>
    </w:p>
    <w:p>
      <w:r>
        <w:t xml:space="preserve">尽调小组对于 InternPath 项目的 AI 系统成熟度判定评级为：</w:t>
      </w:r>
    </w:p>
    <w:p>
      <w:pPr>
        <w:spacing w:after="120" w:before="120"/>
        <w:jc w:val="center"/>
      </w:pPr>
      <w:r>
        <w:rPr>
          <w:b/>
          <w:bCs/>
          <w:color w:val="2B6CB0"/>
          <w:sz w:val="26"/>
          <w:szCs w:val="26"/>
        </w:rPr>
        <w:t xml:space="preserve">★ MVP -&gt; Production Candidate (生产环境候选级) ★</w:t>
      </w:r>
    </w:p>
    <w:p>
      <w:r>
        <w:rPr>
          <w:b/>
          <w:bCs/>
        </w:rPr>
        <w:t xml:space="preserve">判断依据与成熟度原因：</w:t>
      </w:r>
    </w:p>
    <w:p>
      <w:pPr>
        <w:pStyle w:val="ListParagraph"/>
        <w:numPr>
          <w:ilvl w:val="0"/>
          <w:numId w:val="3"/>
        </w:numPr>
        <w:spacing w:after="80" w:before="80"/>
      </w:pPr>
      <w:r>
        <w:rPr>
          <w:sz w:val="23"/>
          <w:szCs w:val="23"/>
        </w:rPr>
        <w:t xml:space="preserve">系统已经完全跨越了 Demo 玩具阶段，并拥有接近生产级别的防御能力。</w:t>
      </w:r>
    </w:p>
    <w:p>
      <w:pPr>
        <w:pStyle w:val="ListParagraph"/>
        <w:numPr>
          <w:ilvl w:val="0"/>
          <w:numId w:val="3"/>
        </w:numPr>
        <w:spacing w:after="80" w:before="80"/>
      </w:pPr>
      <w:r>
        <w:rPr>
          <w:sz w:val="23"/>
          <w:szCs w:val="23"/>
        </w:rPr>
        <w:t xml:space="preserve">它提供了白盒化的 RAG 可观测性分析面板（workflowLogs）、硬性的事实可信门禁逻辑（Quality Gate）。</w:t>
      </w:r>
    </w:p>
    <w:p>
      <w:pPr>
        <w:pStyle w:val="ListParagraph"/>
        <w:numPr>
          <w:ilvl w:val="0"/>
          <w:numId w:val="3"/>
        </w:numPr>
        <w:spacing w:after="80" w:before="80"/>
      </w:pPr>
      <w:r>
        <w:rPr>
          <w:sz w:val="23"/>
          <w:szCs w:val="23"/>
        </w:rPr>
        <w:t xml:space="preserve">对于极端大模型响应超时或服务离线有健壮的 Fallback 降级词频逻辑，使其具备了企业级落地能力，唯独缺乏分布式存储与高负载智能体调度能力。</w:t>
      </w:r>
    </w:p>
    <w:p>
      <w:pPr>
        <w:pStyle w:val="Heading1"/>
      </w:pPr>
      <w:r>
        <w:t xml:space="preserve">4. Structured RAG Analysis (结构化 RAG 深度分析)</w:t>
      </w:r>
    </w:p>
    <w:p>
      <w:r>
        <w:t xml:space="preserve">相较于普通 RAG，InternPath 结构化 RAG 展现出了极强的代际差异与技术优势：</w:t>
      </w:r>
    </w:p>
    <w:p>
      <w:pPr>
        <w:pStyle w:val="ListParagraph"/>
        <w:numPr>
          <w:ilvl w:val="0"/>
          <w:numId w:val="2"/>
        </w:numPr>
        <w:spacing w:after="80" w:before="80"/>
      </w:pPr>
      <w:r>
        <w:rPr>
          <w:b/>
          <w:bCs/>
          <w:i w:val="false"/>
          <w:iCs w:val="false"/>
          <w:color w:val="000000"/>
          <w:sz w:val="23"/>
          <w:szCs w:val="23"/>
        </w:rPr>
        <w:t xml:space="preserve">Section 物理对齐分切</w:t>
      </w:r>
      <w:r>
        <w:rPr>
          <w:sz w:val="23"/>
          <w:szCs w:val="23"/>
        </w:rPr>
        <w:t xml:space="preserve">：拒绝粗暴长度切片，完全在段落（项目经历、技能等）内切割，section 边界绝不交叉跨越。</w:t>
      </w:r>
    </w:p>
    <w:p>
      <w:pPr>
        <w:pStyle w:val="ListParagraph"/>
        <w:numPr>
          <w:ilvl w:val="0"/>
          <w:numId w:val="2"/>
        </w:numPr>
        <w:spacing w:after="80" w:before="80"/>
      </w:pPr>
      <w:r>
        <w:rPr>
          <w:b/>
          <w:bCs/>
          <w:i w:val="false"/>
          <w:iCs w:val="false"/>
          <w:color w:val="000000"/>
          <w:sz w:val="23"/>
          <w:szCs w:val="23"/>
        </w:rPr>
        <w:t xml:space="preserve">层级元数据深度继承</w:t>
      </w:r>
      <w:r>
        <w:rPr>
          <w:sz w:val="23"/>
          <w:szCs w:val="23"/>
        </w:rPr>
        <w:t xml:space="preserve">：每个 chunk 均封装了其 parent 的 hierarchy 数组和 importance 权重，用于检索加权打分。</w:t>
      </w:r>
    </w:p>
    <w:p>
      <w:pPr>
        <w:pStyle w:val="ListParagraph"/>
        <w:numPr>
          <w:ilvl w:val="0"/>
          <w:numId w:val="2"/>
        </w:numPr>
        <w:spacing w:after="80" w:before="80"/>
      </w:pPr>
      <w:r>
        <w:rPr>
          <w:b/>
          <w:bCs/>
          <w:i w:val="false"/>
          <w:iCs w:val="false"/>
          <w:color w:val="000000"/>
          <w:sz w:val="23"/>
          <w:szCs w:val="23"/>
        </w:rPr>
        <w:t xml:space="preserve">多因子混合检索引擎</w:t>
      </w:r>
      <w:r>
        <w:rPr>
          <w:sz w:val="23"/>
          <w:szCs w:val="23"/>
        </w:rPr>
        <w:t xml:space="preserve">：实现了 normalized BM25 + 大小写无关的关键词 Jaccard 匹配 + Section 权重加权 + 字符滑窗 similarity 计算的四因子混合算法。</w:t>
      </w:r>
    </w:p>
    <w:p>
      <w:r>
        <w:rPr>
          <w:b/>
          <w:bCs/>
          <w:color w:val="1A365D"/>
        </w:rPr>
        <w:t xml:space="preserve">当前检索瓶颈 (Retrival Bottlenecks):</w:t>
      </w:r>
    </w:p>
    <w:p>
      <w:r>
        <w:t xml:space="preserve">虽然系统通过字元滑窗和 BM25 巧妙地实现了无向量库部署，但在面临超大规模数据集时，每次临时分词和 IDF 频率计算会带来严重的算力消耗瓶颈。若涉及大跨度的抽象同义词匹配（如简历写了“数据库”，JD 招“PG”），字形匹配率会急剧恶化，急需接入持久的 Vector DB 向量匹配。</w:t>
      </w:r>
    </w:p>
    <w:p>
      <w:pPr>
        <w:pStyle w:val="Heading1"/>
      </w:pPr>
      <w:r>
        <w:t xml:space="preserve">5. Workflow &amp; Agent Analysis (工作流与智能体编排分析)</w:t>
      </w:r>
    </w:p>
    <w:p>
      <w:pPr>
        <w:pStyle w:val="ListParagraph"/>
        <w:numPr>
          <w:ilvl w:val="0"/>
          <w:numId w:val="4"/>
        </w:numPr>
        <w:spacing w:after="80" w:before="80"/>
      </w:pPr>
      <w:r>
        <w:rPr>
          <w:sz w:val="23"/>
          <w:szCs w:val="23"/>
        </w:rPr>
        <w:t xml:space="preserve">目前的工作流属于经典的静态有向无环图 (Static DAG)，状态线性流动，尚不具备真正的 LLM 动态自适应路由和多并发协作特征。</w:t>
      </w:r>
    </w:p>
    <w:p>
      <w:pPr>
        <w:pStyle w:val="ListParagraph"/>
        <w:numPr>
          <w:ilvl w:val="0"/>
          <w:numId w:val="4"/>
        </w:numPr>
        <w:spacing w:after="80" w:before="80"/>
      </w:pPr>
      <w:r>
        <w:rPr>
          <w:sz w:val="23"/>
          <w:szCs w:val="23"/>
        </w:rPr>
        <w:t xml:space="preserve">系统极度适合升级到 LangGraph，因为其天然的“生成-检验-驳回重写-通过”的校验机制非常契合 Graph 结构的反思循环 (Reflection loop) 模式。</w:t>
      </w:r>
    </w:p>
    <w:p>
      <w:pPr>
        <w:pStyle w:val="ListParagraph"/>
        <w:numPr>
          <w:ilvl w:val="0"/>
          <w:numId w:val="4"/>
        </w:numPr>
        <w:spacing w:after="80" w:before="80"/>
      </w:pPr>
      <w:r>
        <w:rPr>
          <w:sz w:val="23"/>
          <w:szCs w:val="23"/>
        </w:rPr>
        <w:t xml:space="preserve">系统中如 Section Parser 等节点具备极高的内聚性，是天然的 MCP (Model Context Protocol) 工具箱，非常有利于未来直接作为 Tool Calling 接入主流 Agent 生态。</w:t>
      </w:r>
    </w:p>
    <w:p>
      <w:pPr>
        <w:pStyle w:val="Heading1"/>
      </w:pPr>
      <w:r>
        <w:t xml:space="preserve">6. AI Governance Analysis (可信 AI 治理与审计)</w:t>
      </w:r>
    </w:p>
    <w:p>
      <w:r>
        <w:t xml:space="preserve">在企业级招聘和中高端猎头分析（HRTech）等高可信度要求的敏感场景下，对大模型的胡言乱语进行刚性风控是最大的商业诉求。</w:t>
      </w:r>
    </w:p>
    <w:p>
      <w:r>
        <w:t xml:space="preserve">InternPath 极具投资壁垒的模块在于，它在底层构建了一个非侵入式的 </w:t>
      </w:r>
      <w:r>
        <w:rPr>
          <w:b/>
          <w:bCs/>
          <w:color w:val="1A365D"/>
        </w:rPr>
        <w:t xml:space="preserve">AI 治理与可信中间层 (AI Content Governance Middleware)</w:t>
      </w:r>
      <w:r>
        <w:t xml:space="preserve">。它不迷信特定大模型的底层合规度，而是通过严格的证据链（Claim Evidence Mapping）反向检查模型生成的事实，计算出 support_rate 并强行纠正“虚假/吹嘘成分”，具备了极高的合规风控商业审计价值。</w:t>
      </w:r>
    </w:p>
    <w:p>
      <w:pPr>
        <w:pStyle w:val="Heading1"/>
      </w:pPr>
      <w:r>
        <w:t xml:space="preserve">7. Engineering Analysis (工程能力评估)</w:t>
      </w:r>
    </w:p>
    <w:p>
      <w:pPr>
        <w:pStyle w:val="ListParagraph"/>
        <w:numPr>
          <w:ilvl w:val="0"/>
          <w:numId w:val="2"/>
        </w:numPr>
        <w:spacing w:after="80" w:before="80"/>
      </w:pPr>
      <w:r>
        <w:rPr>
          <w:b/>
          <w:bCs/>
          <w:i w:val="false"/>
          <w:iCs w:val="false"/>
          <w:color w:val="000000"/>
          <w:sz w:val="23"/>
          <w:szCs w:val="23"/>
        </w:rPr>
        <w:t xml:space="preserve">代码质量与可读性 (8.5/10)</w:t>
      </w:r>
      <w:r>
        <w:rPr>
          <w:sz w:val="23"/>
          <w:szCs w:val="23"/>
        </w:rPr>
        <w:t xml:space="preserve">：无任何废话与过度设计，函数小巧内聚，类型定义明确，AI 可导航度好。</w:t>
      </w:r>
    </w:p>
    <w:p>
      <w:pPr>
        <w:pStyle w:val="ListParagraph"/>
        <w:numPr>
          <w:ilvl w:val="0"/>
          <w:numId w:val="2"/>
        </w:numPr>
        <w:spacing w:after="80" w:before="80"/>
      </w:pPr>
      <w:r>
        <w:rPr>
          <w:b/>
          <w:bCs/>
          <w:i w:val="false"/>
          <w:iCs w:val="false"/>
          <w:color w:val="000000"/>
          <w:sz w:val="23"/>
          <w:szCs w:val="23"/>
        </w:rPr>
        <w:t xml:space="preserve">测试覆盖与闭环 (9.0/10)</w:t>
      </w:r>
      <w:r>
        <w:rPr>
          <w:sz w:val="23"/>
          <w:szCs w:val="23"/>
        </w:rPr>
        <w:t xml:space="preserve">：拥有极为罕见的完备测试体系，包含了 section parser、RAG 精排重拍、以及证据刚性约束等 22 项 Pytest 单元与回归测试用例，提供敏捷可靠的开发反馈回路。</w:t>
      </w:r>
    </w:p>
    <w:p>
      <w:pPr>
        <w:pStyle w:val="ListParagraph"/>
        <w:numPr>
          <w:ilvl w:val="0"/>
          <w:numId w:val="2"/>
        </w:numPr>
        <w:spacing w:after="80" w:before="80"/>
      </w:pPr>
      <w:r>
        <w:rPr>
          <w:b/>
          <w:bCs/>
          <w:i w:val="false"/>
          <w:iCs w:val="false"/>
          <w:color w:val="000000"/>
          <w:sz w:val="23"/>
          <w:szCs w:val="23"/>
        </w:rPr>
        <w:t xml:space="preserve">工程债务 (Technical Debts)</w:t>
      </w:r>
      <w:r>
        <w:rPr>
          <w:sz w:val="23"/>
          <w:szCs w:val="23"/>
        </w:rPr>
        <w:t xml:space="preserve">：最危险的模块在于 database.py 中硬编码兼容双库方言的 SQL 语句和大量的 JSON 手工序列化，未来升级多列Schema时容易引入死锁或迁移 Bug。</w:t>
      </w:r>
    </w:p>
    <w:p>
      <w:pPr>
        <w:pStyle w:val="Heading1"/>
      </w:pPr>
      <w:r>
        <w:t xml:space="preserve">8. Scalability Analysis (性能与扩展性分析)</w:t>
      </w:r>
    </w:p>
    <w:p>
      <w:r>
        <w:t xml:space="preserve">系统当前的物理可扩展性上限如下：</w:t>
      </w:r>
    </w:p>
    <w:p>
      <w:pPr>
        <w:pStyle w:val="ListParagraph"/>
        <w:numPr>
          <w:ilvl w:val="0"/>
          <w:numId w:val="3"/>
        </w:numPr>
        <w:spacing w:after="80" w:before="80"/>
      </w:pPr>
      <w:r>
        <w:rPr>
          <w:sz w:val="23"/>
          <w:szCs w:val="23"/>
        </w:rPr>
        <w:t xml:space="preserve">百人规模：系统可勉强维持基本正常运行。SQLite 磁盘事务写锁会产生偶尔超时，但由于总体并发小，FastAPI 核心进程依然能够响应。</w:t>
      </w:r>
    </w:p>
    <w:p>
      <w:pPr>
        <w:pStyle w:val="ListParagraph"/>
        <w:numPr>
          <w:ilvl w:val="0"/>
          <w:numId w:val="3"/>
        </w:numPr>
        <w:spacing w:after="80" w:before="80"/>
      </w:pPr>
      <w:r>
        <w:rPr>
          <w:sz w:val="23"/>
          <w:szCs w:val="23"/>
        </w:rPr>
        <w:t xml:space="preserve">千人/万人并发规模：系统必然瞬间崩溃。SQLite 将陷入高频读写阻塞锁死状态；FastAPI 串行同步工作流中因等待多个长延迟 LLM 调用会导致网关直接 504 挂起瘫痪。</w:t>
      </w:r>
    </w:p>
    <w:p>
      <w:pPr>
        <w:pStyle w:val="ListParagraph"/>
        <w:numPr>
          <w:ilvl w:val="0"/>
          <w:numId w:val="3"/>
        </w:numPr>
        <w:spacing w:after="80" w:before="80"/>
      </w:pPr>
      <w:r>
        <w:rPr>
          <w:sz w:val="23"/>
          <w:szCs w:val="23"/>
        </w:rPr>
        <w:t xml:space="preserve">重构必要性：必须尽速将 chunks 存储引入真正的分布式向量数据库，并采用 Redis/RabbitMQ + Celery 离线异步任务队列重构为异步工作流。</w:t>
      </w:r>
    </w:p>
    <w:p>
      <w:pPr>
        <w:pStyle w:val="Heading1"/>
      </w:pPr>
      <w:r>
        <w:t xml:space="preserve">9. Commercial Analysis (商业化潜力分析)</w:t>
      </w:r>
    </w:p>
    <w:p>
      <w:r>
        <w:t xml:space="preserve">相比简单的求职 SaaS 工具，InternPath 在商业化资本故事上更适合被包装为 </w:t>
      </w:r>
      <w:r>
        <w:rPr>
          <w:b/>
          <w:bCs/>
          <w:color w:val="1A365D"/>
        </w:rPr>
        <w:t xml:space="preserve">“可信可验证企业智能招聘 AI (Trustworthy Enterprise Recruiment AI)”</w:t>
      </w:r>
      <w:r>
        <w:t xml:space="preserve"> 或 </w:t>
      </w:r>
      <w:r>
        <w:rPr>
          <w:b/>
          <w:bCs/>
          <w:color w:val="1A365D"/>
        </w:rPr>
        <w:t xml:space="preserve">“AI 内容生成可信审计中间层”</w:t>
      </w:r>
      <w:r>
        <w:t xml:space="preserve">。其商业估值和资本想象空间比普通应用级 SaaS 提升 5-10 倍。</w:t>
      </w:r>
    </w:p>
    <w:p>
      <w:pPr>
        <w:pStyle w:val="ListParagraph"/>
        <w:numPr>
          <w:ilvl w:val="0"/>
          <w:numId w:val="2"/>
        </w:numPr>
        <w:spacing w:after="80" w:before="80"/>
      </w:pPr>
      <w:r>
        <w:rPr>
          <w:b/>
          <w:bCs/>
          <w:i w:val="false"/>
          <w:iCs w:val="false"/>
          <w:color w:val="000000"/>
          <w:sz w:val="23"/>
          <w:szCs w:val="23"/>
        </w:rPr>
        <w:t xml:space="preserve">最有价值模块</w:t>
      </w:r>
      <w:r>
        <w:rPr>
          <w:sz w:val="23"/>
          <w:szCs w:val="23"/>
        </w:rPr>
        <w:t xml:space="preserve">：evidence_checker.py、section_parser.py 算法逻辑，构筑了招聘场景可验证内容生成的护城河。</w:t>
      </w:r>
    </w:p>
    <w:p>
      <w:pPr>
        <w:pStyle w:val="ListParagraph"/>
        <w:numPr>
          <w:ilvl w:val="0"/>
          <w:numId w:val="2"/>
        </w:numPr>
        <w:spacing w:after="80" w:before="80"/>
      </w:pPr>
      <w:r>
        <w:rPr>
          <w:b/>
          <w:bCs/>
          <w:i w:val="false"/>
          <w:iCs w:val="false"/>
          <w:color w:val="000000"/>
          <w:sz w:val="23"/>
          <w:szCs w:val="23"/>
        </w:rPr>
        <w:t xml:space="preserve">开源潜力</w:t>
      </w:r>
      <w:r>
        <w:rPr>
          <w:sz w:val="23"/>
          <w:szCs w:val="23"/>
        </w:rPr>
        <w:t xml:space="preserve">：极佳。在 GitHub 上将 section_parser 独立发布为招聘结构化切片的合规工具库，极易积累极高热度与社区信任。</w:t>
      </w:r>
    </w:p>
    <w:p>
      <w:pPr>
        <w:pStyle w:val="Heading1"/>
      </w:pPr>
      <w:r>
        <w:t xml:space="preserve">10. Investment Risks (投资风险分析)</w:t>
      </w:r>
    </w:p>
    <w:p>
      <w:r>
        <w:rPr>
          <w:b/>
          <w:bCs/>
          <w:color w:val="A00000"/>
        </w:rPr>
        <w:t xml:space="preserve">作为一个冷酷的 VC 技术投资尽调 Agent，必须严厉指出以下真实存在的技术与架构硬伤点：</w:t>
      </w:r>
    </w:p>
    <w:p>
      <w:pPr>
        <w:pStyle w:val="ListParagraph"/>
        <w:numPr>
          <w:ilvl w:val="0"/>
          <w:numId w:val="2"/>
        </w:numPr>
        <w:spacing w:after="80" w:before="80"/>
      </w:pPr>
      <w:r>
        <w:rPr>
          <w:b/>
          <w:bCs/>
          <w:i w:val="false"/>
          <w:iCs w:val="false"/>
          <w:color w:val="000000"/>
          <w:sz w:val="23"/>
          <w:szCs w:val="23"/>
        </w:rPr>
        <w:t xml:space="preserve">向量库真空化风险</w:t>
      </w:r>
      <w:r>
        <w:rPr>
          <w:sz w:val="23"/>
          <w:szCs w:val="23"/>
        </w:rPr>
        <w:t xml:space="preserve">：高度依赖 Jaccard 和 Bigram 相似度在极度庞大的文档知识库中是毫无扩展可言的，无法处理多模态和深度隐藏语意检索。</w:t>
      </w:r>
    </w:p>
    <w:p>
      <w:pPr>
        <w:pStyle w:val="ListParagraph"/>
        <w:numPr>
          <w:ilvl w:val="0"/>
          <w:numId w:val="2"/>
        </w:numPr>
        <w:spacing w:after="80" w:before="80"/>
      </w:pPr>
      <w:r>
        <w:rPr>
          <w:b/>
          <w:bCs/>
          <w:i w:val="false"/>
          <w:iCs w:val="false"/>
          <w:color w:val="000000"/>
          <w:sz w:val="23"/>
          <w:szCs w:val="23"/>
        </w:rPr>
        <w:t xml:space="preserve">并发吞吐抗压接近零</w:t>
      </w:r>
      <w:r>
        <w:rPr>
          <w:sz w:val="23"/>
          <w:szCs w:val="23"/>
        </w:rPr>
        <w:t xml:space="preserve">：串行同步工作流直接堵死核心线程，一旦在生产环境面临小规模 DDoS 或流量激增，会立即导致整站挂起。</w:t>
      </w:r>
    </w:p>
    <w:p>
      <w:pPr>
        <w:pStyle w:val="ListParagraph"/>
        <w:numPr>
          <w:ilvl w:val="0"/>
          <w:numId w:val="2"/>
        </w:numPr>
        <w:spacing w:after="80" w:before="80"/>
      </w:pPr>
      <w:r>
        <w:rPr>
          <w:b/>
          <w:bCs/>
          <w:i w:val="false"/>
          <w:iCs w:val="false"/>
          <w:color w:val="000000"/>
          <w:sz w:val="23"/>
          <w:szCs w:val="23"/>
        </w:rPr>
        <w:t xml:space="preserve">关系双库混编技术债</w:t>
      </w:r>
      <w:r>
        <w:rPr>
          <w:sz w:val="23"/>
          <w:szCs w:val="23"/>
        </w:rPr>
        <w:t xml:space="preserve">：在代码内硬编码兼容 PostgreSQL 与 SQLite 方言极不规范，对 Schema 的后期升级与表连接维护构成极大隐患。</w:t>
      </w:r>
    </w:p>
    <w:p>
      <w:pPr>
        <w:pStyle w:val="Heading1"/>
      </w:pPr>
      <w:r>
        <w:t xml:space="preserve">11. Recommended Next Steps (下一阶段重构路线图)</w:t>
      </w:r>
    </w:p>
    <w:p>
      <w:r>
        <w:rPr>
          <w:b/>
          <w:bCs/>
          <w:color w:val="1A365D"/>
        </w:rPr>
        <w:t xml:space="preserve">P0 (最高优先级) - 物理底层与并发性重写：</w:t>
      </w:r>
    </w:p>
    <w:p>
      <w:pPr>
        <w:pStyle w:val="ListParagraph"/>
        <w:numPr>
          <w:ilvl w:val="0"/>
          <w:numId w:val="4"/>
        </w:numPr>
        <w:spacing w:after="80" w:before="80"/>
      </w:pPr>
      <w:r>
        <w:rPr>
          <w:sz w:val="23"/>
          <w:szCs w:val="23"/>
        </w:rPr>
        <w:t xml:space="preserve">在 database.py 中彻底剥离关系型数据库的 chunk 存储，引入 PGVector / Milvus 向量库，依靠真正的 Dense Vector 编码进行语义大跨度匹配。</w:t>
      </w:r>
    </w:p>
    <w:p>
      <w:pPr>
        <w:pStyle w:val="ListParagraph"/>
        <w:numPr>
          <w:ilvl w:val="0"/>
          <w:numId w:val="4"/>
        </w:numPr>
        <w:spacing w:after="80" w:before="80"/>
      </w:pPr>
      <w:r>
        <w:rPr>
          <w:sz w:val="23"/>
          <w:szCs w:val="23"/>
        </w:rPr>
        <w:t xml:space="preserve">将 FastAPI 工作流节点改造为基于 Celery + Redis 的异步离线任务分配模式，接口直接下发 TaskId，前端进行异步轮询与 WebSocket 通信，释放核心 API 进程吞吐潜力。</w:t>
      </w:r>
    </w:p>
    <w:p>
      <w:r>
        <w:rPr>
          <w:b/>
          <w:bCs/>
          <w:color w:val="1A365D"/>
        </w:rPr>
        <w:t xml:space="preserve">P1 (中优先级) - Agent 智能体逻辑升级：</w:t>
      </w:r>
    </w:p>
    <w:p>
      <w:pPr>
        <w:pStyle w:val="ListParagraph"/>
        <w:numPr>
          <w:ilvl w:val="0"/>
          <w:numId w:val="5"/>
        </w:numPr>
        <w:spacing w:after="80" w:before="80"/>
      </w:pPr>
      <w:r>
        <w:rPr>
          <w:sz w:val="23"/>
          <w:szCs w:val="23"/>
        </w:rPr>
        <w:t xml:space="preserve">将工作流静态 DAG 节点升级为 LangGraph Cyclic 反思纠错图结构，支持基于 LLM 动态路由判定。</w:t>
      </w:r>
    </w:p>
    <w:p>
      <w:pPr>
        <w:pStyle w:val="ListParagraph"/>
        <w:numPr>
          <w:ilvl w:val="0"/>
          <w:numId w:val="5"/>
        </w:numPr>
        <w:spacing w:after="80" w:before="80"/>
      </w:pPr>
      <w:r>
        <w:rPr>
          <w:sz w:val="23"/>
          <w:szCs w:val="23"/>
        </w:rPr>
        <w:t xml:space="preserve">建立 Model Router (模型路由层)，低成本的 token 切片与分词采用国产低价模型，核心审计与重写调用高阶模型，平衡企业成本。</w:t>
      </w:r>
    </w:p>
    <w:p>
      <w:pPr>
        <w:pStyle w:val="Heading1"/>
      </w:pPr>
      <w:r>
        <w:t xml:space="preserve">12. Final Rating (尽调最终综合评级)</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D5E8F0" w:val="clear"/>
          </w:tcPr>
          <w:p>
            <w:pPr>
              <w:jc w:val="center"/>
            </w:pPr>
            <w:r>
              <w:rPr>
                <w:b/>
                <w:bCs/>
                <w:sz w:val="21"/>
                <w:szCs w:val="21"/>
              </w:rPr>
              <w:t xml:space="preserve">评估维度</w:t>
            </w:r>
          </w:p>
        </w:tc>
        <w:tc>
          <w:tcPr>
            <w:tcW w:type="dxa" w:w="3120"/>
            <w:tcBorders>
              <w:top w:val="single" w:color="CCCCCC" w:sz="4"/>
              <w:left w:val="single" w:color="CCCCCC" w:sz="4"/>
              <w:bottom w:val="single" w:color="CCCCCC" w:sz="4"/>
              <w:right w:val="single" w:color="CCCCCC" w:sz="4"/>
            </w:tcBorders>
            <w:shd w:fill="D5E8F0" w:val="clear"/>
          </w:tcPr>
          <w:p>
            <w:pPr>
              <w:jc w:val="center"/>
            </w:pPr>
            <w:r>
              <w:rPr>
                <w:b/>
                <w:bCs/>
                <w:sz w:val="21"/>
                <w:szCs w:val="21"/>
              </w:rPr>
              <w:t xml:space="preserve">评分 (1-10)</w:t>
            </w:r>
          </w:p>
        </w:tc>
        <w:tc>
          <w:tcPr>
            <w:tcW w:type="dxa" w:w="3120"/>
            <w:tcBorders>
              <w:top w:val="single" w:color="CCCCCC" w:sz="4"/>
              <w:left w:val="single" w:color="CCCCCC" w:sz="4"/>
              <w:bottom w:val="single" w:color="CCCCCC" w:sz="4"/>
              <w:right w:val="single" w:color="CCCCCC" w:sz="4"/>
            </w:tcBorders>
            <w:shd w:fill="D5E8F0" w:val="clear"/>
          </w:tcPr>
          <w:p>
            <w:pPr>
              <w:jc w:val="center"/>
            </w:pPr>
            <w:r>
              <w:rPr>
                <w:b/>
                <w:bCs/>
                <w:sz w:val="21"/>
                <w:szCs w:val="21"/>
              </w:rPr>
              <w:t xml:space="preserve">VC 评估原因与解释</w:t>
            </w:r>
          </w:p>
        </w:tc>
      </w:tr>
      <w:tr>
        <w:tc>
          <w:tcPr>
            <w:tcW w:type="dxa" w:w="3120"/>
            <w:tcBorders>
              <w:top w:val="single" w:color="CCCCCC" w:sz="4"/>
              <w:left w:val="single" w:color="CCCCCC" w:sz="4"/>
              <w:bottom w:val="single" w:color="CCCCCC" w:sz="4"/>
              <w:right w:val="single" w:color="CCCCCC" w:sz="4"/>
            </w:tcBorders>
          </w:tcPr>
          <w:p>
            <w:r>
              <w:rPr>
                <w:b/>
                <w:bCs/>
              </w:rPr>
              <w:t xml:space="preserve">技术评级 (Technical Level)</w:t>
            </w:r>
          </w:p>
        </w:tc>
        <w:tc>
          <w:tcPr>
            <w:tcW w:type="dxa" w:w="3120"/>
            <w:tcBorders>
              <w:top w:val="single" w:color="CCCCCC" w:sz="4"/>
              <w:left w:val="single" w:color="CCCCCC" w:sz="4"/>
              <w:bottom w:val="single" w:color="CCCCCC" w:sz="4"/>
              <w:right w:val="single" w:color="CCCCCC" w:sz="4"/>
            </w:tcBorders>
          </w:tcPr>
          <w:p>
            <w:r>
              <w:t xml:space="preserve">8.5 / 10</w:t>
            </w:r>
          </w:p>
        </w:tc>
        <w:tc>
          <w:tcPr>
            <w:tcW w:type="dxa" w:w="3120"/>
            <w:tcBorders>
              <w:top w:val="single" w:color="CCCCCC" w:sz="4"/>
              <w:left w:val="single" w:color="CCCCCC" w:sz="4"/>
              <w:bottom w:val="single" w:color="CCCCCC" w:sz="4"/>
              <w:right w:val="single" w:color="CCCCCC" w:sz="4"/>
            </w:tcBorders>
          </w:tcPr>
          <w:p>
            <w:r>
              <w:t xml:space="preserve">结构化分段 RAG 与可验证断言审查极具代际优势，属于顶尖 AI 应用工程。</w:t>
            </w:r>
          </w:p>
        </w:tc>
      </w:tr>
      <w:tr>
        <w:tc>
          <w:tcPr>
            <w:tcW w:type="dxa" w:w="3120"/>
            <w:tcBorders>
              <w:top w:val="single" w:color="CCCCCC" w:sz="4"/>
              <w:left w:val="single" w:color="CCCCCC" w:sz="4"/>
              <w:bottom w:val="single" w:color="CCCCCC" w:sz="4"/>
              <w:right w:val="single" w:color="CCCCCC" w:sz="4"/>
            </w:tcBorders>
          </w:tcPr>
          <w:p>
            <w:r>
              <w:rPr>
                <w:b/>
                <w:bCs/>
              </w:rPr>
              <w:t xml:space="preserve">工程评级 (Engineering Quality)</w:t>
            </w:r>
          </w:p>
        </w:tc>
        <w:tc>
          <w:tcPr>
            <w:tcW w:type="dxa" w:w="3120"/>
            <w:tcBorders>
              <w:top w:val="single" w:color="CCCCCC" w:sz="4"/>
              <w:left w:val="single" w:color="CCCCCC" w:sz="4"/>
              <w:bottom w:val="single" w:color="CCCCCC" w:sz="4"/>
              <w:right w:val="single" w:color="CCCCCC" w:sz="4"/>
            </w:tcBorders>
          </w:tcPr>
          <w:p>
            <w:r>
              <w:t xml:space="preserve">8.8 / 10</w:t>
            </w:r>
          </w:p>
        </w:tc>
        <w:tc>
          <w:tcPr>
            <w:tcW w:type="dxa" w:w="3120"/>
            <w:tcBorders>
              <w:top w:val="single" w:color="CCCCCC" w:sz="4"/>
              <w:left w:val="single" w:color="CCCCCC" w:sz="4"/>
              <w:bottom w:val="single" w:color="CCCCCC" w:sz="4"/>
              <w:right w:val="single" w:color="CCCCCC" w:sz="4"/>
            </w:tcBorders>
          </w:tcPr>
          <w:p>
            <w:r>
              <w:t xml:space="preserve">测试用例覆盖全面度、代码规范度极佳，无冗长与垃圾代码。</w:t>
            </w:r>
          </w:p>
        </w:tc>
      </w:tr>
      <w:tr>
        <w:tc>
          <w:tcPr>
            <w:tcW w:type="dxa" w:w="3120"/>
            <w:tcBorders>
              <w:top w:val="single" w:color="CCCCCC" w:sz="4"/>
              <w:left w:val="single" w:color="CCCCCC" w:sz="4"/>
              <w:bottom w:val="single" w:color="CCCCCC" w:sz="4"/>
              <w:right w:val="single" w:color="CCCCCC" w:sz="4"/>
            </w:tcBorders>
          </w:tcPr>
          <w:p>
            <w:r>
              <w:rPr>
                <w:b/>
                <w:bCs/>
              </w:rPr>
              <w:t xml:space="preserve">AI Infra 成熟度 (Infra Maturity)</w:t>
            </w:r>
          </w:p>
        </w:tc>
        <w:tc>
          <w:tcPr>
            <w:tcW w:type="dxa" w:w="3120"/>
            <w:tcBorders>
              <w:top w:val="single" w:color="CCCCCC" w:sz="4"/>
              <w:left w:val="single" w:color="CCCCCC" w:sz="4"/>
              <w:bottom w:val="single" w:color="CCCCCC" w:sz="4"/>
              <w:right w:val="single" w:color="CCCCCC" w:sz="4"/>
            </w:tcBorders>
          </w:tcPr>
          <w:p>
            <w:r>
              <w:t xml:space="preserve">6.2 / 10</w:t>
            </w:r>
          </w:p>
        </w:tc>
        <w:tc>
          <w:tcPr>
            <w:tcW w:type="dxa" w:w="3120"/>
            <w:tcBorders>
              <w:top w:val="single" w:color="CCCCCC" w:sz="4"/>
              <w:left w:val="single" w:color="CCCCCC" w:sz="4"/>
              <w:bottom w:val="single" w:color="CCCCCC" w:sz="4"/>
              <w:right w:val="single" w:color="CCCCCC" w:sz="4"/>
            </w:tcBorders>
          </w:tcPr>
          <w:p>
            <w:r>
              <w:t xml:space="preserve">处于 MVP 级别。计算缺乏 Locality 与持久化向量存储。</w:t>
            </w:r>
          </w:p>
        </w:tc>
      </w:tr>
      <w:tr>
        <w:tc>
          <w:tcPr>
            <w:tcW w:type="dxa" w:w="3120"/>
            <w:tcBorders>
              <w:top w:val="single" w:color="CCCCCC" w:sz="4"/>
              <w:left w:val="single" w:color="CCCCCC" w:sz="4"/>
              <w:bottom w:val="single" w:color="CCCCCC" w:sz="4"/>
              <w:right w:val="single" w:color="CCCCCC" w:sz="4"/>
            </w:tcBorders>
          </w:tcPr>
          <w:p>
            <w:r>
              <w:rPr>
                <w:b/>
                <w:bCs/>
              </w:rPr>
              <w:t xml:space="preserve">商业化潜力 (Commercial Value)</w:t>
            </w:r>
          </w:p>
        </w:tc>
        <w:tc>
          <w:tcPr>
            <w:tcW w:type="dxa" w:w="3120"/>
            <w:tcBorders>
              <w:top w:val="single" w:color="CCCCCC" w:sz="4"/>
              <w:left w:val="single" w:color="CCCCCC" w:sz="4"/>
              <w:bottom w:val="single" w:color="CCCCCC" w:sz="4"/>
              <w:right w:val="single" w:color="CCCCCC" w:sz="4"/>
            </w:tcBorders>
          </w:tcPr>
          <w:p>
            <w:r>
              <w:t xml:space="preserve">8.9 / 10</w:t>
            </w:r>
          </w:p>
        </w:tc>
        <w:tc>
          <w:tcPr>
            <w:tcW w:type="dxa" w:w="3120"/>
            <w:tcBorders>
              <w:top w:val="single" w:color="CCCCCC" w:sz="4"/>
              <w:left w:val="single" w:color="CCCCCC" w:sz="4"/>
              <w:bottom w:val="single" w:color="CCCCCC" w:sz="4"/>
              <w:right w:val="single" w:color="CCCCCC" w:sz="4"/>
            </w:tcBorders>
          </w:tcPr>
          <w:p>
            <w:r>
              <w:t xml:space="preserve">切入高合规合信度招聘风控痛点，有极强的企业级内控收费能力。</w:t>
            </w:r>
          </w:p>
        </w:tc>
      </w:tr>
      <w:tr>
        <w:tc>
          <w:tcPr>
            <w:tcW w:type="dxa" w:w="3120"/>
            <w:tcBorders>
              <w:top w:val="single" w:color="CCCCCC" w:sz="4"/>
              <w:left w:val="single" w:color="CCCCCC" w:sz="4"/>
              <w:bottom w:val="single" w:color="CCCCCC" w:sz="4"/>
              <w:right w:val="single" w:color="CCCCCC" w:sz="4"/>
            </w:tcBorders>
          </w:tcPr>
          <w:p>
            <w:r>
              <w:rPr>
                <w:b/>
                <w:bCs/>
              </w:rPr>
              <w:t xml:space="preserve">投资吸引力 (Investment Value)</w:t>
            </w:r>
          </w:p>
        </w:tc>
        <w:tc>
          <w:tcPr>
            <w:tcW w:type="dxa" w:w="3120"/>
            <w:tcBorders>
              <w:top w:val="single" w:color="CCCCCC" w:sz="4"/>
              <w:left w:val="single" w:color="CCCCCC" w:sz="4"/>
              <w:bottom w:val="single" w:color="CCCCCC" w:sz="4"/>
              <w:right w:val="single" w:color="CCCCCC" w:sz="4"/>
            </w:tcBorders>
          </w:tcPr>
          <w:p>
            <w:r>
              <w:t xml:space="preserve">8.8 / 10</w:t>
            </w:r>
          </w:p>
        </w:tc>
        <w:tc>
          <w:tcPr>
            <w:tcW w:type="dxa" w:w="3120"/>
            <w:tcBorders>
              <w:top w:val="single" w:color="CCCCCC" w:sz="4"/>
              <w:left w:val="single" w:color="CCCCCC" w:sz="4"/>
              <w:bottom w:val="single" w:color="CCCCCC" w:sz="4"/>
              <w:right w:val="single" w:color="CCCCCC" w:sz="4"/>
            </w:tcBorders>
          </w:tcPr>
          <w:p>
            <w:r>
              <w:t xml:space="preserve">极力推荐下发 TS。由于项目架构解耦出色，底层重构至 P0 水平门槛极低，有极强的融资故事爆发力。</w:t>
            </w:r>
          </w:p>
        </w:tc>
      </w:tr>
    </w:tbl>
    <w:p>
      <w:pPr>
        <w:spacing w:before="200"/>
      </w:pPr>
    </w:p>
    <w:p>
      <w:r>
        <w:rPr>
          <w:b/>
          <w:bCs/>
          <w:color w:val="1A365D"/>
          <w:sz w:val="24"/>
          <w:szCs w:val="24"/>
        </w:rPr>
        <w:t xml:space="preserve">★ 尽调最终结论判定：强力建议推进投资意向书 (TS) 签署！ ★</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color w:val="777777"/>
        <w:sz w:val="17"/>
        <w:szCs w:val="17"/>
      </w:rPr>
      <w:t xml:space="preserve">InternPath 项目技术尽职调查报告 (投资机构机密)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360"/>
      <w:jc w:val="center"/>
    </w:pPr>
    <w:rPr>
      <w:rFonts w:ascii="Arial" w:cs="Arial" w:eastAsia="Arial" w:hAnsi="Arial"/>
      <w:b/>
      <w:bCs/>
      <w:color w:val="1A365D"/>
      <w:sz w:val="44"/>
      <w:szCs w:val="44"/>
    </w:rPr>
  </w:style>
  <w:style w:type="paragraph" w:styleId="Heading1">
    <w:name w:val="Heading 1"/>
    <w:basedOn w:val="Normal"/>
    <w:next w:val="Normal"/>
    <w:qFormat/>
    <w:pPr>
      <w:spacing w:after="120" w:before="240"/>
      <w:outlineLvl w:val="0"/>
    </w:pPr>
    <w:rPr>
      <w:rFonts w:ascii="Arial" w:cs="Arial" w:eastAsia="Arial" w:hAnsi="Arial"/>
      <w:b/>
      <w:bCs/>
      <w:color w:val="1A365D"/>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B6CB0"/>
      <w:sz w:val="24"/>
      <w:szCs w:val="24"/>
    </w:rPr>
  </w:style>
  <w:style w:type="paragraph" w:styleId="Normal">
    <w:name w:val="Normal"/>
    <w:pPr>
      <w:spacing w:after="100" w:before="100"/>
    </w:pPr>
    <w:rPr>
      <w:rFonts w:ascii="Arial" w:cs="Arial" w:eastAsia="Arial" w:hAnsi="Arial"/>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2026-05-28T13:53:21.516Z</dcterms:created>
  <dcterms:modified xsi:type="dcterms:W3CDTF">2026-05-28T13:53:21.517Z</dcterms:modified>
</cp:coreProperties>
</file>

<file path=docProps/custom.xml><?xml version="1.0" encoding="utf-8"?>
<Properties xmlns="http://schemas.openxmlformats.org/officeDocument/2006/custom-properties" xmlns:vt="http://schemas.openxmlformats.org/officeDocument/2006/docPropsVTypes"/>
</file>