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Selección de un algoritmo de interpolación para la generación de puntos intermedios de radiación solar global en el área metropolitana de Bucaramanga</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ind w:hanging="0"/>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ind w:hanging="0"/>
        <w:rPr>
          <w:lang w:val="es-ES"/>
        </w:rPr>
      </w:pPr>
      <w:r>
        <w:rPr>
          <w:lang w:val="es-ES"/>
        </w:rPr>
      </w:r>
    </w:p>
    <w:p>
      <w:pPr>
        <w:pStyle w:val="Normal"/>
        <w:jc w:val="center"/>
        <w:rPr>
          <w:lang w:val="es-ES"/>
        </w:rPr>
      </w:pPr>
      <w:r>
        <w:rPr>
          <w:lang w:val="es-ES"/>
        </w:rPr>
        <w:t>Juan Francisco Javier Perez Rivero</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jc w:val="center"/>
        <w:rPr>
          <w:lang w:val="es-ES"/>
        </w:rPr>
      </w:pPr>
      <w:r>
        <w:rPr>
          <w:lang w:val="es-ES"/>
        </w:rPr>
        <w:t>Universidad Pontificia Bolivariana</w:t>
      </w:r>
    </w:p>
    <w:p>
      <w:pPr>
        <w:pStyle w:val="Normal"/>
        <w:jc w:val="center"/>
        <w:rPr>
          <w:lang w:val="es-ES"/>
        </w:rPr>
      </w:pPr>
      <w:r>
        <w:rPr>
          <w:lang w:val="es-ES"/>
        </w:rPr>
        <w:t>Escuela de ingenierías</w:t>
      </w:r>
    </w:p>
    <w:p>
      <w:pPr>
        <w:pStyle w:val="Normal"/>
        <w:jc w:val="center"/>
        <w:rPr>
          <w:lang w:val="es-ES"/>
        </w:rPr>
      </w:pPr>
      <w:r>
        <w:rPr>
          <w:lang w:val="es-ES"/>
        </w:rPr>
        <w:t>Ingeniería de Sistemas e Informática</w:t>
      </w:r>
    </w:p>
    <w:p>
      <w:pPr>
        <w:pStyle w:val="Normal"/>
        <w:jc w:val="center"/>
        <w:rPr>
          <w:lang w:val="es-ES"/>
        </w:rPr>
      </w:pPr>
      <w:r>
        <w:rPr>
          <w:lang w:val="es-ES"/>
        </w:rPr>
        <w:t>Floridablanca</w:t>
      </w:r>
    </w:p>
    <w:p>
      <w:pPr>
        <w:pStyle w:val="Normal"/>
        <w:jc w:val="center"/>
        <w:rPr>
          <w:lang w:val="es-ES"/>
        </w:rPr>
      </w:pPr>
      <w:r>
        <w:rPr>
          <w:lang w:val="es-ES"/>
        </w:rPr>
        <w:t>2021</w:t>
      </w:r>
    </w:p>
    <w:p>
      <w:pPr>
        <w:pStyle w:val="Normal"/>
        <w:jc w:val="center"/>
        <w:rPr/>
      </w:pPr>
      <w:r>
        <w:rPr/>
        <w:t>Selección de un algoritmo de interpolación para la generación de puntos intermedios de radiación solar global en el área metropolitana de Bucaramanga</w:t>
      </w:r>
    </w:p>
    <w:p>
      <w:pPr>
        <w:pStyle w:val="Normal"/>
        <w:ind w:hanging="0"/>
        <w:rPr>
          <w:lang w:val="es-ES"/>
        </w:rPr>
      </w:pPr>
      <w:r>
        <w:rPr>
          <w:lang w:val="es-ES"/>
        </w:rPr>
      </w:r>
    </w:p>
    <w:p>
      <w:pPr>
        <w:pStyle w:val="Normal"/>
        <w:ind w:hanging="0"/>
        <w:rPr>
          <w:lang w:val="es-ES"/>
        </w:rPr>
      </w:pPr>
      <w:r>
        <w:rPr>
          <w:lang w:val="es-ES"/>
        </w:rPr>
      </w:r>
    </w:p>
    <w:p>
      <w:pPr>
        <w:pStyle w:val="Normal"/>
        <w:ind w:hanging="0"/>
        <w:rPr>
          <w:lang w:val="es-ES"/>
        </w:rPr>
      </w:pPr>
      <w:r>
        <w:rPr>
          <w:lang w:val="es-ES"/>
        </w:rPr>
      </w:r>
    </w:p>
    <w:p>
      <w:pPr>
        <w:pStyle w:val="Normal"/>
        <w:jc w:val="center"/>
        <w:rPr>
          <w:lang w:val="es-ES"/>
        </w:rPr>
      </w:pPr>
      <w:r>
        <w:rPr>
          <w:lang w:val="es-ES"/>
        </w:rPr>
        <w:t>Juan Francisco Javier Perez Rivero</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t>Anteproyecto</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t>Director</w:t>
      </w:r>
    </w:p>
    <w:p>
      <w:pPr>
        <w:pStyle w:val="Normal"/>
        <w:jc w:val="center"/>
        <w:rPr>
          <w:lang w:val="es-ES"/>
        </w:rPr>
      </w:pPr>
      <w:r>
        <w:rPr>
          <w:lang w:val="es-ES"/>
        </w:rPr>
        <w:t>Por definir</w:t>
      </w:r>
    </w:p>
    <w:p>
      <w:pPr>
        <w:pStyle w:val="Normal"/>
        <w:jc w:val="center"/>
        <w:rPr>
          <w:lang w:val="es-ES"/>
        </w:rPr>
      </w:pPr>
      <w:r>
        <w:rPr>
          <w:lang w:val="es-ES"/>
        </w:rPr>
      </w:r>
    </w:p>
    <w:p>
      <w:pPr>
        <w:pStyle w:val="Normal"/>
        <w:jc w:val="center"/>
        <w:rPr>
          <w:lang w:val="es-ES"/>
        </w:rPr>
      </w:pPr>
      <w:r>
        <w:rPr>
          <w:lang w:val="es-ES"/>
        </w:rPr>
      </w:r>
    </w:p>
    <w:p>
      <w:pPr>
        <w:pStyle w:val="Normal"/>
        <w:ind w:hanging="0"/>
        <w:rPr>
          <w:lang w:val="es-ES"/>
        </w:rPr>
      </w:pPr>
      <w:r>
        <w:rPr>
          <w:lang w:val="es-ES"/>
        </w:rPr>
      </w:r>
    </w:p>
    <w:p>
      <w:pPr>
        <w:pStyle w:val="Normal"/>
        <w:rPr>
          <w:lang w:val="es-ES"/>
        </w:rPr>
      </w:pPr>
      <w:r>
        <w:rPr>
          <w:lang w:val="es-ES"/>
        </w:rPr>
      </w:r>
    </w:p>
    <w:p>
      <w:pPr>
        <w:pStyle w:val="Normal"/>
        <w:jc w:val="center"/>
        <w:rPr>
          <w:lang w:val="es-ES"/>
        </w:rPr>
      </w:pPr>
      <w:r>
        <w:rPr>
          <w:lang w:val="es-ES"/>
        </w:rPr>
        <w:t>Universidad Pontificia Bolivariana.</w:t>
      </w:r>
    </w:p>
    <w:p>
      <w:pPr>
        <w:pStyle w:val="Normal"/>
        <w:jc w:val="center"/>
        <w:rPr>
          <w:lang w:val="es-ES"/>
        </w:rPr>
      </w:pPr>
      <w:r>
        <w:rPr>
          <w:lang w:val="es-ES"/>
        </w:rPr>
        <w:t>Escuela de ingenierías</w:t>
      </w:r>
    </w:p>
    <w:p>
      <w:pPr>
        <w:pStyle w:val="Normal"/>
        <w:jc w:val="center"/>
        <w:rPr>
          <w:lang w:val="es-ES"/>
        </w:rPr>
      </w:pPr>
      <w:r>
        <w:rPr>
          <w:lang w:val="es-ES"/>
        </w:rPr>
        <w:t>Ingeniería de Sistemas e Informática</w:t>
      </w:r>
    </w:p>
    <w:p>
      <w:pPr>
        <w:pStyle w:val="Normal"/>
        <w:jc w:val="center"/>
        <w:rPr>
          <w:lang w:val="es-ES"/>
        </w:rPr>
      </w:pPr>
      <w:r>
        <w:rPr>
          <w:lang w:val="es-ES"/>
        </w:rPr>
        <w:t>Floridablanca</w:t>
      </w:r>
    </w:p>
    <w:p>
      <w:pPr>
        <w:pStyle w:val="Normal"/>
        <w:jc w:val="center"/>
        <w:rPr>
          <w:lang w:val="es-ES"/>
        </w:rPr>
      </w:pPr>
      <w:r>
        <w:rPr>
          <w:lang w:val="es-ES"/>
        </w:rPr>
        <w:t>2021</w:t>
      </w:r>
    </w:p>
    <w:p>
      <w:pPr>
        <w:pStyle w:val="Normal"/>
        <w:jc w:val="center"/>
        <w:rPr>
          <w:b/>
          <w:b/>
          <w:bCs/>
          <w:lang w:val="es-ES"/>
        </w:rPr>
      </w:pPr>
      <w:r>
        <w:rPr>
          <w:b/>
          <w:bCs/>
          <w:lang w:val="es-ES"/>
        </w:rPr>
        <w:t>Contenido</w:t>
      </w:r>
    </w:p>
    <w:p>
      <w:pPr>
        <w:pStyle w:val="TOCHeading"/>
        <w:ind w:hanging="0"/>
        <w:rPr/>
      </w:pPr>
      <w:r>
        <w:rPr/>
        <w:t>Deiver llora por las noches</w:t>
      </w:r>
    </w:p>
    <w:p>
      <w:pPr>
        <w:pStyle w:val="Normal"/>
        <w:spacing w:lineRule="auto" w:line="240"/>
        <w:ind w:hanging="0"/>
        <w:rPr>
          <w:b/>
          <w:b/>
          <w:bCs/>
          <w:lang w:val="es-ES"/>
        </w:rPr>
      </w:pPr>
      <w:r>
        <w:rPr>
          <w:b/>
          <w:bCs/>
          <w:lang w:val="es-ES"/>
        </w:rPr>
      </w:r>
      <w:r>
        <w:br w:type="page"/>
      </w:r>
    </w:p>
    <w:p>
      <w:pPr>
        <w:pStyle w:val="Ttulo1"/>
        <w:rPr>
          <w:lang w:val="es-ES"/>
        </w:rPr>
      </w:pPr>
      <w:bookmarkStart w:id="0" w:name="_Toc67484744"/>
      <w:bookmarkStart w:id="1" w:name="_Toc67215951"/>
      <w:bookmarkStart w:id="2" w:name="_Toc67485444"/>
      <w:r>
        <w:rPr>
          <w:lang w:val="es-ES"/>
        </w:rPr>
        <w:t>Introducción</w:t>
      </w:r>
      <w:bookmarkEnd w:id="0"/>
      <w:bookmarkEnd w:id="1"/>
      <w:bookmarkEnd w:id="2"/>
    </w:p>
    <w:p>
      <w:pPr>
        <w:pStyle w:val="Normal"/>
        <w:spacing w:lineRule="auto" w:line="240"/>
        <w:ind w:hanging="0"/>
        <w:rPr>
          <w:b/>
          <w:b/>
          <w:bCs/>
          <w:lang w:val="es-ES"/>
        </w:rPr>
      </w:pPr>
      <w:r>
        <w:rPr>
          <w:b/>
          <w:bCs/>
          <w:lang w:val="es-ES"/>
        </w:rPr>
      </w:r>
      <w:r>
        <w:br w:type="page"/>
      </w:r>
    </w:p>
    <w:p>
      <w:pPr>
        <w:pStyle w:val="Ttulo1"/>
        <w:numPr>
          <w:ilvl w:val="0"/>
          <w:numId w:val="2"/>
        </w:numPr>
        <w:rPr>
          <w:lang w:val="es-ES"/>
        </w:rPr>
      </w:pPr>
      <w:bookmarkStart w:id="3" w:name="_Toc67485445"/>
      <w:bookmarkStart w:id="4" w:name="_Toc67484745"/>
      <w:bookmarkStart w:id="5" w:name="_Toc67215952"/>
      <w:r>
        <w:rPr>
          <w:lang w:val="es-ES"/>
        </w:rPr>
        <w:t>Planteamiento del problema</w:t>
      </w:r>
      <w:bookmarkEnd w:id="3"/>
      <w:bookmarkEnd w:id="4"/>
      <w:bookmarkEnd w:id="5"/>
    </w:p>
    <w:p>
      <w:pPr>
        <w:pStyle w:val="Normal"/>
        <w:spacing w:lineRule="auto" w:line="240"/>
        <w:ind w:hanging="0"/>
        <w:rPr>
          <w:lang w:val="es-ES"/>
        </w:rPr>
      </w:pPr>
      <w:r>
        <w:rPr>
          <w:lang w:val="es-ES"/>
        </w:rPr>
      </w:r>
      <w:r>
        <w:br w:type="page"/>
      </w:r>
    </w:p>
    <w:p>
      <w:pPr>
        <w:pStyle w:val="Ttulo1"/>
        <w:numPr>
          <w:ilvl w:val="0"/>
          <w:numId w:val="2"/>
        </w:numPr>
        <w:rPr>
          <w:lang w:val="es-ES"/>
        </w:rPr>
      </w:pPr>
      <w:bookmarkStart w:id="6" w:name="_Toc67215953"/>
      <w:bookmarkStart w:id="7" w:name="_Toc67484746"/>
      <w:bookmarkStart w:id="8" w:name="_Toc67485446"/>
      <w:r>
        <w:rPr>
          <w:lang w:val="es-ES"/>
        </w:rPr>
        <w:t>Estado del arte</w:t>
      </w:r>
      <w:bookmarkEnd w:id="6"/>
      <w:bookmarkEnd w:id="7"/>
      <w:bookmarkEnd w:id="8"/>
    </w:p>
    <w:p>
      <w:pPr>
        <w:pStyle w:val="Normal"/>
        <w:rPr>
          <w:lang w:val="es-ES"/>
        </w:rPr>
      </w:pPr>
      <w:r>
        <w:rPr>
          <w:lang w:val="es-ES"/>
        </w:rPr>
        <w:t xml:space="preserve">La exactitud o medición de la radiación solar en un área geográfica depende de la densidad de puntos tenidos en cuenta al realizar la medición </w:t>
      </w:r>
      <w:r>
        <w:fldChar w:fldCharType="begin"/>
      </w:r>
      <w:r>
        <w:rPr>
          <w:lang w:val="es-ES"/>
        </w:rPr>
        <w:instrText>ADDIN CSL_CITATION {"citationItems":[{"id":"ITEM-1","itemData":{"DOI":"https://doi.org/10.1016/j.renene.2019.07.085","ISSN":"0960-1481","abstract":"In order to analyze solar systems, it is very important to determine the accurate solar radiation components belonging to any region. These components are defined as the beam and diffuse. The diffuse radiation component may not always be determined accurately since it is mostly affected by many geographical factors and climatic features in addition to the location parameters. Therefore, this work aims to compare and evaluate the validity of global and diffuse estimation methods for nine locations in Turkey. The satellite-based estimation methods (HELIOSAT, Meteonom, and PVGIS) mentioned in the literature were used to estimate global and diffuse radiation. These selected methods were statistically tested with accurate ground measured data. For HELIOSAT, the global radiation is varying −0.02 and 0.03, and 0.010 and 0.035, respectively, Relative MBE and Relative RMSE. Similarly, the diffuse radiation values are −0.020 and 0.025 for Relative MBE, and 0.015 and 0.030 for Relative RMSE. The goodness of the fit values for the HELIOSAT method shows a very good agreement with at least 97% confidence level of global and 91% of diffuse radiation values. Thus, HELIOSAT method shows a trustworthy alternative to the ground measurement data when reliable global and diffuse radiation data are not available.","author":[{"dropping-particle":"","family":"Ener Rusen","given":"Selmin","non-dropping-particle":"","parse-names":false,"suffix":""},{"dropping-particle":"","family":"Konuralp","given":"Aycan","non-dropping-particle":"","parse-names":false,"suffix":""}],"container-title":"Renewable Energy","id":"ITEM-1","issued":{"date-parts":[["2020"]]},"page":"1772-1779","title":"Quality control of diffuse solar radiation component with satellite-based estimation methods","type":"article-journal","volume":"145"},"uris":["http://www.mendeley.com/documents/?uuid=df7dfe70-263c-42e8-af71-e73b619b837c"]}],"mendeley":{"formattedCitation":"(Ener Rusen &amp; Konuralp, 2020)","plainTextFormattedCitation":"(Ener Rusen &amp; Konuralp, 2020)","previouslyFormattedCitation":"(Ener Rusen &amp; Konuralp, 2020)"},"properties":{"noteIndex":0},"schema":"https://github.com/citation-style-language/schema/raw/master/csl-citation.json"}</w:instrText>
      </w:r>
      <w:r>
        <w:rPr>
          <w:lang w:val="es-ES"/>
        </w:rPr>
      </w:r>
      <w:r>
        <w:rPr>
          <w:lang w:val="es-ES"/>
        </w:rPr>
        <w:fldChar w:fldCharType="separate"/>
      </w:r>
      <w:r>
        <w:rPr>
          <w:lang w:val="es-ES"/>
        </w:rPr>
        <w:t>(Ener Rusen &amp; Konuralp, 2020)</w:t>
      </w:r>
      <w:r>
        <w:rPr>
          <w:lang w:val="es-ES"/>
        </w:rPr>
      </w:r>
      <w:r>
        <w:rPr>
          <w:lang w:val="es-ES"/>
        </w:rPr>
        <w:fldChar w:fldCharType="end"/>
      </w:r>
      <w:r>
        <w:rPr>
          <w:lang w:val="es-ES"/>
        </w:rPr>
        <w:t xml:space="preserve">. Una de las herramientas actuales utilizadas para realizar mediciones meteorológicas es el uso de rasters capturados mediante satélites, los rasters satelitales permiten obtener un alto nivel de densidad de puntos al momento de realizar estimaciones sobre la radiación solar </w:t>
      </w:r>
      <w:r>
        <w:fldChar w:fldCharType="begin"/>
      </w:r>
      <w:r>
        <w:rPr>
          <w:lang w:val="es-ES"/>
        </w:rPr>
        <w:instrText>ADDIN CSL_CITATION {"citationItems":[{"id":"ITEM-1","itemData":{"DOI":"https://doi.org/10.1016/j.rser.2019.109327","ISSN":"1364-0321","abstract":"To apply deep learning technique for estimating hourly global solar radiation (GSR) from geostationary satellite observations, a hybrid deep network is proposed, relying on convolutional neural network (CNN) to extract spatial pattern from satellite imagery, multi-layer perceptron (MLP) to link the abstract patterns and additional time/location information to target hourly GSR. Its representative advantage lies in the ability to characterize changeable cloud morphology and simulate complex non-linear relationships. The deep network is trained using ground measured GSR values at 90 Chinese radiation stations in 2008 as well as the radiative transfer model simulation at the top of Mt. Everest which serves as constraints of extrapolation for high elevation regions. The extensibility of trained network is validated at 5 independent stations in 2008, yielding an overall coefficient of determination (R2) of 0.82, and at all stations in 2007 along with an R2 of 0.88. Comparative experiments confirm that the combination of spatial pattern and point information can lead to more accurate estimation of hourly GSR, achieving a minimum root mean square error (RMSE) of 84.18 W/m2 (0.30 MJ/m2), 1.92 MJ/m2 and 1.08 MJ/m2 in hourly, daily total and monthly total scales, respectively. Moreover, the deep network is capable of mapping spatially continuous hourly GSR which reflects the regional differences and reproduce the diurnal cycles of solar radiation properly.","author":[{"dropping-particle":"","family":"Jiang","given":"Hou","non-dropping-particle":"","parse-names":false,"suffix":""},{"dropping-particle":"","family":"Lu","given":"Ning","non-dropping-particle":"","parse-names":false,"suffix":""},{"dropping-particle":"","family":"Qin","given":"Jun","non-dropping-particle":"","parse-names":false,"suffix":""},{"dropping-particle":"","family":"Tang","given":"Wenjun","non-dropping-particle":"","parse-names":false,"suffix":""},{"dropping-particle":"","family":"Yao","given":"Ling","non-dropping-particle":"","parse-names":false,"suffix":""}],"container-title":"Renewable and Sustainable Energy Reviews","id":"ITEM-1","issued":{"date-parts":[["2019"]]},"page":"109327","title":"A deep learning algorithm to estimate hourly global solar radiation from geostationary satellite data","type":"article-journal","volume":"114"},"uris":["http://www.mendeley.com/documents/?uuid=1a263bae-fd91-4c48-9931-e2fb4d74b6f7"]}],"mendeley":{"formattedCitation":"(Jiang et al., 2019)","plainTextFormattedCitation":"(Jiang et al., 2019)","previouslyFormattedCitation":"(Jiang et al., 2019)"},"properties":{"noteIndex":0},"schema":"https://github.com/citation-style-language/schema/raw/master/csl-citation.json"}</w:instrText>
      </w:r>
      <w:r>
        <w:rPr>
          <w:lang w:val="es-ES"/>
        </w:rPr>
      </w:r>
      <w:r>
        <w:rPr>
          <w:lang w:val="es-ES"/>
        </w:rPr>
        <w:fldChar w:fldCharType="separate"/>
      </w:r>
      <w:r>
        <w:rPr>
          <w:lang w:val="es-ES"/>
        </w:rPr>
        <w:t>(Jiang et al., 2019)</w:t>
      </w:r>
      <w:r>
        <w:rPr>
          <w:lang w:val="es-ES"/>
        </w:rPr>
      </w:r>
      <w:r>
        <w:rPr>
          <w:lang w:val="es-ES"/>
        </w:rPr>
        <w:fldChar w:fldCharType="end"/>
      </w:r>
      <w:r>
        <w:rPr>
          <w:lang w:val="es-ES"/>
        </w:rPr>
        <w:t>; la estimación de la radiación solar ha logrado avances mediante el uso de raster junto con datos obtenidos por modelos empíricos, esto se logro mediante la comparación del modelo empírico de radiación solar global y difusa junto con el método de HELIOSAT obteniendo valores de R</w:t>
      </w:r>
      <w:r>
        <w:rPr>
          <w:vertAlign w:val="superscript"/>
          <w:lang w:val="es-ES"/>
        </w:rPr>
        <w:t>2</w:t>
      </w:r>
      <w:r>
        <w:rPr>
          <w:lang w:val="es-ES"/>
        </w:rPr>
        <w:t xml:space="preserve"> por encima de 0.9 mostrando la precisión del método para calcular los valores de radiación que llegan a la tierra </w:t>
      </w:r>
      <w:r>
        <w:fldChar w:fldCharType="begin"/>
      </w:r>
      <w:r>
        <w:rPr>
          <w:lang w:val="es-ES"/>
        </w:rPr>
        <w:instrText>ADDIN CSL_CITATION {"citationItems":[{"id":"ITEM-1","itemData":{"DOI":"https://doi.org/10.1016/j.renene.2019.07.085","ISSN":"0960-1481","abstract":"In order to analyze solar systems, it is very important to determine the accurate solar radiation components belonging to any region. These components are defined as the beam and diffuse. The diffuse radiation component may not always be determined accurately since it is mostly affected by many geographical factors and climatic features in addition to the location parameters. Therefore, this work aims to compare and evaluate the validity of global and diffuse estimation methods for nine locations in Turkey. The satellite-based estimation methods (HELIOSAT, Meteonom, and PVGIS) mentioned in the literature were used to estimate global and diffuse radiation. These selected methods were statistically tested with accurate ground measured data. For HELIOSAT, the global radiation is varying −0.02 and 0.03, and 0.010 and 0.035, respectively, Relative MBE and Relative RMSE. Similarly, the diffuse radiation values are −0.020 and 0.025 for Relative MBE, and 0.015 and 0.030 for Relative RMSE. The goodness of the fit values for the HELIOSAT method shows a very good agreement with at least 97% confidence level of global and 91% of diffuse radiation values. Thus, HELIOSAT method shows a trustworthy alternative to the ground measurement data when reliable global and diffuse radiation data are not available.","author":[{"dropping-particle":"","family":"Ener Rusen","given":"Selmin","non-dropping-particle":"","parse-names":false,"suffix":""},{"dropping-particle":"","family":"Konuralp","given":"Aycan","non-dropping-particle":"","parse-names":false,"suffix":""}],"container-title":"Renewable Energy","id":"ITEM-1","issued":{"date-parts":[["2020"]]},"page":"1772-1779","title":"Quality control of diffuse solar radiation component with satellite-based estimation methods","type":"article-journal","volume":"145"},"uris":["http://www.mendeley.com/documents/?uuid=df7dfe70-263c-42e8-af71-e73b619b837c"]}],"mendeley":{"formattedCitation":"(Ener Rusen &amp; Konuralp, 2020)","plainTextFormattedCitation":"(Ener Rusen &amp; Konuralp, 2020)","previouslyFormattedCitation":"(Ener Rusen &amp; Konuralp, 2020)"},"properties":{"noteIndex":0},"schema":"https://github.com/citation-style-language/schema/raw/master/csl-citation.json"}</w:instrText>
      </w:r>
      <w:r>
        <w:rPr>
          <w:lang w:val="es-ES"/>
        </w:rPr>
      </w:r>
      <w:r>
        <w:rPr>
          <w:lang w:val="es-ES"/>
        </w:rPr>
        <w:fldChar w:fldCharType="separate"/>
      </w:r>
      <w:r>
        <w:rPr>
          <w:lang w:val="es-ES"/>
        </w:rPr>
        <w:t>(Ener Rusen &amp; Konuralp, 2020)</w:t>
      </w:r>
      <w:r>
        <w:rPr>
          <w:lang w:val="es-ES"/>
        </w:rPr>
      </w:r>
      <w:r>
        <w:rPr>
          <w:lang w:val="es-ES"/>
        </w:rPr>
        <w:fldChar w:fldCharType="end"/>
      </w:r>
      <w:r>
        <w:rPr>
          <w:lang w:val="es-ES"/>
        </w:rPr>
        <w:t xml:space="preserve">. Del mismo modo se han logrado resultados mediante el uso de redes convolucionales, el cual es un método de aprendizaje profundo por a prendimiento de patrones utilizado frecuentemente con datos obtenidos de imágenes, la utilidad de este modelo es notable debido a la naturaleza de los datos obtenidos de satélites meteorológicos, obteniendo valores satisfactorios mediante el modelo de redes convolucionales </w:t>
      </w:r>
      <w:r>
        <w:fldChar w:fldCharType="begin"/>
      </w:r>
      <w:r>
        <w:rPr>
          <w:lang w:val="es-ES"/>
        </w:rPr>
        <w:instrText>ADDIN CSL_CITATION {"citationItems":[{"id":"ITEM-1","itemData":{"DOI":"https://doi.org/10.1016/j.rser.2019.109327","ISSN":"1364-0321","abstract":"To apply deep learning technique for estimating hourly global solar radiation (GSR) from geostationary satellite observations, a hybrid deep network is proposed, relying on convolutional neural network (CNN) to extract spatial pattern from satellite imagery, multi-layer perceptron (MLP) to link the abstract patterns and additional time/location information to target hourly GSR. Its representative advantage lies in the ability to characterize changeable cloud morphology and simulate complex non-linear relationships. The deep network is trained using ground measured GSR values at 90 Chinese radiation stations in 2008 as well as the radiative transfer model simulation at the top of Mt. Everest which serves as constraints of extrapolation for high elevation regions. The extensibility of trained network is validated at 5 independent stations in 2008, yielding an overall coefficient of determination (R2) of 0.82, and at all stations in 2007 along with an R2 of 0.88. Comparative experiments confirm that the combination of spatial pattern and point information can lead to more accurate estimation of hourly GSR, achieving a minimum root mean square error (RMSE) of 84.18 W/m2 (0.30 MJ/m2), 1.92 MJ/m2 and 1.08 MJ/m2 in hourly, daily total and monthly total scales, respectively. Moreover, the deep network is capable of mapping spatially continuous hourly GSR which reflects the regional differences and reproduce the diurnal cycles of solar radiation properly.","author":[{"dropping-particle":"","family":"Jiang","given":"Hou","non-dropping-particle":"","parse-names":false,"suffix":""},{"dropping-particle":"","family":"Lu","given":"Ning","non-dropping-particle":"","parse-names":false,"suffix":""},{"dropping-particle":"","family":"Qin","given":"Jun","non-dropping-particle":"","parse-names":false,"suffix":""},{"dropping-particle":"","family":"Tang","given":"Wenjun","non-dropping-particle":"","parse-names":false,"suffix":""},{"dropping-particle":"","family":"Yao","given":"Ling","non-dropping-particle":"","parse-names":false,"suffix":""}],"container-title":"Renewable and Sustainable Energy Reviews","id":"ITEM-1","issued":{"date-parts":[["2019"]]},"page":"109327","title":"A deep learning algorithm to estimate hourly global solar radiation from geostationary satellite data","type":"article-journal","volume":"114"},"uris":["http://www.mendeley.com/documents/?uuid=1a263bae-fd91-4c48-9931-e2fb4d74b6f7"]}],"mendeley":{"formattedCitation":"(Jiang et al., 2019)","plainTextFormattedCitation":"(Jiang et al., 2019)","previouslyFormattedCitation":"(Jiang et al., 2019)"},"properties":{"noteIndex":0},"schema":"https://github.com/citation-style-language/schema/raw/master/csl-citation.json"}</w:instrText>
      </w:r>
      <w:r>
        <w:rPr>
          <w:lang w:val="es-ES"/>
        </w:rPr>
      </w:r>
      <w:r>
        <w:rPr>
          <w:lang w:val="es-ES"/>
        </w:rPr>
        <w:fldChar w:fldCharType="separate"/>
      </w:r>
      <w:r>
        <w:rPr>
          <w:lang w:val="es-ES"/>
        </w:rPr>
        <w:t>(Jiang et al., 2019)</w:t>
      </w:r>
      <w:r>
        <w:rPr>
          <w:lang w:val="es-ES"/>
        </w:rPr>
      </w:r>
      <w:r>
        <w:rPr>
          <w:lang w:val="es-ES"/>
        </w:rPr>
        <w:fldChar w:fldCharType="end"/>
      </w:r>
      <w:r>
        <w:rPr>
          <w:lang w:val="es-ES"/>
        </w:rPr>
        <w:t>.</w:t>
      </w:r>
    </w:p>
    <w:p>
      <w:pPr>
        <w:pStyle w:val="Normal"/>
        <w:rPr>
          <w:lang w:val="es-ES"/>
        </w:rPr>
      </w:pPr>
      <w:r>
        <w:rPr>
          <w:lang w:val="es-ES"/>
        </w:rPr>
        <w:t xml:space="preserve">Los datos obtenidos al nivel del suelo presentan una medición más exacta de la radiación solar que llega a la superficie de la tierra, sin embargo, la cantidad de puntos geográficos en donde se recolectan los datos se ven reducidos debido a las limitaciones de instalación de los sensores  </w:t>
      </w:r>
      <w:r>
        <w:fldChar w:fldCharType="begin"/>
      </w:r>
      <w:r>
        <w:rPr>
          <w:lang w:val="es-ES"/>
        </w:rPr>
        <w:instrText>ADDIN CSL_CITATION {"citationItems":[{"id":"ITEM-1","itemData":{"DOI":"https://doi.org/10.1016/j.egypro.2018.11.052","ISSN":"1876-6102","abstract":"As the solar photovoltaic systems (PV) are massively installed into power system on an urban scale, short-term (about 10 seconds) fluctuations of PV output can negatively effect on the power system. Battery storage systems are capable of alleviating the effect of PV fluctuations; power flow simulation of such systems is also meaningful to discuss the practical operation and required capacity of those storages. Recent weather satellites provide quasi real time distribution data of solar radiation which is quite suitable for the power flow simulation. However, they do not equip enough temporal resolution to observe the short-term fluctuations of radiation. This paper proposes a temporal interpolation method for the radiation data derived from weather satellite, and aims to obtain plausible fluctuations in radiation values with high temporal resolution. The proposed method is mainly composed of two steps. The first step is an estimation of cloud movements. An object tracking technique is used to obtain plausible cloud movements by considering characteristics of clouds. The second step is an interpolation based on the estimated cloud movements. The experimental results show that the proposed method can produce more plausible radiation values than the other naive methods. We also compared radiation data collected by a satellite and those collected by ground measurement, and discuss the usefulness of interpolated radiation values for the power flow simulation.","author":[{"dropping-particle":"","family":"Hirooka","given":"Daigo","non-dropping-particle":"","parse-names":false,"suffix":""},{"dropping-particle":"","family":"Murata","given":"Noboru","non-dropping-particle":"","parse-names":false,"suffix":""},{"dropping-particle":"","family":"Fujimoto","given":"Yu","non-dropping-particle":"","parse-names":false,"suffix":""},{"dropping-particle":"","family":"Hayashi","given":"Yasuhiro","non-dropping-particle":"","parse-names":false,"suffix":""}],"container-title":"Energy Procedia","id":"ITEM-1","issued":{"date-parts":[["2018"]]},"page":"259-268","title":"Temporal Interpolation of Gridded Solar Radiation Data for Evaluation of PV Fluctuations","type":"article-journal","volume":"155"},"uris":["http://www.mendeley.com/documents/?uuid=d693d584-d97b-4c59-80f0-bb622f96c6a9"]}],"mendeley":{"formattedCitation":"(Hirooka et al., 2018)","plainTextFormattedCitation":"(Hirooka et al., 2018)","previouslyFormattedCitation":"(Hirooka et al., 2018)"},"properties":{"noteIndex":0},"schema":"https://github.com/citation-style-language/schema/raw/master/csl-citation.json"}</w:instrText>
      </w:r>
      <w:r>
        <w:rPr>
          <w:lang w:val="es-ES"/>
        </w:rPr>
      </w:r>
      <w:r>
        <w:rPr>
          <w:lang w:val="es-ES"/>
        </w:rPr>
        <w:fldChar w:fldCharType="separate"/>
      </w:r>
      <w:r>
        <w:rPr>
          <w:lang w:val="es-ES"/>
        </w:rPr>
        <w:t>(Hirooka et al., 2018)</w:t>
      </w:r>
      <w:r>
        <w:rPr>
          <w:lang w:val="es-ES"/>
        </w:rPr>
      </w:r>
      <w:r>
        <w:rPr>
          <w:lang w:val="es-ES"/>
        </w:rPr>
        <w:fldChar w:fldCharType="end"/>
      </w:r>
      <w:r>
        <w:rPr>
          <w:lang w:val="es-ES"/>
        </w:rPr>
        <w:t xml:space="preserve">, ante esto se plantea el uso de un modelo hibrido entre el modelo de radiación solar global y difusa junto a un modelo sobre el comportamiento de las nubes, permitiendo solventar el problema del modelo empírico de no tener en cuenta la disminución de la radiación solar final que llega a la superficie debido a las nubes, el modelo hibrido fue validado mediante datos obtenidos por estaciones meteorológicas al nivel del suelo, mostrando la utilidad un modelo hibrido como alternativa </w:t>
      </w:r>
      <w:r>
        <w:fldChar w:fldCharType="begin"/>
      </w:r>
      <w:r>
        <w:rPr>
          <w:lang w:val="es-ES"/>
        </w:rPr>
        <w:instrText>ADDIN CSL_CITATION {"citationItems":[{"id":"ITEM-1","itemData":{"DOI":"https://doi.org/10.1016/j.egypro.2018.11.052","ISSN":"1876-6102","abstract":"As the solar photovoltaic systems (PV) are massively installed into power system on an urban scale, short-term (about 10 seconds) fluctuations of PV output can negatively effect on the power system. Battery storage systems are capable of alleviating the effect of PV fluctuations; power flow simulation of such systems is also meaningful to discuss the practical operation and required capacity of those storages. Recent weather satellites provide quasi real time distribution data of solar radiation which is quite suitable for the power flow simulation. However, they do not equip enough temporal resolution to observe the short-term fluctuations of radiation. This paper proposes a temporal interpolation method for the radiation data derived from weather satellite, and aims to obtain plausible fluctuations in radiation values with high temporal resolution. The proposed method is mainly composed of two steps. The first step is an estimation of cloud movements. An object tracking technique is used to obtain plausible cloud movements by considering characteristics of clouds. The second step is an interpolation based on the estimated cloud movements. The experimental results show that the proposed method can produce more plausible radiation values than the other naive methods. We also compared radiation data collected by a satellite and those collected by ground measurement, and discuss the usefulness of interpolated radiation values for the power flow simulation.","author":[{"dropping-particle":"","family":"Hirooka","given":"Daigo","non-dropping-particle":"","parse-names":false,"suffix":""},{"dropping-particle":"","family":"Murata","given":"Noboru","non-dropping-particle":"","parse-names":false,"suffix":""},{"dropping-particle":"","family":"Fujimoto","given":"Yu","non-dropping-particle":"","parse-names":false,"suffix":""},{"dropping-particle":"","family":"Hayashi","given":"Yasuhiro","non-dropping-particle":"","parse-names":false,"suffix":""}],"container-title":"Energy Procedia","id":"ITEM-1","issued":{"date-parts":[["2018"]]},"page":"259-268","title":"Temporal Interpolation of Gridded Solar Radiation Data for Evaluation of PV Fluctuations","type":"article-journal","volume":"155"},"uris":["http://www.mendeley.com/documents/?uuid=d693d584-d97b-4c59-80f0-bb622f96c6a9"]}],"mendeley":{"formattedCitation":"(Hirooka et al., 2018)","plainTextFormattedCitation":"(Hirooka et al., 2018)","previouslyFormattedCitation":"(Hirooka et al., 2018)"},"properties":{"noteIndex":0},"schema":"https://github.com/citation-style-language/schema/raw/master/csl-citation.json"}</w:instrText>
      </w:r>
      <w:r>
        <w:rPr>
          <w:lang w:val="es-ES"/>
        </w:rPr>
      </w:r>
      <w:r>
        <w:rPr>
          <w:lang w:val="es-ES"/>
        </w:rPr>
        <w:fldChar w:fldCharType="separate"/>
      </w:r>
      <w:r>
        <w:rPr>
          <w:lang w:val="es-ES"/>
        </w:rPr>
        <w:t>(Hirooka et al., 2018)</w:t>
      </w:r>
      <w:r>
        <w:rPr>
          <w:lang w:val="es-ES"/>
        </w:rPr>
      </w:r>
      <w:r>
        <w:rPr>
          <w:lang w:val="es-ES"/>
        </w:rPr>
        <w:fldChar w:fldCharType="end"/>
      </w:r>
      <w:r>
        <w:rPr>
          <w:lang w:val="es-ES"/>
        </w:rPr>
        <w:t>.</w:t>
      </w:r>
    </w:p>
    <w:p>
      <w:pPr>
        <w:pStyle w:val="Normal"/>
        <w:rPr>
          <w:lang w:val="es-ES"/>
        </w:rPr>
      </w:pPr>
      <w:r>
        <w:rPr>
          <w:lang w:val="es-ES"/>
        </w:rPr>
        <w:t xml:space="preserve">Del mismo modo se pueden obtener datos interpolados mediante el uso de datos meteorológicos obtenidos al nivel del suelo, utilizando la humedad y la temperatura como parámetros en un modelo de redes neuronales, de esta manera, el entrenamiento del modelo se realiza con dos nuevos parámetros, los cuales presentan un alto nivel de correlación respecto a la radiación solar medida, mostrando la utilidad de entrenar un modelo con estos parámetros </w:t>
      </w:r>
      <w:r>
        <w:fldChar w:fldCharType="begin"/>
      </w:r>
      <w:r>
        <w:rPr>
          <w:lang w:val="es-ES"/>
        </w:rPr>
        <w:instrText>ADDIN CSL_CITATION {"citationItems":[{"id":"ITEM-1","itemData":{"DOI":"https://doi.org/10.1016/j.renene.2016.11.022","ISSN":"0960-1481","abstract":"This study compares geostatistical interpolation and stochastic simulation approaches for the estimation of daily global solar radiation (GSR) on a horizontal surface in order to fill in missing values and to extend short record length of a meteorological station. A guideline to select an approach is suggested based on this comparison. Three geostatistical interpolation models are developed using the nearest neighbor (NN), inverse distance weighted (IDW), and ordinary kriging (OK) schemes. Three stochastic simulation models are also developed using the artificial neural network (ANN) method with daily temperature (ANN(T)), relative humidity (ANN(H)), and both (ANN(TH)) variables as predictors. The six models are compared at 13 meteorological stations located across southern Quebec, Canada. The three geostatistical interpolation models yield better performances at stations located in a high density area of GSR measuring stations compared to the three stochastic simulation models. The guideline suggests an optimal approach by comparing a threshold distance, estimated according to a performance criteria of a stochastic simulation model, to the distance between a target and its nearest neighboring station. Additionally, the spatial correlation strength of daily GSRs and the at-site correlation strength between daily GSRs and the predictor variables should be considered.","author":[{"dropping-particle":"","family":"Jeong","given":"D I","non-dropping-particle":"","parse-names":false,"suffix":""},{"dropping-particle":"","family":"St-Hilaire","given":"A","non-dropping-particle":"","parse-names":false,"suffix":""},{"dropping-particle":"","family":"Gratton","given":"Y","non-dropping-particle":"","parse-names":false,"suffix":""},{"dropping-particle":"","family":"Bélanger","given":"C","non-dropping-particle":"","parse-names":false,"suffix":""},{"dropping-particle":"","family":"Saad","given":"C","non-dropping-particle":"","parse-names":false,"suffix":""}],"container-title":"Renewable Energy","id":"ITEM-1","issued":{"date-parts":[["2017"]]},"page":"70-80","title":"A guideline to select an estimation model of daily global solar radiation between geostatistical interpolation and stochastic simulation approaches","type":"article-journal","volume":"103"},"uris":["http://www.mendeley.com/documents/?uuid=4581ad09-9425-4a90-8137-2edca73ef788"]}],"mendeley":{"formattedCitation":"(Jeong et al., 2017)","plainTextFormattedCitation":"(Jeong et al., 2017)","previouslyFormattedCitation":"(Jeong et al., 2017)"},"properties":{"noteIndex":0},"schema":"https://github.com/citation-style-language/schema/raw/master/csl-citation.json"}</w:instrText>
      </w:r>
      <w:r>
        <w:rPr>
          <w:lang w:val="es-ES"/>
        </w:rPr>
      </w:r>
      <w:r>
        <w:rPr>
          <w:lang w:val="es-ES"/>
        </w:rPr>
        <w:fldChar w:fldCharType="separate"/>
      </w:r>
      <w:r>
        <w:rPr>
          <w:lang w:val="es-ES"/>
        </w:rPr>
        <w:t>(Jeong et al., 2017)</w:t>
      </w:r>
      <w:r>
        <w:rPr>
          <w:lang w:val="es-ES"/>
        </w:rPr>
      </w:r>
      <w:r>
        <w:rPr>
          <w:lang w:val="es-ES"/>
        </w:rPr>
        <w:fldChar w:fldCharType="end"/>
      </w:r>
      <w:r>
        <w:rPr>
          <w:lang w:val="es-ES"/>
        </w:rPr>
        <w:t>.</w:t>
      </w:r>
    </w:p>
    <w:p>
      <w:pPr>
        <w:pStyle w:val="Normal"/>
        <w:rPr>
          <w:lang w:val="es-ES"/>
        </w:rPr>
      </w:pPr>
      <w:r>
        <w:rPr>
          <w:lang w:val="es-ES"/>
        </w:rPr>
        <w:t xml:space="preserve">Ante la carencia de densidad de los datos de radiación solar obtenidos, se ha planteado el uso del internet de las cosas como una fuente valida de datos, estos datos fueron utilizados en una red neuronal y en una red neuronal hibrida, mostrando como alternativa el uso de sensores menos precisos pero de mayor uso en términos de densidad geoespacial </w:t>
      </w:r>
      <w:r>
        <w:fldChar w:fldCharType="begin"/>
      </w:r>
      <w:r>
        <w:rPr>
          <w:lang w:val="es-ES"/>
        </w:rPr>
        <w:instrText>ADDIN CSL_CITATION {"citationItems":[{"id":"ITEM-1","itemData":{"DOI":"https://doi.org/10.1016/j.jclepro.2020.121489","ISSN":"0959-6526","abstract":"Solar radiation measurements are highly important for achieving energy efficiency in smart buildings as well as solar energy production. They are commonly acquired with pyranometer sensor device. However, due to its high initial and maintenance costs it is not densely deployed in the field. Consequently, it provides only limited coverage as a data source for solar radiation. Hence, theoretical, empirical and/or data-driven models are utilized to estimate solar radiation in areas without pyranometers using only data from meteorological sensor stations, which on the other hand are widely available and obtained from sustainable sensor networks. In this paper, end to end process is described for building hybrid models for solar radiation using Artificial Intelligence (AI), or more specifically Machine Learning (ML) methods, after which a detailed analysis is performed on (1) the accuracy of the models regards to their parameters and input features, (2) the sustainability of the models in the real world, and finally (3) their feasibility in (near) real-time monitoring. The results are expressed with relative root mean squared error (RRMSE) and they show that hybrid models outperform model- and data-driven ones, with artificial neural network giving the best results (RRMSE = 0.0393). Additionally, the models can be enhanced by performing an informed feature selection, where a posteriori selection proves to be better than a priori selection (RRMSE = 0.0371). Further investigation shows that randomly selected input data gives faster model convergence as expected. However, sequential input data can match it if model training starts with autumn or spring data when weather exhibits sufficient variety. When applied on different times scales, all models perform best on 3h scale rather than daily, where random forest (RRMSE = 0.0275) outperforms neural network (RRMSE = 0.0315). However, for (near) real time usage the models perform almost the same as for daily, with RRMSE of 0.0469 for 1min scale with neural network. This demonstrates the feasibility of the hybrid models in Internet of Things (IoT) applications, which commonly require at least hourly intervals for solar radiation.","author":[{"dropping-particle":"","family":"Kosovic","given":"Ivana Nizetic","non-dropping-particle":"","parse-names":false,"suffix":""},{"dropping-particle":"","family":"Mastelic","given":"Toni","non-dropping-particle":"","parse-names":false,"suffix":""},{"dropping-particle":"","family":"Ivankovic","given":"Damir","non-dropping-particle":"","parse-names":false,"suffix":""}],"container-title":"Journal of Cleaner Production","id":"ITEM-1","issued":{"date-parts":[["2020"]]},"page":"121489","title":"Using Artificial Intelligence on environmental data from Internet of Things for estimating solar radiation: Comprehensive analysis","type":"article-journal","volume":"266"},"uris":["http://www.mendeley.com/documents/?uuid=b77b7083-b071-4b20-a34b-ec27cd59c28a"]}],"mendeley":{"formattedCitation":"(Kosovic et al., 2020)","plainTextFormattedCitation":"(Kosovic et al., 2020)","previouslyFormattedCitation":"(Kosovic et al., 2020)"},"properties":{"noteIndex":0},"schema":"https://github.com/citation-style-language/schema/raw/master/csl-citation.json"}</w:instrText>
      </w:r>
      <w:r>
        <w:rPr>
          <w:lang w:val="es-ES"/>
        </w:rPr>
      </w:r>
      <w:r>
        <w:rPr>
          <w:lang w:val="es-ES"/>
        </w:rPr>
        <w:fldChar w:fldCharType="separate"/>
      </w:r>
      <w:r>
        <w:rPr>
          <w:lang w:val="es-ES"/>
        </w:rPr>
        <w:t>(Kosovic et al., 2020)</w:t>
      </w:r>
      <w:r>
        <w:rPr>
          <w:lang w:val="es-ES"/>
        </w:rPr>
      </w:r>
      <w:r>
        <w:rPr>
          <w:lang w:val="es-ES"/>
        </w:rPr>
        <w:fldChar w:fldCharType="end"/>
      </w:r>
      <w:r>
        <w:rPr>
          <w:lang w:val="es-ES"/>
        </w:rPr>
        <w:t>.</w:t>
      </w:r>
    </w:p>
    <w:p>
      <w:pPr>
        <w:pStyle w:val="Normal"/>
        <w:rPr>
          <w:lang w:val="es-ES"/>
        </w:rPr>
      </w:pPr>
      <w:r>
        <w:rPr>
          <w:lang w:val="es-ES"/>
        </w:rPr>
        <w:t xml:space="preserve">También se han realizado estudios los cuales establecen modelos basados en las cadenas de Markov como un modelo al momento de estimar los valores de radiación solar en un área dada, reduciendo la cantidad de puntos geográficos requeridos para realizar el cálculo </w:t>
      </w:r>
      <w:r>
        <w:fldChar w:fldCharType="begin"/>
      </w:r>
      <w:r>
        <w:rPr>
          <w:lang w:val="es-ES"/>
        </w:rPr>
        <w:instrText>ADDIN CSL_CITATION {"citationItems":[{"id":"ITEM-1","itemData":{"DOI":"https://doi.org/10.3390/en12224402","abstract":": The description and forecasting of hourly solar resource is fundamental for the operation of solar energy systems in the electric grid. In this work, we provide insights regarding the hourly variation of the global horizontal irradiance in Medellín, Colombia, a large urban area within the tropical Andes. We propose a model based on Markov chains for forecasting the hourly solar irradiance for one day ahead. The Markov model was compared against estimates produced by different configurations of the weather research forecasting model (WRF). Our assessment showed that for the period considered, the average availability of the solar resource was of 5 PSH (peak sun hours), corresponding to an average daily radiation of ~5 kWh/m2 . This shows that Medellín, Colombia, has a substantial availability of the solar resource that can be a complementary source of energy during the dry season periods. In the case of the Markov model, the estimates exhibited typical root mean squared errors between ~80 W/m2 and ~170 W/m2 (~50%–~110%) under overcast conditions, and ~57 W/m2 to ~171 W/m2 (~16%–~38%) for clear sky conditions. In general, the proposed model had a performance comparable with the WRF model, while presenting a computationally inexpensive alternative to forecast hourly solar radiation one day in advance. The Markov model is presented as an alternative to estimate time series that can be used in energy markets by agents and power-system operators to deal with the uncertainty of solar power plants","author":[{"dropping-particle":"","family":"Urrego, Julian; Martinez","given":"Alejandro; Arias Paola","non-dropping-particle":"","parse-names":false,"suffix":""}],"container-title":"Energies","id":"ITEM-1","issued":{"date-parts":[["2019"]]},"title":"Assessment and Day-Ahead Forecasting of Hourly Solar Radiation in Medellín, Colombia","type":"article-journal"},"uris":["http://www.mendeley.com/documents/?uuid=a1dfce08-f1f8-4542-bf44-6b3d8e838cb6"]}],"mendeley":{"formattedCitation":"(Urrego, Julian; Martinez, 2019)","plainTextFormattedCitation":"(Urrego, Julian; Martinez, 2019)","previouslyFormattedCitation":"(Urrego, Julian; Martinez, 2019)"},"properties":{"noteIndex":0},"schema":"https://github.com/citation-style-language/schema/raw/master/csl-citation.json"}</w:instrText>
      </w:r>
      <w:r>
        <w:rPr>
          <w:lang w:val="es-ES"/>
        </w:rPr>
      </w:r>
      <w:r>
        <w:rPr>
          <w:lang w:val="es-ES"/>
        </w:rPr>
        <w:fldChar w:fldCharType="separate"/>
      </w:r>
      <w:r>
        <w:rPr>
          <w:lang w:val="es-ES"/>
        </w:rPr>
        <w:t>(Urrego, Julian; Martinez, 2019)</w:t>
      </w:r>
      <w:r>
        <w:rPr>
          <w:lang w:val="es-ES"/>
        </w:rPr>
      </w:r>
      <w:r>
        <w:rPr>
          <w:lang w:val="es-ES"/>
        </w:rPr>
        <w:fldChar w:fldCharType="end"/>
      </w:r>
      <w:r>
        <w:rPr>
          <w:lang w:val="es-ES"/>
        </w:rPr>
        <w:t>.</w:t>
      </w:r>
    </w:p>
    <w:p>
      <w:pPr>
        <w:pStyle w:val="Normal"/>
        <w:rPr>
          <w:lang w:val="es-ES"/>
        </w:rPr>
      </w:pPr>
      <w:r>
        <w:rPr>
          <w:lang w:val="es-ES"/>
        </w:rPr>
        <w:t xml:space="preserve">Existen estudios realizados en norte de Santander los cuales han hecho uso de modelos de redes neuronales y de redes neuronales adaptativas difusas mediante datos meteorológicos con una alta correlación con los valores de radiación solar, estos modelos fueron evaluados con datos empíricos y satelitales, demostrando un alto nivel de precisión y estabilidad de los modelos a través del tiempo y en diferentes áreas espaciales </w:t>
      </w:r>
      <w:r>
        <w:fldChar w:fldCharType="begin"/>
      </w:r>
      <w:r>
        <w:rPr>
          <w:lang w:val="es-ES"/>
        </w:rPr>
        <w:instrText>ADDIN CSL_CITATION {"citationItems":[{"id":"ITEM-1","itemData":{"abstract":"The absence of direct measurements of solar radiation in many countries around the world (due to the high costs of installation and maintenance of the measuring devices) has been identified (in the Colombian case by the Energy Mining Planning Unit) as one of the main barriers for the deployment of photovoltaic systems. In this sense, estimation techniques have been developed in the literature for locations where this variable is not measured. These techniques take advantage of the correlation between the irradiance and other climatic parameters of wider distribution and easier access to construct models that forecast with high accuracy the solar potential of a specific place. Thus, the current research exposes the implementation of an indirect estimation model designed with Artificial Intelligence that uses the temperature, humidity, wind speed and sunshine duration to predict the irradiation, as a tool for sizing photovoltaic systems in Norte de Santander (Colombia) where solar radiation measurements are available just in three of the 40 municipalities in which the region is geographically divided.","author":[{"dropping-particle":"","family":"Illera","given":"Mario Joaquin","non-dropping-particle":"","parse-names":false,"suffix":""}],"id":"ITEM-1","issued":{"date-parts":[["2019"]]},"publisher":"Universitat Politècnica de Catalunya","title":"SOLAR RADIATION ESTIMATION MODELS BASED ON ARTIFICIAL INTELLIGENCE APPLIED TO THE PHOTOVOLTAIC ELECTRICAL GENERATION FOR NORTE DE SANTANDER, COLOMBIA","type":"thesis"},"uris":["http://www.mendeley.com/documents/?uuid=ba2da535-a3e4-4a27-a738-0fabf6b559da"]}],"mendeley":{"formattedCitation":"(Illera, 2019)","plainTextFormattedCitation":"(Illera, 2019)","previouslyFormattedCitation":"(Illera, 2019)"},"properties":{"noteIndex":0},"schema":"https://github.com/citation-style-language/schema/raw/master/csl-citation.json"}</w:instrText>
      </w:r>
      <w:r>
        <w:rPr>
          <w:lang w:val="es-ES"/>
        </w:rPr>
      </w:r>
      <w:r>
        <w:rPr>
          <w:lang w:val="es-ES"/>
        </w:rPr>
        <w:fldChar w:fldCharType="separate"/>
      </w:r>
      <w:r>
        <w:rPr>
          <w:lang w:val="es-ES"/>
        </w:rPr>
        <w:t>(Illera, 2019)</w:t>
      </w:r>
      <w:r>
        <w:rPr>
          <w:lang w:val="es-ES"/>
        </w:rPr>
      </w:r>
      <w:r>
        <w:rPr>
          <w:lang w:val="es-ES"/>
        </w:rPr>
        <w:fldChar w:fldCharType="end"/>
      </w:r>
      <w:r>
        <w:rPr>
          <w:lang w:val="es-ES"/>
        </w:rPr>
        <w:t>.</w:t>
      </w:r>
      <w:r>
        <w:br w:type="page"/>
      </w:r>
    </w:p>
    <w:p>
      <w:pPr>
        <w:pStyle w:val="Ttulo1"/>
        <w:numPr>
          <w:ilvl w:val="0"/>
          <w:numId w:val="2"/>
        </w:numPr>
        <w:rPr>
          <w:lang w:val="es-ES"/>
        </w:rPr>
      </w:pPr>
      <w:bookmarkStart w:id="9" w:name="_Toc67485447"/>
      <w:bookmarkStart w:id="10" w:name="_Toc67484747"/>
      <w:bookmarkStart w:id="11" w:name="_Toc67215954"/>
      <w:r>
        <w:rPr>
          <w:lang w:val="es-ES"/>
        </w:rPr>
        <w:t>Justificación</w:t>
      </w:r>
      <w:bookmarkEnd w:id="9"/>
      <w:bookmarkEnd w:id="10"/>
      <w:bookmarkEnd w:id="11"/>
      <w:r>
        <w:br w:type="page"/>
      </w:r>
    </w:p>
    <w:p>
      <w:pPr>
        <w:pStyle w:val="Normal"/>
        <w:rPr>
          <w:lang w:val="es-ES"/>
        </w:rPr>
      </w:pPr>
      <w:r>
        <w:rPr>
          <w:lang w:val="es-ES"/>
        </w:rPr>
      </w:r>
    </w:p>
    <w:p>
      <w:pPr>
        <w:pStyle w:val="Ttulo1"/>
        <w:numPr>
          <w:ilvl w:val="0"/>
          <w:numId w:val="2"/>
        </w:numPr>
        <w:rPr>
          <w:lang w:val="es-ES"/>
        </w:rPr>
      </w:pPr>
      <w:bookmarkStart w:id="12" w:name="_Toc67485448"/>
      <w:bookmarkStart w:id="13" w:name="_Toc67484748"/>
      <w:bookmarkStart w:id="14" w:name="_Toc67215955"/>
      <w:r>
        <w:rPr>
          <w:lang w:val="es-ES"/>
        </w:rPr>
        <w:t>Objetivos</w:t>
      </w:r>
      <w:bookmarkEnd w:id="12"/>
      <w:bookmarkEnd w:id="13"/>
      <w:bookmarkEnd w:id="14"/>
    </w:p>
    <w:p>
      <w:pPr>
        <w:pStyle w:val="Ttulo2"/>
        <w:numPr>
          <w:ilvl w:val="1"/>
          <w:numId w:val="3"/>
        </w:numPr>
        <w:rPr/>
      </w:pPr>
      <w:r>
        <w:rPr/>
        <w:t xml:space="preserve">   </w:t>
      </w:r>
      <w:bookmarkStart w:id="15" w:name="_Toc67485449"/>
      <w:bookmarkStart w:id="16" w:name="_Toc67484749"/>
      <w:bookmarkStart w:id="17" w:name="_Toc67215956"/>
      <w:r>
        <w:rPr/>
        <w:t>Objetivo general</w:t>
      </w:r>
      <w:bookmarkEnd w:id="15"/>
      <w:bookmarkEnd w:id="16"/>
      <w:bookmarkEnd w:id="17"/>
    </w:p>
    <w:p>
      <w:pPr>
        <w:pStyle w:val="Normal"/>
        <w:rPr>
          <w:u w:val="single"/>
        </w:rPr>
      </w:pPr>
      <w:r>
        <w:rPr/>
        <w:t>Malo xdddd</w:t>
      </w:r>
    </w:p>
    <w:p>
      <w:pPr>
        <w:pStyle w:val="Normal"/>
        <w:ind w:hanging="0"/>
        <w:rPr>
          <w:lang w:val="es-ES"/>
        </w:rPr>
      </w:pPr>
      <w:r>
        <w:rPr>
          <w:lang w:val="es-ES"/>
        </w:rPr>
      </w:r>
    </w:p>
    <w:p>
      <w:pPr>
        <w:pStyle w:val="Ttulo2"/>
        <w:numPr>
          <w:ilvl w:val="1"/>
          <w:numId w:val="3"/>
        </w:numPr>
        <w:rPr/>
      </w:pPr>
      <w:r>
        <w:rPr/>
        <w:t xml:space="preserve">  </w:t>
      </w:r>
      <w:bookmarkStart w:id="18" w:name="_Toc67485450"/>
      <w:bookmarkStart w:id="19" w:name="_Toc67484750"/>
      <w:bookmarkStart w:id="20" w:name="_Toc67215957"/>
      <w:r>
        <w:rPr/>
        <w:t>Objetivos específicos</w:t>
      </w:r>
      <w:bookmarkEnd w:id="18"/>
      <w:bookmarkEnd w:id="19"/>
      <w:bookmarkEnd w:id="20"/>
    </w:p>
    <w:p>
      <w:pPr>
        <w:pStyle w:val="ListParagraph"/>
        <w:numPr>
          <w:ilvl w:val="0"/>
          <w:numId w:val="1"/>
        </w:numPr>
        <w:rPr>
          <w:lang w:val="es-ES"/>
        </w:rPr>
      </w:pPr>
      <w:r>
        <w:rPr>
          <w:lang w:val="es-ES"/>
        </w:rPr>
        <w:t>Identificar las técnicas de extracción de características y los modelos de interpolación que se ajusten a la generación de puntos intermedios de radiación sola en el área metropolitana de Bucaramanga.</w:t>
      </w:r>
    </w:p>
    <w:p>
      <w:pPr>
        <w:pStyle w:val="ListParagraph"/>
        <w:numPr>
          <w:ilvl w:val="0"/>
          <w:numId w:val="1"/>
        </w:numPr>
        <w:rPr>
          <w:lang w:val="es-ES"/>
        </w:rPr>
      </w:pPr>
      <w:r>
        <w:rPr>
          <w:lang w:val="es-ES"/>
        </w:rPr>
        <w:t>Establecer un conjunto de datos mediante la consulta de bases de datos meteorológicas como dataset de entrenamiento y evaluación.</w:t>
      </w:r>
    </w:p>
    <w:p>
      <w:pPr>
        <w:pStyle w:val="ListParagraph"/>
        <w:numPr>
          <w:ilvl w:val="0"/>
          <w:numId w:val="1"/>
        </w:numPr>
        <w:rPr>
          <w:lang w:val="es-ES"/>
        </w:rPr>
      </w:pPr>
      <w:r>
        <w:rPr>
          <w:lang w:val="es-ES"/>
        </w:rPr>
        <w:t>Determinar el modelo más representativo mediante métricas estadísticas de exactitud y precisión para la generación de datos intermedios de radiación solar global.</w:t>
      </w:r>
    </w:p>
    <w:p>
      <w:pPr>
        <w:pStyle w:val="Normal"/>
        <w:spacing w:lineRule="auto" w:line="240"/>
        <w:ind w:hanging="0"/>
        <w:rPr>
          <w:lang w:val="es-ES"/>
        </w:rPr>
      </w:pPr>
      <w:r>
        <w:rPr>
          <w:lang w:val="es-ES"/>
        </w:rPr>
      </w:r>
      <w:r>
        <w:br w:type="page"/>
      </w:r>
    </w:p>
    <w:p>
      <w:pPr>
        <w:pStyle w:val="Ttulo1"/>
        <w:numPr>
          <w:ilvl w:val="0"/>
          <w:numId w:val="2"/>
        </w:numPr>
        <w:rPr>
          <w:lang w:val="es-ES"/>
        </w:rPr>
      </w:pPr>
      <w:bookmarkStart w:id="21" w:name="_Toc67485451"/>
      <w:bookmarkStart w:id="22" w:name="_Toc67484751"/>
      <w:bookmarkStart w:id="23" w:name="_Toc67215958"/>
      <w:r>
        <w:rPr>
          <w:lang w:val="es-ES"/>
        </w:rPr>
        <w:t>Marco teórico</w:t>
      </w:r>
      <w:bookmarkEnd w:id="21"/>
      <w:bookmarkEnd w:id="22"/>
      <w:bookmarkEnd w:id="23"/>
    </w:p>
    <w:p>
      <w:pPr>
        <w:pStyle w:val="Normal"/>
        <w:spacing w:lineRule="auto" w:line="240"/>
        <w:ind w:hanging="0"/>
        <w:rPr>
          <w:b/>
          <w:b/>
          <w:bCs/>
          <w:lang w:val="es-ES"/>
        </w:rPr>
      </w:pPr>
      <w:r>
        <w:rPr>
          <w:b/>
          <w:bCs/>
          <w:lang w:val="es-ES"/>
        </w:rPr>
      </w:r>
      <w:r>
        <w:br w:type="page"/>
      </w:r>
    </w:p>
    <w:p>
      <w:pPr>
        <w:pStyle w:val="Ttulo1"/>
        <w:numPr>
          <w:ilvl w:val="0"/>
          <w:numId w:val="2"/>
        </w:numPr>
        <w:rPr>
          <w:lang w:val="es-ES"/>
        </w:rPr>
      </w:pPr>
      <w:bookmarkStart w:id="24" w:name="_Toc67485452"/>
      <w:bookmarkStart w:id="25" w:name="_Toc67484752"/>
      <w:bookmarkStart w:id="26" w:name="_Toc67215959"/>
      <w:r>
        <w:rPr>
          <w:lang w:val="es-ES"/>
        </w:rPr>
        <w:t>Metodología</w:t>
      </w:r>
      <w:bookmarkEnd w:id="24"/>
      <w:bookmarkEnd w:id="25"/>
      <w:bookmarkEnd w:id="26"/>
    </w:p>
    <w:p>
      <w:pPr>
        <w:pStyle w:val="Normal"/>
        <w:spacing w:lineRule="auto" w:line="240"/>
        <w:ind w:hanging="0"/>
        <w:rPr>
          <w:b/>
          <w:b/>
          <w:bCs/>
          <w:lang w:val="es-ES"/>
        </w:rPr>
      </w:pPr>
      <w:r>
        <w:rPr>
          <w:b/>
          <w:bCs/>
          <w:lang w:val="es-ES"/>
        </w:rPr>
      </w:r>
      <w:r>
        <w:br w:type="page"/>
      </w:r>
    </w:p>
    <w:p>
      <w:pPr>
        <w:pStyle w:val="Ttulo1"/>
        <w:numPr>
          <w:ilvl w:val="0"/>
          <w:numId w:val="2"/>
        </w:numPr>
        <w:rPr>
          <w:lang w:val="es-ES"/>
        </w:rPr>
      </w:pPr>
      <w:bookmarkStart w:id="27" w:name="_Toc67485453"/>
      <w:bookmarkStart w:id="28" w:name="_Toc67484753"/>
      <w:bookmarkStart w:id="29" w:name="_Toc67215960"/>
      <w:r>
        <w:rPr>
          <w:lang w:val="es-ES"/>
        </w:rPr>
        <w:t>Alcances</w:t>
      </w:r>
      <w:bookmarkEnd w:id="27"/>
      <w:bookmarkEnd w:id="28"/>
      <w:bookmarkEnd w:id="29"/>
    </w:p>
    <w:p>
      <w:pPr>
        <w:pStyle w:val="Normal"/>
        <w:rPr>
          <w:lang w:val="es-ES"/>
        </w:rPr>
      </w:pPr>
      <w:r>
        <w:rPr>
          <w:lang w:val="es-ES"/>
        </w:rPr>
        <w:t>El desarrollo y cumplimiento de este trabajo de grado se espera encontrar un algoritmo para la generación de puntos intermedios de radiación solar para el área metropolitana de Bucaramanga.</w:t>
      </w:r>
    </w:p>
    <w:p>
      <w:pPr>
        <w:pStyle w:val="Normal"/>
        <w:rPr>
          <w:lang w:val="es-ES"/>
        </w:rPr>
      </w:pPr>
      <w:r>
        <w:rPr>
          <w:lang w:val="es-ES"/>
        </w:rPr>
        <w:t>Con el conocimiento adquirido en este proyecto se espera que contribuya al área de ciencia de datos de la facultad de ingeniería de sistemas e informática permitiendo posteriores investigaciones y el desarrollo de futuros modelos sobre información de radiación solar. Del mismo modo, se espera contribuir al área de estudio de la radiación solar como fenómeno natural o como fuente energética renovable.</w:t>
      </w:r>
    </w:p>
    <w:p>
      <w:pPr>
        <w:pStyle w:val="Normal"/>
        <w:spacing w:lineRule="auto" w:line="240"/>
        <w:ind w:hanging="0"/>
        <w:rPr>
          <w:b/>
          <w:b/>
          <w:bCs/>
          <w:lang w:val="es-ES"/>
        </w:rPr>
      </w:pPr>
      <w:r>
        <w:rPr>
          <w:b/>
          <w:bCs/>
          <w:lang w:val="es-ES"/>
        </w:rPr>
      </w:r>
      <w:r>
        <w:br w:type="page"/>
      </w:r>
    </w:p>
    <w:p>
      <w:pPr>
        <w:pStyle w:val="Ttulo1"/>
        <w:numPr>
          <w:ilvl w:val="0"/>
          <w:numId w:val="2"/>
        </w:numPr>
        <w:rPr>
          <w:lang w:val="es-ES"/>
        </w:rPr>
      </w:pPr>
      <w:bookmarkStart w:id="30" w:name="_Toc67485454"/>
      <w:bookmarkStart w:id="31" w:name="_Toc67484754"/>
      <w:bookmarkStart w:id="32" w:name="_Toc67215961"/>
      <w:r>
        <w:rPr>
          <w:lang w:val="es-ES"/>
        </w:rPr>
        <w:t>Cronograma</w:t>
      </w:r>
      <w:bookmarkEnd w:id="30"/>
      <w:bookmarkEnd w:id="31"/>
      <w:bookmarkEnd w:id="32"/>
    </w:p>
    <w:p>
      <w:pPr>
        <w:pStyle w:val="Normal"/>
        <w:ind w:hanging="0"/>
        <w:rPr/>
      </w:pPr>
      <w:r>
        <w:rPr/>
      </w:r>
    </w:p>
    <w:sectPr>
      <w:headerReference w:type="default" r:id="rId2"/>
      <w:type w:val="nextPage"/>
      <w:pgSz w:w="12240" w:h="15840"/>
      <w:pgMar w:left="1800" w:right="1800" w:header="1440" w:top="2016"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3"/>
      <w:ind w:right="360" w:firstLine="284"/>
      <w:jc w:val="center"/>
      <w:rPr/>
    </w:pPr>
    <w:r>
      <w:rPr/>
    </w:r>
    <w:r>
      <mc:AlternateContent>
        <mc:Choice Requires="wps">
          <w:drawing>
            <wp:anchor behindDoc="0" distT="0" distB="0" distL="0" distR="0" simplePos="0" locked="0" layoutInCell="1" allowOverlap="1" relativeHeight="15">
              <wp:simplePos x="0" y="0"/>
              <wp:positionH relativeFrom="margin">
                <wp:align>right</wp:align>
              </wp:positionH>
              <wp:positionV relativeFrom="paragraph">
                <wp:posOffset>635</wp:posOffset>
              </wp:positionV>
              <wp:extent cx="333375" cy="175260"/>
              <wp:effectExtent l="0" t="0" r="0" b="0"/>
              <wp:wrapSquare wrapText="largest"/>
              <wp:docPr id="1" name="Marco1"/>
              <a:graphic xmlns:a="http://schemas.openxmlformats.org/drawingml/2006/main">
                <a:graphicData uri="http://schemas.microsoft.com/office/word/2010/wordprocessingShape">
                  <wps:wsp>
                    <wps:cNvSpPr txBox="1"/>
                    <wps:spPr>
                      <a:xfrm>
                        <a:off x="0" y="0"/>
                        <a:ext cx="333375" cy="175260"/>
                      </a:xfrm>
                      <a:prstGeom prst="rect"/>
                      <a:solidFill>
                        <a:srgbClr val="FFFFFF">
                          <a:alpha val="0"/>
                        </a:srgbClr>
                      </a:solidFill>
                    </wps:spPr>
                    <wps:txbx>
                      <w:txbxContent>
                        <w:p>
                          <w:pPr>
                            <w:pStyle w:val="Cabecera"/>
                            <w:pBdr/>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26.25pt;height:13.8pt;mso-wrap-distance-left:0pt;mso-wrap-distance-right:0pt;mso-wrap-distance-top:0pt;mso-wrap-distance-bottom:0pt;margin-top:0.05pt;mso-position-vertical-relative:text;margin-left:405.75pt;mso-position-horizontal:right;mso-position-horizontal-relative:margin">
              <v:fill opacity="0f"/>
              <v:textbox inset="0in,0in,0in,0in">
                <w:txbxContent>
                  <w:p>
                    <w:pPr>
                      <w:pStyle w:val="Cabecera"/>
                      <w:pBdr/>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04" w:hanging="360"/>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2">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3">
    <w:lvl w:ilvl="0">
      <w:start w:val="4"/>
      <w:numFmt w:val="decimal"/>
      <w:lvlText w:val="%1."/>
      <w:lvlJc w:val="left"/>
      <w:pPr>
        <w:tabs>
          <w:tab w:val="num" w:pos="0"/>
        </w:tabs>
        <w:ind w:left="360" w:hanging="360"/>
      </w:pPr>
    </w:lvl>
    <w:lvl w:ilvl="1">
      <w:start w:val="1"/>
      <w:numFmt w:val="decimal"/>
      <w:lvlText w:val="%1.%2."/>
      <w:lvlJc w:val="left"/>
      <w:pPr>
        <w:tabs>
          <w:tab w:val="num" w:pos="0"/>
        </w:tabs>
        <w:ind w:left="1364" w:hanging="360"/>
      </w:pPr>
    </w:lvl>
    <w:lvl w:ilvl="2">
      <w:start w:val="1"/>
      <w:numFmt w:val="decimal"/>
      <w:lvlText w:val="%1.%2.%3."/>
      <w:lvlJc w:val="left"/>
      <w:pPr>
        <w:tabs>
          <w:tab w:val="num" w:pos="0"/>
        </w:tabs>
        <w:ind w:left="2728" w:hanging="720"/>
      </w:pPr>
    </w:lvl>
    <w:lvl w:ilvl="3">
      <w:start w:val="1"/>
      <w:numFmt w:val="decimal"/>
      <w:lvlText w:val="%1.%2.%3.%4."/>
      <w:lvlJc w:val="left"/>
      <w:pPr>
        <w:tabs>
          <w:tab w:val="num" w:pos="0"/>
        </w:tabs>
        <w:ind w:left="3732" w:hanging="720"/>
      </w:pPr>
    </w:lvl>
    <w:lvl w:ilvl="4">
      <w:start w:val="1"/>
      <w:numFmt w:val="decimal"/>
      <w:lvlText w:val="%1.%2.%3.%4.%5."/>
      <w:lvlJc w:val="left"/>
      <w:pPr>
        <w:tabs>
          <w:tab w:val="num" w:pos="0"/>
        </w:tabs>
        <w:ind w:left="5096" w:hanging="1080"/>
      </w:pPr>
    </w:lvl>
    <w:lvl w:ilvl="5">
      <w:start w:val="1"/>
      <w:numFmt w:val="decimal"/>
      <w:lvlText w:val="%1.%2.%3.%4.%5.%6."/>
      <w:lvlJc w:val="left"/>
      <w:pPr>
        <w:tabs>
          <w:tab w:val="num" w:pos="0"/>
        </w:tabs>
        <w:ind w:left="6100" w:hanging="1080"/>
      </w:pPr>
    </w:lvl>
    <w:lvl w:ilvl="6">
      <w:start w:val="1"/>
      <w:numFmt w:val="decimal"/>
      <w:lvlText w:val="%1.%2.%3.%4.%5.%6.%7."/>
      <w:lvlJc w:val="left"/>
      <w:pPr>
        <w:tabs>
          <w:tab w:val="num" w:pos="0"/>
        </w:tabs>
        <w:ind w:left="7464" w:hanging="1440"/>
      </w:pPr>
    </w:lvl>
    <w:lvl w:ilvl="7">
      <w:start w:val="1"/>
      <w:numFmt w:val="decimal"/>
      <w:lvlText w:val="%1.%2.%3.%4.%5.%6.%7.%8."/>
      <w:lvlJc w:val="left"/>
      <w:pPr>
        <w:tabs>
          <w:tab w:val="num" w:pos="0"/>
        </w:tabs>
        <w:ind w:left="8468" w:hanging="1440"/>
      </w:pPr>
    </w:lvl>
    <w:lvl w:ilvl="8">
      <w:start w:val="1"/>
      <w:numFmt w:val="decimal"/>
      <w:lvlText w:val="%1.%2.%3.%4.%5.%6.%7.%8.%9."/>
      <w:lvlJc w:val="left"/>
      <w:pPr>
        <w:tabs>
          <w:tab w:val="num" w:pos="0"/>
        </w:tabs>
        <w:ind w:left="9832"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4610c"/>
    <w:pPr>
      <w:widowControl/>
      <w:bidi w:val="0"/>
      <w:spacing w:lineRule="auto" w:line="480" w:before="0" w:after="0"/>
      <w:ind w:firstLine="284"/>
      <w:jc w:val="left"/>
    </w:pPr>
    <w:rPr>
      <w:rFonts w:ascii="Times New Roman" w:hAnsi="Times New Roman" w:eastAsia="Times New Roman" w:cs="Times New Roman"/>
      <w:color w:val="auto"/>
      <w:kern w:val="0"/>
      <w:sz w:val="24"/>
      <w:szCs w:val="24"/>
      <w:lang w:eastAsia="en-US" w:val="es-CO" w:bidi="ar-SA"/>
    </w:rPr>
  </w:style>
  <w:style w:type="paragraph" w:styleId="Ttulo1">
    <w:name w:val="Heading 1"/>
    <w:basedOn w:val="Normal"/>
    <w:next w:val="Normal"/>
    <w:link w:val="Ttulo1Car"/>
    <w:autoRedefine/>
    <w:qFormat/>
    <w:rsid w:val="008c633d"/>
    <w:pPr>
      <w:jc w:val="center"/>
      <w:outlineLvl w:val="0"/>
    </w:pPr>
    <w:rPr>
      <w:b/>
      <w:bCs/>
    </w:rPr>
  </w:style>
  <w:style w:type="paragraph" w:styleId="Ttulo2">
    <w:name w:val="Heading 2"/>
    <w:basedOn w:val="Normal"/>
    <w:next w:val="Normal"/>
    <w:autoRedefine/>
    <w:qFormat/>
    <w:rsid w:val="005570f5"/>
    <w:pPr>
      <w:keepNext w:val="true"/>
      <w:outlineLvl w:val="1"/>
    </w:pPr>
    <w:rPr>
      <w:rFonts w:cs="Arial"/>
      <w:b/>
      <w:bCs/>
      <w:iCs/>
      <w:szCs w:val="28"/>
      <w:lang w:val="es-ES"/>
    </w:rPr>
  </w:style>
  <w:style w:type="paragraph" w:styleId="Ttulo3">
    <w:name w:val="Heading 3"/>
    <w:basedOn w:val="Normal"/>
    <w:next w:val="Normal"/>
    <w:autoRedefine/>
    <w:qFormat/>
    <w:rsid w:val="00707877"/>
    <w:pPr>
      <w:outlineLvl w:val="2"/>
    </w:pPr>
    <w:rPr/>
  </w:style>
  <w:style w:type="paragraph" w:styleId="Ttulo4">
    <w:name w:val="Heading 4"/>
    <w:basedOn w:val="Normal"/>
    <w:next w:val="Normal"/>
    <w:link w:val="Ttulo4Car"/>
    <w:unhideWhenUsed/>
    <w:qFormat/>
    <w:rsid w:val="00546133"/>
    <w:pPr>
      <w:keepNext w:val="true"/>
      <w:spacing w:before="240" w:after="60"/>
      <w:outlineLvl w:val="3"/>
    </w:pPr>
    <w:rPr>
      <w:b/>
      <w:bCs/>
      <w:i/>
      <w:sz w:val="28"/>
      <w:szCs w:val="28"/>
    </w:rPr>
  </w:style>
  <w:style w:type="character" w:styleId="DefaultParagraphFont" w:default="1">
    <w:name w:val="Default Paragraph Font"/>
    <w:uiPriority w:val="1"/>
    <w:semiHidden/>
    <w:unhideWhenUsed/>
    <w:qFormat/>
    <w:rPr/>
  </w:style>
  <w:style w:type="character" w:styleId="SYSHYPERTEXT" w:customStyle="1">
    <w:name w:val="SYS_HYPERTEXT"/>
    <w:qFormat/>
    <w:rPr>
      <w:color w:val="0000FF"/>
      <w:u w:val="single"/>
    </w:rPr>
  </w:style>
  <w:style w:type="character" w:styleId="QuickFormat2" w:customStyle="1">
    <w:name w:val="QuickFormat2"/>
    <w:qFormat/>
    <w:rPr>
      <w:rFonts w:ascii="Arial" w:hAnsi="Arial" w:cs="Arial"/>
    </w:rPr>
  </w:style>
  <w:style w:type="character" w:styleId="QuickFormat3" w:customStyle="1">
    <w:name w:val="QuickFormat3"/>
    <w:qFormat/>
    <w:rPr>
      <w:rFonts w:ascii="Arial" w:hAnsi="Arial" w:cs="Arial"/>
      <w:b/>
      <w:bCs/>
      <w:i/>
      <w:iCs/>
    </w:rPr>
  </w:style>
  <w:style w:type="character" w:styleId="Pagenumber">
    <w:name w:val="page number"/>
    <w:basedOn w:val="DefaultParagraphFont"/>
    <w:qFormat/>
    <w:rPr/>
  </w:style>
  <w:style w:type="character" w:styleId="EnlacedeInternet">
    <w:name w:val="Enlace de Internet"/>
    <w:uiPriority w:val="99"/>
    <w:rPr>
      <w:color w:val="0000FF"/>
      <w:u w:val="single"/>
    </w:rPr>
  </w:style>
  <w:style w:type="character" w:styleId="Ttulo1Car" w:customStyle="1">
    <w:name w:val="Título 1 Car"/>
    <w:link w:val="Ttulo1"/>
    <w:qFormat/>
    <w:rsid w:val="008c633d"/>
    <w:rPr>
      <w:b/>
      <w:bCs/>
      <w:sz w:val="24"/>
      <w:szCs w:val="24"/>
    </w:rPr>
  </w:style>
  <w:style w:type="character" w:styleId="Ttulo4Car" w:customStyle="1">
    <w:name w:val="Título 4 Car"/>
    <w:link w:val="Ttulo4"/>
    <w:qFormat/>
    <w:rsid w:val="00546133"/>
    <w:rPr>
      <w:rFonts w:eastAsia="Times New Roman" w:cs="Times New Roman"/>
      <w:b/>
      <w:bCs/>
      <w:i/>
      <w:sz w:val="28"/>
      <w:szCs w:val="28"/>
    </w:rPr>
  </w:style>
  <w:style w:type="character" w:styleId="TextoindependienteCar" w:customStyle="1">
    <w:name w:val="Texto independiente Car"/>
    <w:link w:val="Textoindependiente"/>
    <w:qFormat/>
    <w:rsid w:val="00707877"/>
    <w:rPr>
      <w:sz w:val="22"/>
      <w:szCs w:val="22"/>
    </w:rPr>
  </w:style>
  <w:style w:type="character" w:styleId="SangradetextonormalCar" w:customStyle="1">
    <w:name w:val="Sangría de texto normal Car"/>
    <w:link w:val="Sangradetextonormal"/>
    <w:qFormat/>
    <w:rsid w:val="00707877"/>
    <w:rPr>
      <w:sz w:val="32"/>
      <w:szCs w:val="3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pPr/>
    <w:rPr>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tabs>
        <w:tab w:val="clear" w:pos="720"/>
        <w:tab w:val="center" w:pos="4320" w:leader="none"/>
        <w:tab w:val="right" w:pos="8640" w:leader="none"/>
      </w:tabs>
    </w:pPr>
    <w:rPr/>
  </w:style>
  <w:style w:type="paragraph" w:styleId="Cabecera">
    <w:name w:val="Header"/>
    <w:basedOn w:val="Normal"/>
    <w:pPr>
      <w:tabs>
        <w:tab w:val="clear" w:pos="720"/>
        <w:tab w:val="center" w:pos="4320" w:leader="none"/>
        <w:tab w:val="right" w:pos="8640" w:leader="none"/>
      </w:tabs>
    </w:pPr>
    <w:rPr/>
  </w:style>
  <w:style w:type="paragraph" w:styleId="Level1" w:customStyle="1">
    <w:name w:val="Level 1"/>
    <w:qFormat/>
    <w:pPr>
      <w:widowControl/>
      <w:bidi w:val="0"/>
      <w:spacing w:before="0" w:after="0"/>
      <w:ind w:left="720" w:hanging="0"/>
      <w:jc w:val="left"/>
    </w:pPr>
    <w:rPr>
      <w:rFonts w:ascii="Times New Roman" w:hAnsi="Times New Roman" w:eastAsia="Times New Roman" w:cs="Times New Roman"/>
      <w:color w:val="auto"/>
      <w:kern w:val="0"/>
      <w:sz w:val="24"/>
      <w:szCs w:val="24"/>
      <w:lang w:val="en-US" w:eastAsia="en-US" w:bidi="ar-SA"/>
    </w:rPr>
  </w:style>
  <w:style w:type="paragraph" w:styleId="Titular">
    <w:name w:val="Title"/>
    <w:basedOn w:val="Normal"/>
    <w:qFormat/>
    <w:pPr>
      <w:jc w:val="center"/>
    </w:pPr>
    <w:rPr>
      <w:sz w:val="28"/>
      <w:szCs w:val="28"/>
    </w:rPr>
  </w:style>
  <w:style w:type="paragraph" w:styleId="Subttulo">
    <w:name w:val="Subtitle"/>
    <w:basedOn w:val="Normal"/>
    <w:qFormat/>
    <w:pPr/>
    <w:rPr>
      <w:b/>
      <w:bCs/>
    </w:rPr>
  </w:style>
  <w:style w:type="paragraph" w:styleId="Cuerpodetextoconsangra">
    <w:name w:val="Body Text Indent"/>
    <w:basedOn w:val="Normal"/>
    <w:link w:val="SangradetextonormalCar"/>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720" w:firstLine="284"/>
      <w:jc w:val="both"/>
    </w:pPr>
    <w:rPr>
      <w:sz w:val="32"/>
      <w:szCs w:val="32"/>
    </w:rPr>
  </w:style>
  <w:style w:type="paragraph" w:styleId="QuickFormat6" w:customStyle="1">
    <w:name w:val="QuickFormat6"/>
    <w:qFormat/>
    <w:pPr>
      <w:widowControl/>
      <w:bidi w:val="0"/>
      <w:spacing w:before="0" w:after="0"/>
      <w:jc w:val="left"/>
    </w:pPr>
    <w:rPr>
      <w:rFonts w:ascii="Arial" w:hAnsi="Arial" w:cs="Arial" w:eastAsia="Times New Roman"/>
      <w:color w:val="auto"/>
      <w:kern w:val="0"/>
      <w:sz w:val="24"/>
      <w:szCs w:val="24"/>
      <w:lang w:val="en-US" w:eastAsia="en-US" w:bidi="ar-SA"/>
    </w:rPr>
  </w:style>
  <w:style w:type="paragraph" w:styleId="BodyText2">
    <w:name w:val="Body Text 2"/>
    <w:basedOn w:val="Normal"/>
    <w:qFormat/>
    <w:pPr>
      <w:tabs>
        <w:tab w:val="clear" w:pos="720"/>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right="52" w:firstLine="284"/>
    </w:pPr>
    <w:rPr>
      <w:rFonts w:ascii="Arial" w:hAnsi="Arial" w:cs="Arial"/>
    </w:rPr>
  </w:style>
  <w:style w:type="paragraph" w:styleId="BodyTextIndent2">
    <w:name w:val="Body Text Indent 2"/>
    <w:basedOn w:val="Normal"/>
    <w:qFormat/>
    <w:pPr>
      <w:tabs>
        <w:tab w:val="clear" w:pos="720"/>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935" w:firstLine="284"/>
    </w:pPr>
    <w:rPr>
      <w:rFonts w:ascii="Arial" w:hAnsi="Arial" w:cs="Arial"/>
      <w:sz w:val="17"/>
      <w:szCs w:val="17"/>
    </w:rPr>
  </w:style>
  <w:style w:type="paragraph" w:styleId="BodyTextIndent3">
    <w:name w:val="Body Text Indent 3"/>
    <w:basedOn w:val="Normal"/>
    <w:qFormat/>
    <w:p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left="1080" w:hanging="1080"/>
    </w:pPr>
    <w:rPr>
      <w:rFonts w:ascii="Arial" w:hAnsi="Arial" w:cs="Arial"/>
      <w:sz w:val="20"/>
    </w:rPr>
  </w:style>
  <w:style w:type="paragraph" w:styleId="BlockText">
    <w:name w:val="Block Text"/>
    <w:basedOn w:val="Normal"/>
    <w:qFormat/>
    <w:pPr>
      <w:keepNext w:val="true"/>
      <w:tabs>
        <w:tab w:val="clear" w:pos="720"/>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440" w:right="630" w:firstLine="284"/>
    </w:pPr>
    <w:rPr>
      <w:sz w:val="18"/>
      <w:szCs w:val="18"/>
    </w:rPr>
  </w:style>
  <w:style w:type="paragraph" w:styleId="Caption">
    <w:name w:val="caption"/>
    <w:basedOn w:val="Normal"/>
    <w:next w:val="Normal"/>
    <w:autoRedefine/>
    <w:qFormat/>
    <w:rsid w:val="006855ca"/>
    <w:pPr>
      <w:spacing w:before="120" w:after="120"/>
    </w:pPr>
    <w:rPr>
      <w:bCs/>
      <w:i/>
      <w:szCs w:val="20"/>
    </w:rPr>
  </w:style>
  <w:style w:type="paragraph" w:styleId="Tableoffigures">
    <w:name w:val="table of figures"/>
    <w:basedOn w:val="Normal"/>
    <w:next w:val="Normal"/>
    <w:semiHidden/>
    <w:qFormat/>
    <w:pPr>
      <w:ind w:left="480" w:hanging="480"/>
    </w:pPr>
    <w:rPr/>
  </w:style>
  <w:style w:type="paragraph" w:styleId="Sumario1">
    <w:name w:val="TOC 1"/>
    <w:basedOn w:val="Normal"/>
    <w:next w:val="Normal"/>
    <w:autoRedefine/>
    <w:uiPriority w:val="39"/>
    <w:pPr/>
    <w:rPr/>
  </w:style>
  <w:style w:type="paragraph" w:styleId="Sumario2">
    <w:name w:val="TOC 2"/>
    <w:basedOn w:val="Normal"/>
    <w:next w:val="Normal"/>
    <w:autoRedefine/>
    <w:uiPriority w:val="39"/>
    <w:pPr>
      <w:ind w:left="240" w:firstLine="284"/>
    </w:pPr>
    <w:rPr/>
  </w:style>
  <w:style w:type="paragraph" w:styleId="Sumario3">
    <w:name w:val="TOC 3"/>
    <w:basedOn w:val="Normal"/>
    <w:next w:val="Normal"/>
    <w:autoRedefine/>
    <w:uiPriority w:val="39"/>
    <w:pPr>
      <w:ind w:left="480" w:firstLine="284"/>
    </w:pPr>
    <w:rPr/>
  </w:style>
  <w:style w:type="paragraph" w:styleId="Sumario4">
    <w:name w:val="TOC 4"/>
    <w:basedOn w:val="Normal"/>
    <w:next w:val="Normal"/>
    <w:autoRedefine/>
    <w:semiHidden/>
    <w:pPr>
      <w:ind w:left="720" w:firstLine="284"/>
    </w:pPr>
    <w:rPr/>
  </w:style>
  <w:style w:type="paragraph" w:styleId="Sumario5">
    <w:name w:val="TOC 5"/>
    <w:basedOn w:val="Normal"/>
    <w:next w:val="Normal"/>
    <w:autoRedefine/>
    <w:semiHidden/>
    <w:pPr>
      <w:ind w:left="960" w:firstLine="284"/>
    </w:pPr>
    <w:rPr/>
  </w:style>
  <w:style w:type="paragraph" w:styleId="Sumario6">
    <w:name w:val="TOC 6"/>
    <w:basedOn w:val="Normal"/>
    <w:next w:val="Normal"/>
    <w:autoRedefine/>
    <w:semiHidden/>
    <w:pPr>
      <w:ind w:left="1200" w:firstLine="284"/>
    </w:pPr>
    <w:rPr/>
  </w:style>
  <w:style w:type="paragraph" w:styleId="Sumario7">
    <w:name w:val="TOC 7"/>
    <w:basedOn w:val="Normal"/>
    <w:next w:val="Normal"/>
    <w:autoRedefine/>
    <w:semiHidden/>
    <w:pPr>
      <w:ind w:left="1440" w:firstLine="284"/>
    </w:pPr>
    <w:rPr/>
  </w:style>
  <w:style w:type="paragraph" w:styleId="Sumario8">
    <w:name w:val="TOC 8"/>
    <w:basedOn w:val="Normal"/>
    <w:next w:val="Normal"/>
    <w:autoRedefine/>
    <w:semiHidden/>
    <w:pPr>
      <w:ind w:left="1680" w:firstLine="284"/>
    </w:pPr>
    <w:rPr/>
  </w:style>
  <w:style w:type="paragraph" w:styleId="Sumario9">
    <w:name w:val="TOC 9"/>
    <w:basedOn w:val="Normal"/>
    <w:next w:val="Normal"/>
    <w:autoRedefine/>
    <w:semiHidden/>
    <w:pPr>
      <w:ind w:left="1920" w:firstLine="284"/>
    </w:pPr>
    <w:rPr/>
  </w:style>
  <w:style w:type="paragraph" w:styleId="Thesistext" w:customStyle="1">
    <w:name w:val="thesis text"/>
    <w:basedOn w:val="Normal"/>
    <w:autoRedefine/>
    <w:qFormat/>
    <w:rsid w:val="00ee3934"/>
    <w:pPr>
      <w:spacing w:before="0" w:after="240"/>
      <w:ind w:firstLine="540"/>
    </w:pPr>
    <w:rPr>
      <w:lang w:eastAsia="es-ES"/>
    </w:rPr>
  </w:style>
  <w:style w:type="paragraph" w:styleId="StyleCaptionCentered" w:customStyle="1">
    <w:name w:val="Style Caption + Centered"/>
    <w:basedOn w:val="Caption"/>
    <w:autoRedefine/>
    <w:qFormat/>
    <w:rsid w:val="000b7af9"/>
    <w:pPr/>
    <w:rPr>
      <w:b/>
      <w:i w:val="false"/>
    </w:rPr>
  </w:style>
  <w:style w:type="paragraph" w:styleId="TOCHeading">
    <w:name w:val="TOC Heading"/>
    <w:basedOn w:val="Ttulo1"/>
    <w:next w:val="Normal"/>
    <w:uiPriority w:val="39"/>
    <w:unhideWhenUsed/>
    <w:qFormat/>
    <w:rsid w:val="008572c4"/>
    <w:pPr>
      <w:keepNext w:val="true"/>
      <w:keepLines/>
      <w:spacing w:lineRule="auto" w:line="276" w:before="480" w:after="0"/>
      <w:jc w:val="left"/>
    </w:pPr>
    <w:rPr>
      <w:rFonts w:ascii="Cambria" w:hAnsi="Cambria"/>
      <w:color w:val="365F91"/>
      <w:sz w:val="28"/>
      <w:szCs w:val="28"/>
      <w:lang w:eastAsia="es-CO"/>
    </w:rPr>
  </w:style>
  <w:style w:type="paragraph" w:styleId="Piedeimagen" w:customStyle="1">
    <w:name w:val="Pie de imagen"/>
    <w:basedOn w:val="Caption"/>
    <w:qFormat/>
    <w:rsid w:val="00ee3934"/>
    <w:pPr>
      <w:spacing w:before="0" w:after="0"/>
      <w:ind w:firstLine="454"/>
    </w:pPr>
    <w:rPr>
      <w:rFonts w:eastAsia="Calibri"/>
      <w:sz w:val="20"/>
      <w:szCs w:val="24"/>
    </w:rPr>
  </w:style>
  <w:style w:type="paragraph" w:styleId="Titulotabla" w:customStyle="1">
    <w:name w:val="Titulo tabla"/>
    <w:basedOn w:val="Normal"/>
    <w:qFormat/>
    <w:rsid w:val="00160644"/>
    <w:pPr>
      <w:spacing w:lineRule="auto" w:line="276"/>
    </w:pPr>
    <w:rPr>
      <w:rFonts w:eastAsia="Calibri"/>
      <w:i/>
    </w:rPr>
  </w:style>
  <w:style w:type="paragraph" w:styleId="ListParagraph">
    <w:name w:val="List Paragraph"/>
    <w:basedOn w:val="Normal"/>
    <w:uiPriority w:val="34"/>
    <w:qFormat/>
    <w:rsid w:val="00b46ab7"/>
    <w:pPr>
      <w:spacing w:before="0" w:after="0"/>
      <w:ind w:left="720" w:firstLine="284"/>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14</Pages>
  <Words>922</Words>
  <Characters>4855</Characters>
  <CharactersWithSpaces>5687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2015-05-18T06:15:00Z</dcterms:created>
  <dc:creator/>
  <dc:description/>
  <dc:language>es-CO</dc:language>
  <cp:lastModifiedBy/>
  <dcterms:modified xsi:type="dcterms:W3CDTF">2021-03-25T20:35:33Z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84675ab3-4a55-3e99-b456-0246f4e96089</vt:lpwstr>
  </property>
  <property fmtid="{D5CDD505-2E9C-101B-9397-08002B2CF9AE}" pid="29" name="ScaleCrop">
    <vt:bool>0</vt:bool>
  </property>
  <property fmtid="{D5CDD505-2E9C-101B-9397-08002B2CF9AE}" pid="30" name="ShareDoc">
    <vt:bool>0</vt:bool>
  </property>
</Properties>
</file>