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f4e79"/>
          <w:sz w:val="40"/>
          <w:szCs w:val="40"/>
          <w:rtl w:val="0"/>
        </w:rPr>
        <w:t xml:space="preserve">BESS Bidding Optimization</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i w:val="1"/>
          <w:iCs w:val="1"/>
          <w:color w:val="555555"/>
          <w:sz w:val="24"/>
          <w:szCs w:val="24"/>
          <w:rtl w:val="0"/>
        </w:rPr>
        <w:t xml:space="preserve">Presentation Script — Speaker Assignments</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Arial" w:cs="Arial" w:eastAsia="Arial" w:hAnsi="Arial"/>
          <w:color w:val="555555"/>
          <w:sz w:val="22"/>
          <w:szCs w:val="22"/>
          <w:rtl w:val="0"/>
        </w:rPr>
        <w:t xml:space="preserve">Sekander  &amp;  Gianna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1f4e79" w:val="clear"/>
            <w:tcMar>
              <w:top w:w="80.0" w:type="dxa"/>
              <w:left w:w="160.0" w:type="dxa"/>
              <w:bottom w:w="80.0" w:type="dxa"/>
              <w:right w:w="16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4"/>
                <w:szCs w:val="24"/>
                <w:rtl w:val="0"/>
              </w:rPr>
              <w:t xml:space="preserve">SEKANDER</w:t>
            </w:r>
            <w:r w:rsidDel="00000000" w:rsidR="00000000" w:rsidRPr="00000000">
              <w:rPr>
                <w:rtl w:val="0"/>
              </w:rPr>
            </w:r>
          </w:p>
        </w:tc>
        <w:tc>
          <w:tcPr>
            <w:shd w:fill="8b2a5c" w:val="clear"/>
            <w:tcMar>
              <w:top w:w="80.0" w:type="dxa"/>
              <w:left w:w="160.0" w:type="dxa"/>
              <w:bottom w:w="80.0" w:type="dxa"/>
              <w:right w:w="16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4"/>
                <w:szCs w:val="24"/>
                <w:rtl w:val="0"/>
              </w:rPr>
              <w:t xml:space="preserve">GIANNA</w:t>
            </w:r>
            <w:r w:rsidDel="00000000" w:rsidR="00000000" w:rsidRPr="00000000">
              <w:rPr>
                <w:rtl w:val="0"/>
              </w:rPr>
            </w:r>
          </w:p>
        </w:tc>
      </w:tr>
    </w:tbl>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8"/>
                <w:szCs w:val="28"/>
                <w:rtl w:val="0"/>
              </w:rPr>
              <w:t xml:space="preserve">Slide 1 — Introduction</w:t>
            </w:r>
            <w:r w:rsidDel="00000000" w:rsidR="00000000" w:rsidRPr="00000000">
              <w:rPr>
                <w:rtl w:val="0"/>
              </w:rPr>
            </w:r>
          </w:p>
        </w:tc>
      </w:tr>
    </w:tbl>
    <w:p w:rsidR="00000000" w:rsidDel="00000000" w:rsidP="00000000" w:rsidRDefault="00000000" w:rsidRPr="00000000" w14:paraId="00000009">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0A">
      <w:pPr>
        <w:spacing w:after="120" w:line="320" w:lineRule="auto"/>
        <w:ind w:left="360" w:firstLine="0"/>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Hello, I’m Sekander.</w:t>
      </w:r>
    </w:p>
    <w:p w:rsidR="00000000" w:rsidDel="00000000" w:rsidP="00000000" w:rsidRDefault="00000000" w:rsidRPr="00000000" w14:paraId="0000000B">
      <w:pPr>
        <w:spacing w:after="80" w:before="200" w:lineRule="auto"/>
        <w:rPr/>
      </w:pPr>
      <w:r w:rsidDel="00000000" w:rsidR="00000000" w:rsidRPr="00000000">
        <w:rPr>
          <w:b w:val="1"/>
          <w:bCs w:val="1"/>
          <w:color w:val="8b2a5c"/>
          <w:rtl w:val="0"/>
        </w:rPr>
        <w:t xml:space="preserve">GIANNA</w:t>
      </w:r>
      <w:r w:rsidDel="00000000" w:rsidR="00000000" w:rsidRPr="00000000">
        <w:rPr>
          <w:rtl w:val="0"/>
        </w:rPr>
      </w:r>
    </w:p>
    <w:p w:rsidR="00000000" w:rsidDel="00000000" w:rsidP="00000000" w:rsidRDefault="00000000" w:rsidRPr="00000000" w14:paraId="0000000C">
      <w:pPr>
        <w:spacing w:after="120" w:line="320" w:lineRule="auto"/>
        <w:ind w:left="360" w:firstLine="0"/>
        <w:rPr>
          <w:color w:val="222222"/>
        </w:rPr>
      </w:pPr>
      <w:r w:rsidDel="00000000" w:rsidR="00000000" w:rsidRPr="00000000">
        <w:rPr>
          <w:color w:val="222222"/>
          <w:rtl w:val="0"/>
        </w:rPr>
        <w:t xml:space="preserve">And I’m Gianna.</w:t>
      </w:r>
    </w:p>
    <w:p w:rsidR="00000000" w:rsidDel="00000000" w:rsidP="00000000" w:rsidRDefault="00000000" w:rsidRPr="00000000" w14:paraId="0000000D">
      <w:pPr>
        <w:spacing w:after="80" w:before="200" w:lineRule="auto"/>
        <w:rPr>
          <w:color w:val="222222"/>
        </w:rPr>
      </w:pPr>
      <w:r w:rsidDel="00000000" w:rsidR="00000000" w:rsidRPr="00000000">
        <w:rPr>
          <w:b w:val="1"/>
          <w:bCs w:val="1"/>
          <w:color w:val="1f4e79"/>
          <w:rtl w:val="0"/>
        </w:rPr>
        <w:t xml:space="preserve">SEKANDER</w:t>
      </w:r>
      <w:r w:rsidDel="00000000" w:rsidR="00000000" w:rsidRPr="00000000">
        <w:rPr>
          <w:rtl w:val="0"/>
        </w:rPr>
      </w:r>
    </w:p>
    <w:p w:rsidR="00000000" w:rsidDel="00000000" w:rsidP="00000000" w:rsidRDefault="00000000" w:rsidRPr="00000000" w14:paraId="0000000E">
      <w:pPr>
        <w:spacing w:after="120" w:line="320" w:lineRule="auto"/>
        <w:ind w:left="360" w:firstLine="0"/>
        <w:rPr/>
      </w:pPr>
      <w:r w:rsidDel="00000000" w:rsidR="00000000" w:rsidRPr="00000000">
        <w:rPr>
          <w:rFonts w:ascii="Arial" w:cs="Arial" w:eastAsia="Arial" w:hAnsi="Arial"/>
          <w:color w:val="222222"/>
          <w:sz w:val="24"/>
          <w:szCs w:val="24"/>
          <w:rtl w:val="0"/>
        </w:rPr>
        <w:t xml:space="preserve">The question we tackled is: how do you schedule your battery to make money without grinding it into the ground?</w:t>
      </w:r>
      <w:r w:rsidDel="00000000" w:rsidR="00000000" w:rsidRPr="00000000">
        <w:rPr>
          <w:rtl w:val="0"/>
        </w:rPr>
      </w:r>
    </w:p>
    <w:p w:rsidR="00000000" w:rsidDel="00000000" w:rsidP="00000000" w:rsidRDefault="00000000" w:rsidRPr="00000000" w14:paraId="0000000F">
      <w:pPr>
        <w:spacing w:after="120" w:line="320" w:lineRule="auto"/>
        <w:ind w:left="360" w:firstLine="0"/>
        <w:rPr/>
      </w:pPr>
      <w:r w:rsidDel="00000000" w:rsidR="00000000" w:rsidRPr="00000000">
        <w:rPr>
          <w:rFonts w:ascii="Arial" w:cs="Arial" w:eastAsia="Arial" w:hAnsi="Arial"/>
          <w:color w:val="222222"/>
          <w:sz w:val="24"/>
          <w:szCs w:val="24"/>
          <w:rtl w:val="0"/>
        </w:rPr>
        <w:t xml:space="preserve">We built an end-to-end computational pipeline that answers that question. It goes from four years of raw electricity price data, through a mathematical optimization model that commits a charge-and-discharge schedule under price uncertainty, through a formal risk framework, all the way to an economic verdict: can this business actually make money?</w:t>
      </w:r>
      <w:r w:rsidDel="00000000" w:rsidR="00000000" w:rsidRPr="00000000">
        <w:rPr>
          <w:rtl w:val="0"/>
        </w:rPr>
      </w:r>
    </w:p>
    <w:p w:rsidR="00000000" w:rsidDel="00000000" w:rsidP="00000000" w:rsidRDefault="00000000" w:rsidRPr="00000000" w14:paraId="00000010">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11">
      <w:pPr>
        <w:spacing w:after="120" w:line="320" w:lineRule="auto"/>
        <w:ind w:left="360" w:firstLine="0"/>
        <w:rPr/>
      </w:pPr>
      <w:r w:rsidDel="00000000" w:rsidR="00000000" w:rsidRPr="00000000">
        <w:rPr>
          <w:rFonts w:ascii="Arial" w:cs="Arial" w:eastAsia="Arial" w:hAnsi="Arial"/>
          <w:color w:val="222222"/>
          <w:sz w:val="24"/>
          <w:szCs w:val="24"/>
          <w:rtl w:val="0"/>
        </w:rPr>
        <w:t xml:space="preserve">The short answer is: not on arbitrage alone, but there is still a way.</w:t>
      </w:r>
      <w:r w:rsidDel="00000000" w:rsidR="00000000" w:rsidRPr="00000000">
        <w:rPr>
          <w:rtl w:val="0"/>
        </w:rPr>
      </w:r>
    </w:p>
    <w:p w:rsidR="00000000" w:rsidDel="00000000" w:rsidP="00000000" w:rsidRDefault="00000000" w:rsidRPr="00000000" w14:paraId="00000012">
      <w:pPr>
        <w:spacing w:after="0" w:befor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8"/>
                <w:szCs w:val="28"/>
                <w:rtl w:val="0"/>
              </w:rPr>
              <w:t xml:space="preserve">Slide 2 — Goal</w:t>
            </w:r>
            <w:r w:rsidDel="00000000" w:rsidR="00000000" w:rsidRPr="00000000">
              <w:rPr>
                <w:rtl w:val="0"/>
              </w:rPr>
            </w:r>
          </w:p>
        </w:tc>
      </w:tr>
    </w:tbl>
    <w:p w:rsidR="00000000" w:rsidDel="00000000" w:rsidP="00000000" w:rsidRDefault="00000000" w:rsidRPr="00000000" w14:paraId="00000014">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15">
      <w:pPr>
        <w:spacing w:after="120" w:line="320" w:lineRule="auto"/>
        <w:ind w:left="360" w:firstLine="0"/>
        <w:rPr/>
      </w:pPr>
      <w:r w:rsidDel="00000000" w:rsidR="00000000" w:rsidRPr="00000000">
        <w:rPr>
          <w:rFonts w:ascii="Arial" w:cs="Arial" w:eastAsia="Arial" w:hAnsi="Arial"/>
          <w:color w:val="222222"/>
          <w:sz w:val="24"/>
          <w:szCs w:val="24"/>
          <w:rtl w:val="0"/>
        </w:rPr>
        <w:t xml:space="preserve">This fan chart shows forty plausible price paths for a single day in PJM. Each line is one scenario our model considers. We used k-means clustering to essentially average three years of PJM price data into the forty most common price profiles, ten per season. Prices range from near zero overnight to over $150 during a summer peak demand event.</w:t>
      </w:r>
      <w:r w:rsidDel="00000000" w:rsidR="00000000" w:rsidRPr="00000000">
        <w:rPr>
          <w:rtl w:val="0"/>
        </w:rPr>
      </w:r>
    </w:p>
    <w:p w:rsidR="00000000" w:rsidDel="00000000" w:rsidP="00000000" w:rsidRDefault="00000000" w:rsidRPr="00000000" w14:paraId="00000016">
      <w:pPr>
        <w:spacing w:after="120" w:line="320" w:lineRule="auto"/>
        <w:ind w:left="360" w:firstLine="0"/>
        <w:rPr/>
      </w:pPr>
      <w:r w:rsidDel="00000000" w:rsidR="00000000" w:rsidRPr="00000000">
        <w:rPr>
          <w:rFonts w:ascii="Arial" w:cs="Arial" w:eastAsia="Arial" w:hAnsi="Arial"/>
          <w:color w:val="222222"/>
          <w:sz w:val="24"/>
          <w:szCs w:val="24"/>
          <w:rtl w:val="0"/>
        </w:rPr>
        <w:t xml:space="preserve">The money is in the spread. A battery operator wants to charge when electricity is cheap and discharge when it’s the most expensive.</w:t>
      </w: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18">
      <w:pPr>
        <w:spacing w:after="120" w:line="320" w:lineRule="auto"/>
        <w:ind w:left="360" w:firstLine="0"/>
        <w:rPr/>
      </w:pPr>
      <w:r w:rsidDel="00000000" w:rsidR="00000000" w:rsidRPr="00000000">
        <w:rPr>
          <w:rFonts w:ascii="Arial" w:cs="Arial" w:eastAsia="Arial" w:hAnsi="Arial"/>
          <w:color w:val="222222"/>
          <w:sz w:val="24"/>
          <w:szCs w:val="24"/>
          <w:rtl w:val="0"/>
        </w:rPr>
        <w:t xml:space="preserve">The key is timing. PJM’s day-ahead market closes the morning before delivery. You have to submit a complete twenty-four-hour charge-and-discharge schedule before a single hour of that day has played out.</w:t>
      </w:r>
      <w:r w:rsidDel="00000000" w:rsidR="00000000" w:rsidRPr="00000000">
        <w:rPr>
          <w:rtl w:val="0"/>
        </w:rPr>
      </w:r>
    </w:p>
    <w:p w:rsidR="00000000" w:rsidDel="00000000" w:rsidP="00000000" w:rsidRDefault="00000000" w:rsidRPr="00000000" w14:paraId="00000019">
      <w:pPr>
        <w:spacing w:after="120" w:line="320" w:lineRule="auto"/>
        <w:ind w:left="360" w:firstLine="0"/>
        <w:rPr/>
      </w:pPr>
      <w:r w:rsidDel="00000000" w:rsidR="00000000" w:rsidRPr="00000000">
        <w:rPr>
          <w:rFonts w:ascii="Arial" w:cs="Arial" w:eastAsia="Arial" w:hAnsi="Arial"/>
          <w:color w:val="222222"/>
          <w:sz w:val="24"/>
          <w:szCs w:val="24"/>
          <w:rtl w:val="0"/>
        </w:rPr>
        <w:t xml:space="preserve">There’s an additional constraint. Every megawatt-hour you push through the battery physically wears it down. Every charge and discharge cycle has a tangible cost and makes the battery slightly less efficient the next time it’s used. A utility-scale system costs over $300 per kilowatt-hour installed.</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1B">
      <w:pPr>
        <w:spacing w:after="120" w:line="320" w:lineRule="auto"/>
        <w:ind w:left="360" w:firstLine="0"/>
        <w:rPr/>
      </w:pPr>
      <w:r w:rsidDel="00000000" w:rsidR="00000000" w:rsidRPr="00000000">
        <w:rPr>
          <w:rFonts w:ascii="Arial" w:cs="Arial" w:eastAsia="Arial" w:hAnsi="Arial"/>
          <w:color w:val="222222"/>
          <w:sz w:val="24"/>
          <w:szCs w:val="24"/>
          <w:rtl w:val="0"/>
        </w:rPr>
        <w:t xml:space="preserve">If a battery operator trades too aggressively on a flat-price day, the losses compound. First they lose due to the thin spread, and again from the wear. The degradation cost has to be priced into every dispatch decision.</w:t>
      </w:r>
      <w:r w:rsidDel="00000000" w:rsidR="00000000" w:rsidRPr="00000000">
        <w:rPr>
          <w:rtl w:val="0"/>
        </w:rPr>
      </w:r>
    </w:p>
    <w:p w:rsidR="00000000" w:rsidDel="00000000" w:rsidP="00000000" w:rsidRDefault="00000000" w:rsidRPr="00000000" w14:paraId="0000001C">
      <w:pPr>
        <w:spacing w:after="120" w:line="320" w:lineRule="auto"/>
        <w:ind w:left="360" w:firstLine="0"/>
        <w:rPr/>
      </w:pPr>
      <w:r w:rsidDel="00000000" w:rsidR="00000000" w:rsidRPr="00000000">
        <w:rPr>
          <w:rFonts w:ascii="Arial" w:cs="Arial" w:eastAsia="Arial" w:hAnsi="Arial"/>
          <w:color w:val="222222"/>
          <w:sz w:val="24"/>
          <w:szCs w:val="24"/>
          <w:rtl w:val="0"/>
        </w:rPr>
        <w:t xml:space="preserve">So the precise problem we aim to solve is: maximize expected net revenue under uncertain day-ahead conditions, taking battery wear into account.</w:t>
      </w:r>
      <w:r w:rsidDel="00000000" w:rsidR="00000000" w:rsidRPr="00000000">
        <w:rPr>
          <w:rtl w:val="0"/>
        </w:rPr>
      </w:r>
    </w:p>
    <w:p w:rsidR="00000000" w:rsidDel="00000000" w:rsidP="00000000" w:rsidRDefault="00000000" w:rsidRPr="00000000" w14:paraId="0000001D">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8"/>
                <w:szCs w:val="28"/>
                <w:rtl w:val="0"/>
              </w:rPr>
              <w:t xml:space="preserve">Slide 3 — Method</w:t>
            </w:r>
            <w:r w:rsidDel="00000000" w:rsidR="00000000" w:rsidRPr="00000000">
              <w:rPr>
                <w:rtl w:val="0"/>
              </w:rPr>
            </w:r>
          </w:p>
        </w:tc>
      </w:tr>
    </w:tbl>
    <w:p w:rsidR="00000000" w:rsidDel="00000000" w:rsidP="00000000" w:rsidRDefault="00000000" w:rsidRPr="00000000" w14:paraId="0000001F">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20">
      <w:pPr>
        <w:spacing w:after="120" w:line="320" w:lineRule="auto"/>
        <w:ind w:left="360" w:firstLine="0"/>
        <w:rPr/>
      </w:pPr>
      <w:r w:rsidDel="00000000" w:rsidR="00000000" w:rsidRPr="00000000">
        <w:rPr>
          <w:rFonts w:ascii="Arial" w:cs="Arial" w:eastAsia="Arial" w:hAnsi="Arial"/>
          <w:color w:val="222222"/>
          <w:sz w:val="24"/>
          <w:szCs w:val="24"/>
          <w:rtl w:val="0"/>
        </w:rPr>
        <w:t xml:space="preserve">Formally: we maximize probability-weighted net revenue across a distribution of possible price days, minus degradation cost, subject to physical limits such as energy capacity, round-trip efficiency losses, and a hard mutual-exclusivity constraint. The battery cannot charge and discharge at the same time, which requires binary decision variables, making this a mixed-integer program.</w:t>
      </w:r>
      <w:r w:rsidDel="00000000" w:rsidR="00000000" w:rsidRPr="00000000">
        <w:rPr>
          <w:rtl w:val="0"/>
        </w:rPr>
      </w:r>
    </w:p>
    <w:p w:rsidR="00000000" w:rsidDel="00000000" w:rsidP="00000000" w:rsidRDefault="00000000" w:rsidRPr="00000000" w14:paraId="00000021">
      <w:pPr>
        <w:spacing w:after="120" w:line="320" w:lineRule="auto"/>
        <w:ind w:left="360" w:firstLine="0"/>
        <w:rPr/>
      </w:pPr>
      <w:r w:rsidDel="00000000" w:rsidR="00000000" w:rsidRPr="00000000">
        <w:rPr>
          <w:rFonts w:ascii="Arial" w:cs="Arial" w:eastAsia="Arial" w:hAnsi="Arial"/>
          <w:color w:val="222222"/>
          <w:sz w:val="24"/>
          <w:szCs w:val="24"/>
          <w:rtl w:val="0"/>
        </w:rPr>
        <w:t xml:space="preserve">The extension co-optimizes a second revenue stream — PJM’s RegD regulation market — alongside energy arbitrage. That’s where the commercial viability story unfolds.</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23">
      <w:pPr>
        <w:spacing w:after="120" w:line="320" w:lineRule="auto"/>
        <w:ind w:left="360" w:firstLine="0"/>
        <w:rPr/>
      </w:pPr>
      <w:r w:rsidDel="00000000" w:rsidR="00000000" w:rsidRPr="00000000">
        <w:rPr>
          <w:rFonts w:ascii="Arial" w:cs="Arial" w:eastAsia="Arial" w:hAnsi="Arial"/>
          <w:color w:val="222222"/>
          <w:sz w:val="24"/>
          <w:szCs w:val="24"/>
          <w:rtl w:val="0"/>
        </w:rPr>
        <w:t xml:space="preserve">This project uses the class toolkit directly. The two-stage stochastic MILP handles the day-ahead commitment under uncertainty. CVaR manages tail risk. NPV frames the investment question, and EVPI — Expected Value of Perfect Information — tells us how much better price forecasting would actually be worth.</w:t>
      </w:r>
      <w:r w:rsidDel="00000000" w:rsidR="00000000" w:rsidRPr="00000000">
        <w:rPr>
          <w:rtl w:val="0"/>
        </w:rPr>
      </w:r>
    </w:p>
    <w:p w:rsidR="00000000" w:rsidDel="00000000" w:rsidP="00000000" w:rsidRDefault="00000000" w:rsidRPr="00000000" w14:paraId="00000024">
      <w:pPr>
        <w:spacing w:after="0" w:befor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8"/>
                <w:szCs w:val="28"/>
                <w:rtl w:val="0"/>
              </w:rPr>
              <w:t xml:space="preserve">Slide 4 — Literature</w:t>
            </w:r>
            <w:r w:rsidDel="00000000" w:rsidR="00000000" w:rsidRPr="00000000">
              <w:rPr>
                <w:rtl w:val="0"/>
              </w:rPr>
            </w:r>
          </w:p>
        </w:tc>
      </w:tr>
    </w:tbl>
    <w:p w:rsidR="00000000" w:rsidDel="00000000" w:rsidP="00000000" w:rsidRDefault="00000000" w:rsidRPr="00000000" w14:paraId="00000026">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27">
      <w:pPr>
        <w:spacing w:after="120" w:line="320" w:lineRule="auto"/>
        <w:ind w:left="360" w:firstLine="0"/>
        <w:rPr/>
      </w:pPr>
      <w:r w:rsidDel="00000000" w:rsidR="00000000" w:rsidRPr="00000000">
        <w:rPr>
          <w:rFonts w:ascii="Arial" w:cs="Arial" w:eastAsia="Arial" w:hAnsi="Arial"/>
          <w:color w:val="222222"/>
          <w:sz w:val="24"/>
          <w:szCs w:val="24"/>
          <w:rtl w:val="0"/>
        </w:rPr>
        <w:t xml:space="preserve">We used some existing literature to anchor our approach.</w:t>
      </w:r>
      <w:r w:rsidDel="00000000" w:rsidR="00000000" w:rsidRPr="00000000">
        <w:rPr>
          <w:rtl w:val="0"/>
        </w:rPr>
      </w:r>
    </w:p>
    <w:p w:rsidR="00000000" w:rsidDel="00000000" w:rsidP="00000000" w:rsidRDefault="00000000" w:rsidRPr="00000000" w14:paraId="00000028">
      <w:pPr>
        <w:spacing w:after="120" w:line="320" w:lineRule="auto"/>
        <w:ind w:left="360" w:firstLine="0"/>
        <w:rPr/>
      </w:pPr>
      <w:r w:rsidDel="00000000" w:rsidR="00000000" w:rsidRPr="00000000">
        <w:rPr>
          <w:rFonts w:ascii="Arial" w:cs="Arial" w:eastAsia="Arial" w:hAnsi="Arial"/>
          <w:color w:val="222222"/>
          <w:sz w:val="24"/>
          <w:szCs w:val="24"/>
          <w:rtl w:val="0"/>
        </w:rPr>
        <w:t xml:space="preserve">We used Xu et al.’s 2018 paper, “Factoring the Cycle Aging Cost of Batteries Participating in Electricity Markets,” for our battery economics model. Fun fact: Professor Xu teaches here at Columbia and I took a class with him last semester.</w:t>
      </w:r>
      <w:r w:rsidDel="00000000" w:rsidR="00000000" w:rsidRPr="00000000">
        <w:rPr>
          <w:rtl w:val="0"/>
        </w:rPr>
      </w:r>
    </w:p>
    <w:p w:rsidR="00000000" w:rsidDel="00000000" w:rsidP="00000000" w:rsidRDefault="00000000" w:rsidRPr="00000000" w14:paraId="00000029">
      <w:pPr>
        <w:spacing w:after="120" w:line="320" w:lineRule="auto"/>
        <w:ind w:left="360" w:firstLine="0"/>
        <w:rPr/>
      </w:pPr>
      <w:r w:rsidDel="00000000" w:rsidR="00000000" w:rsidRPr="00000000">
        <w:rPr>
          <w:rFonts w:ascii="Arial" w:cs="Arial" w:eastAsia="Arial" w:hAnsi="Arial"/>
          <w:color w:val="222222"/>
          <w:sz w:val="24"/>
          <w:szCs w:val="24"/>
          <w:rtl w:val="0"/>
        </w:rPr>
        <w:t xml:space="preserve">His paper gives us a model that converts cycling and frequency into a dollar cost per megawatt-hour. We used this to derive the $27.83-per-MWh degradation penalty embedded in the objective function.</w:t>
      </w:r>
      <w:r w:rsidDel="00000000" w:rsidR="00000000" w:rsidRPr="00000000">
        <w:rPr>
          <w:rtl w:val="0"/>
        </w:rPr>
      </w:r>
    </w:p>
    <w:p w:rsidR="00000000" w:rsidDel="00000000" w:rsidP="00000000" w:rsidRDefault="00000000" w:rsidRPr="00000000" w14:paraId="0000002A">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2B">
      <w:pPr>
        <w:spacing w:after="120" w:line="320" w:lineRule="auto"/>
        <w:ind w:left="360" w:firstLine="0"/>
        <w:rPr/>
      </w:pPr>
      <w:r w:rsidDel="00000000" w:rsidR="00000000" w:rsidRPr="00000000">
        <w:rPr>
          <w:rFonts w:ascii="Arial" w:cs="Arial" w:eastAsia="Arial" w:hAnsi="Arial"/>
          <w:color w:val="222222"/>
          <w:sz w:val="24"/>
          <w:szCs w:val="24"/>
          <w:rtl w:val="0"/>
        </w:rPr>
        <w:t xml:space="preserve">NREL’s Annual Technology Baseline gives us the $334-per-kilowatt-hour capital cost, which was the 2024 industry standard for utility LFP.</w:t>
      </w:r>
      <w:r w:rsidDel="00000000" w:rsidR="00000000" w:rsidRPr="00000000">
        <w:rPr>
          <w:rtl w:val="0"/>
        </w:rPr>
      </w:r>
    </w:p>
    <w:p w:rsidR="00000000" w:rsidDel="00000000" w:rsidP="00000000" w:rsidRDefault="00000000" w:rsidRPr="00000000" w14:paraId="0000002C">
      <w:pPr>
        <w:spacing w:after="120" w:line="320" w:lineRule="auto"/>
        <w:ind w:left="360" w:firstLine="0"/>
        <w:rPr/>
      </w:pPr>
      <w:r w:rsidDel="00000000" w:rsidR="00000000" w:rsidRPr="00000000">
        <w:rPr>
          <w:rFonts w:ascii="Arial" w:cs="Arial" w:eastAsia="Arial" w:hAnsi="Arial"/>
          <w:color w:val="222222"/>
          <w:sz w:val="24"/>
          <w:szCs w:val="24"/>
          <w:rtl w:val="0"/>
        </w:rPr>
        <w:t xml:space="preserve">For our risk-averse optimization model, we used Rockafellar and Uryasev’s CVaR linearization. It lets us impose a tail-revenue floor without leaving the linear framework, which means we reliably solve the optimization problem.</w:t>
      </w:r>
      <w:r w:rsidDel="00000000" w:rsidR="00000000" w:rsidRPr="00000000">
        <w:rPr>
          <w:rtl w:val="0"/>
        </w:rPr>
      </w:r>
    </w:p>
    <w:p w:rsidR="00000000" w:rsidDel="00000000" w:rsidP="00000000" w:rsidRDefault="00000000" w:rsidRPr="00000000" w14:paraId="0000002D">
      <w:pPr>
        <w:spacing w:after="120" w:line="320" w:lineRule="auto"/>
        <w:ind w:left="360" w:firstLine="0"/>
        <w:rPr/>
      </w:pPr>
      <w:r w:rsidDel="00000000" w:rsidR="00000000" w:rsidRPr="00000000">
        <w:rPr>
          <w:rFonts w:ascii="Arial" w:cs="Arial" w:eastAsia="Arial" w:hAnsi="Arial"/>
          <w:color w:val="222222"/>
          <w:sz w:val="24"/>
          <w:szCs w:val="24"/>
          <w:rtl w:val="0"/>
        </w:rPr>
        <w:t xml:space="preserve">On markets: FERC Order 841, issued in 2018, is the regulatory event that made this all possible. Before that ruling, batteries couldn’t participate in ancillary service markets on equal terms with generators.</w:t>
      </w:r>
      <w:r w:rsidDel="00000000" w:rsidR="00000000" w:rsidRPr="00000000">
        <w:rPr>
          <w:rtl w:val="0"/>
        </w:rPr>
      </w:r>
    </w:p>
    <w:p w:rsidR="00000000" w:rsidDel="00000000" w:rsidP="00000000" w:rsidRDefault="00000000" w:rsidRPr="00000000" w14:paraId="0000002E">
      <w:pPr>
        <w:spacing w:after="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8"/>
                <w:szCs w:val="28"/>
                <w:rtl w:val="0"/>
              </w:rPr>
              <w:t xml:space="preserve">Slide 5 — Process</w:t>
            </w:r>
            <w:r w:rsidDel="00000000" w:rsidR="00000000" w:rsidRPr="00000000">
              <w:rPr>
                <w:rtl w:val="0"/>
              </w:rPr>
            </w:r>
          </w:p>
        </w:tc>
      </w:tr>
    </w:tbl>
    <w:p w:rsidR="00000000" w:rsidDel="00000000" w:rsidP="00000000" w:rsidRDefault="00000000" w:rsidRPr="00000000" w14:paraId="00000030">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31">
      <w:pPr>
        <w:spacing w:after="120" w:line="320" w:lineRule="auto"/>
        <w:ind w:left="360" w:firstLine="0"/>
        <w:rPr/>
      </w:pPr>
      <w:r w:rsidDel="00000000" w:rsidR="00000000" w:rsidRPr="00000000">
        <w:rPr>
          <w:rFonts w:ascii="Arial" w:cs="Arial" w:eastAsia="Arial" w:hAnsi="Arial"/>
          <w:color w:val="222222"/>
          <w:sz w:val="24"/>
          <w:szCs w:val="24"/>
          <w:rtl w:val="0"/>
        </w:rPr>
        <w:t xml:space="preserve">The process spans four stages.</w:t>
      </w:r>
      <w:r w:rsidDel="00000000" w:rsidR="00000000" w:rsidRPr="00000000">
        <w:rPr>
          <w:rtl w:val="0"/>
        </w:rPr>
      </w:r>
    </w:p>
    <w:p w:rsidR="00000000" w:rsidDel="00000000" w:rsidP="00000000" w:rsidRDefault="00000000" w:rsidRPr="00000000" w14:paraId="00000032">
      <w:pPr>
        <w:spacing w:after="120" w:line="320" w:lineRule="auto"/>
        <w:ind w:left="360" w:firstLine="0"/>
        <w:rPr/>
      </w:pPr>
      <w:r w:rsidDel="00000000" w:rsidR="00000000" w:rsidRPr="00000000">
        <w:rPr>
          <w:rFonts w:ascii="Arial" w:cs="Arial" w:eastAsia="Arial" w:hAnsi="Arial"/>
          <w:color w:val="222222"/>
          <w:sz w:val="24"/>
          <w:szCs w:val="24"/>
          <w:rtl w:val="0"/>
        </w:rPr>
        <w:t xml:space="preserve">Stage one converts raw hourly price data into forty representative twenty-four-hour scenarios. Stage two runs the optimization models against those scenarios. Stage three validates everything on held-out 2024 data and computes the economic summary. Stage four adds the regulation market and answers the sizing question.</w:t>
      </w: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34">
      <w:pPr>
        <w:spacing w:after="120" w:line="320" w:lineRule="auto"/>
        <w:ind w:left="360" w:firstLine="0"/>
        <w:rPr/>
      </w:pPr>
      <w:r w:rsidDel="00000000" w:rsidR="00000000" w:rsidRPr="00000000">
        <w:rPr>
          <w:rFonts w:ascii="Arial" w:cs="Arial" w:eastAsia="Arial" w:hAnsi="Arial"/>
          <w:color w:val="222222"/>
          <w:sz w:val="24"/>
          <w:szCs w:val="24"/>
          <w:rtl w:val="0"/>
        </w:rPr>
        <w:t xml:space="preserve">A few design choices worth flagging: we used season-stratified k-means rather than global clustering. Without that, the algorithm would over-represent summer and under-represent winter, since summer has more price variation.</w:t>
      </w:r>
      <w:r w:rsidDel="00000000" w:rsidR="00000000" w:rsidRPr="00000000">
        <w:rPr>
          <w:rtl w:val="0"/>
        </w:rPr>
      </w:r>
    </w:p>
    <w:p w:rsidR="00000000" w:rsidDel="00000000" w:rsidP="00000000" w:rsidRDefault="00000000" w:rsidRPr="00000000" w14:paraId="00000035">
      <w:pPr>
        <w:spacing w:after="120" w:line="320" w:lineRule="auto"/>
        <w:ind w:left="360" w:firstLine="0"/>
        <w:rPr/>
      </w:pPr>
      <w:r w:rsidDel="00000000" w:rsidR="00000000" w:rsidRPr="00000000">
        <w:rPr>
          <w:rFonts w:ascii="Arial" w:cs="Arial" w:eastAsia="Arial" w:hAnsi="Arial"/>
          <w:color w:val="222222"/>
          <w:sz w:val="24"/>
          <w:szCs w:val="24"/>
          <w:rtl w:val="0"/>
        </w:rPr>
        <w:t xml:space="preserve">We also deliberately reduced from fifty to forty scenarios after seeing that the marginal scenarios were nearly identical duplicates that added solve time without adding meaningful information.</w:t>
      </w:r>
      <w:r w:rsidDel="00000000" w:rsidR="00000000" w:rsidRPr="00000000">
        <w:rPr>
          <w:rtl w:val="0"/>
        </w:rPr>
      </w:r>
    </w:p>
    <w:p w:rsidR="00000000" w:rsidDel="00000000" w:rsidP="00000000" w:rsidRDefault="00000000" w:rsidRPr="00000000" w14:paraId="00000036">
      <w:pPr>
        <w:spacing w:after="0" w:befor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8"/>
                <w:szCs w:val="28"/>
                <w:rtl w:val="0"/>
              </w:rPr>
              <w:t xml:space="preserve">Slide 6 — Example Day</w:t>
            </w:r>
            <w:r w:rsidDel="00000000" w:rsidR="00000000" w:rsidRPr="00000000">
              <w:rPr>
                <w:rtl w:val="0"/>
              </w:rPr>
            </w:r>
          </w:p>
        </w:tc>
      </w:tr>
    </w:tbl>
    <w:p w:rsidR="00000000" w:rsidDel="00000000" w:rsidP="00000000" w:rsidRDefault="00000000" w:rsidRPr="00000000" w14:paraId="00000038">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39">
      <w:pPr>
        <w:spacing w:after="120" w:line="320" w:lineRule="auto"/>
        <w:ind w:left="360" w:firstLine="0"/>
        <w:rPr/>
      </w:pPr>
      <w:r w:rsidDel="00000000" w:rsidR="00000000" w:rsidRPr="00000000">
        <w:rPr>
          <w:rFonts w:ascii="Arial" w:cs="Arial" w:eastAsia="Arial" w:hAnsi="Arial"/>
          <w:color w:val="222222"/>
          <w:sz w:val="24"/>
          <w:szCs w:val="24"/>
          <w:rtl w:val="0"/>
        </w:rPr>
        <w:t xml:space="preserve">This is what the model actually produces on a high-spread winter day. This is scenario ten, one of the more favorable days in our training set. The top panel shows the price. The bottom panel shows the battery’s response.</w:t>
      </w:r>
      <w:r w:rsidDel="00000000" w:rsidR="00000000" w:rsidRPr="00000000">
        <w:rPr>
          <w:rtl w:val="0"/>
        </w:rPr>
      </w:r>
    </w:p>
    <w:p w:rsidR="00000000" w:rsidDel="00000000" w:rsidP="00000000" w:rsidRDefault="00000000" w:rsidRPr="00000000" w14:paraId="0000003A">
      <w:pPr>
        <w:spacing w:after="120" w:line="320" w:lineRule="auto"/>
        <w:ind w:left="360" w:firstLine="0"/>
        <w:rPr/>
      </w:pPr>
      <w:r w:rsidDel="00000000" w:rsidR="00000000" w:rsidRPr="00000000">
        <w:rPr>
          <w:rFonts w:ascii="Arial" w:cs="Arial" w:eastAsia="Arial" w:hAnsi="Arial"/>
          <w:color w:val="222222"/>
          <w:sz w:val="24"/>
          <w:szCs w:val="24"/>
          <w:rtl w:val="0"/>
        </w:rPr>
        <w:t xml:space="preserve">Overnight, prices sit in the twenties. The model fills the battery to 90% of capacity, which is the upper SOC limit we imposed to protect longevity. When the morning peak hits $120, it discharges. </w:t>
      </w:r>
      <w:r w:rsidDel="00000000" w:rsidR="00000000" w:rsidRPr="00000000">
        <w:rPr>
          <w:color w:val="222222"/>
          <w:rtl w:val="0"/>
        </w:rPr>
        <w:t xml:space="preserve">In this scenario, t</w:t>
      </w:r>
      <w:r w:rsidDel="00000000" w:rsidR="00000000" w:rsidRPr="00000000">
        <w:rPr>
          <w:rFonts w:ascii="Arial" w:cs="Arial" w:eastAsia="Arial" w:hAnsi="Arial"/>
          <w:color w:val="222222"/>
          <w:sz w:val="24"/>
          <w:szCs w:val="24"/>
          <w:rtl w:val="0"/>
        </w:rPr>
        <w:t xml:space="preserve">he battery stops discharging at 20% of capacity, as the opportunity cost of discharging the remaining is greater than the value gained.</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3C">
      <w:pPr>
        <w:spacing w:after="120" w:line="320" w:lineRule="auto"/>
        <w:ind w:left="360" w:firstLine="0"/>
        <w:rPr/>
      </w:pPr>
      <w:r w:rsidDel="00000000" w:rsidR="00000000" w:rsidRPr="00000000">
        <w:rPr>
          <w:rFonts w:ascii="Arial" w:cs="Arial" w:eastAsia="Arial" w:hAnsi="Arial"/>
          <w:color w:val="222222"/>
          <w:sz w:val="24"/>
          <w:szCs w:val="24"/>
          <w:rtl w:val="0"/>
        </w:rPr>
        <w:t xml:space="preserve">A little bit about the MILP we implemented which is causing this behavior. We have continuous variables for charge power and discharge power at each of twenty-four hours, a state-of-charge trajectory that links them hour by hour via the energy balance equation, and binary variables that prevent simultaneous charging and discharging.</w:t>
      </w:r>
      <w:r w:rsidDel="00000000" w:rsidR="00000000" w:rsidRPr="00000000">
        <w:rPr>
          <w:rtl w:val="0"/>
        </w:rPr>
      </w:r>
    </w:p>
    <w:p w:rsidR="00000000" w:rsidDel="00000000" w:rsidP="00000000" w:rsidRDefault="00000000" w:rsidRPr="00000000" w14:paraId="0000003D">
      <w:pPr>
        <w:spacing w:after="120" w:line="320" w:lineRule="auto"/>
        <w:ind w:left="360" w:firstLine="0"/>
        <w:rPr/>
      </w:pPr>
      <w:r w:rsidDel="00000000" w:rsidR="00000000" w:rsidRPr="00000000">
        <w:rPr>
          <w:rFonts w:ascii="Arial" w:cs="Arial" w:eastAsia="Arial" w:hAnsi="Arial"/>
          <w:color w:val="222222"/>
          <w:sz w:val="24"/>
          <w:szCs w:val="24"/>
          <w:rtl w:val="0"/>
        </w:rPr>
        <w:t xml:space="preserve">The degradation cost of $27.83 per megawatt-hour is added to the effective buy price and subtracted from the effective sell price. The battery only trades when the spread clears that hurdle.</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3F">
      <w:pPr>
        <w:spacing w:after="120" w:line="320" w:lineRule="auto"/>
        <w:ind w:left="360" w:firstLine="0"/>
        <w:rPr/>
      </w:pPr>
      <w:r w:rsidDel="00000000" w:rsidR="00000000" w:rsidRPr="00000000">
        <w:rPr>
          <w:rFonts w:ascii="Arial" w:cs="Arial" w:eastAsia="Arial" w:hAnsi="Arial"/>
          <w:color w:val="222222"/>
          <w:sz w:val="24"/>
          <w:szCs w:val="24"/>
          <w:rtl w:val="0"/>
        </w:rPr>
        <w:t xml:space="preserve">Net revenue on this day after degradation is $66. On a typical scenario it’s closer to $9. On flat-price days the model correctly decides not to trade at all, since the degradation cost would cause us to lose money.</w:t>
      </w:r>
      <w:r w:rsidDel="00000000" w:rsidR="00000000" w:rsidRPr="00000000">
        <w:rPr>
          <w:rtl w:val="0"/>
        </w:rPr>
      </w:r>
    </w:p>
    <w:p w:rsidR="00000000" w:rsidDel="00000000" w:rsidP="00000000" w:rsidRDefault="00000000" w:rsidRPr="00000000" w14:paraId="00000040">
      <w:pPr>
        <w:spacing w:after="0" w:befor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8"/>
                <w:szCs w:val="28"/>
                <w:rtl w:val="0"/>
              </w:rPr>
              <w:t xml:space="preserve">Slide 7 — Risk</w:t>
            </w:r>
            <w:r w:rsidDel="00000000" w:rsidR="00000000" w:rsidRPr="00000000">
              <w:rPr>
                <w:rtl w:val="0"/>
              </w:rPr>
            </w:r>
          </w:p>
        </w:tc>
      </w:tr>
    </w:tbl>
    <w:p w:rsidR="00000000" w:rsidDel="00000000" w:rsidP="00000000" w:rsidRDefault="00000000" w:rsidRPr="00000000" w14:paraId="00000042">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43">
      <w:pPr>
        <w:spacing w:after="120" w:line="320" w:lineRule="auto"/>
        <w:ind w:left="360" w:firstLine="0"/>
        <w:rPr/>
      </w:pPr>
      <w:r w:rsidDel="00000000" w:rsidR="00000000" w:rsidRPr="00000000">
        <w:rPr>
          <w:rFonts w:ascii="Arial" w:cs="Arial" w:eastAsia="Arial" w:hAnsi="Arial"/>
          <w:color w:val="222222"/>
          <w:sz w:val="24"/>
          <w:szCs w:val="24"/>
          <w:rtl w:val="0"/>
        </w:rPr>
        <w:t xml:space="preserve">The stochastic model maximizes expected net revenue — the probability-weighted average across all forty scenarios. But an operator running a merchant asset cares as much about bad days as average days. A string of low-revenue scenarios in a bad season stresses project finances even if the annual average looks acceptable.</w:t>
      </w:r>
      <w:r w:rsidDel="00000000" w:rsidR="00000000" w:rsidRPr="00000000">
        <w:rPr>
          <w:rtl w:val="0"/>
        </w:rPr>
      </w:r>
    </w:p>
    <w:p w:rsidR="00000000" w:rsidDel="00000000" w:rsidP="00000000" w:rsidRDefault="00000000" w:rsidRPr="00000000" w14:paraId="00000044">
      <w:pPr>
        <w:spacing w:after="120" w:line="320" w:lineRule="auto"/>
        <w:ind w:left="360" w:firstLine="0"/>
        <w:rPr/>
      </w:pPr>
      <w:r w:rsidDel="00000000" w:rsidR="00000000" w:rsidRPr="00000000">
        <w:rPr>
          <w:rFonts w:ascii="Arial" w:cs="Arial" w:eastAsia="Arial" w:hAnsi="Arial"/>
          <w:color w:val="222222"/>
          <w:sz w:val="24"/>
          <w:szCs w:val="24"/>
          <w:rtl w:val="0"/>
        </w:rPr>
        <w:t xml:space="preserve">We add a CVaR constraint using the Rockafellar-Uryasev linearization. CVaR at the ninety-fifth percentile means we guarantee a floor on the average revenue of the worst five percent of scenarios. We sweep that floor across twenty-five budget levels and three confidence values — ninety, ninety-five, and ninety-nine percent.</w:t>
      </w: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46">
      <w:pPr>
        <w:spacing w:after="120" w:line="320" w:lineRule="auto"/>
        <w:ind w:left="360" w:firstLine="0"/>
        <w:rPr/>
      </w:pPr>
      <w:r w:rsidDel="00000000" w:rsidR="00000000" w:rsidRPr="00000000">
        <w:rPr>
          <w:rFonts w:ascii="Arial" w:cs="Arial" w:eastAsia="Arial" w:hAnsi="Arial"/>
          <w:color w:val="222222"/>
          <w:sz w:val="24"/>
          <w:szCs w:val="24"/>
          <w:rtl w:val="0"/>
        </w:rPr>
        <w:t xml:space="preserve">Each point on this curve is an optimal solution at a different risk tolerance. The starred point is the unconstrained expected-value optimum at $9.29 per day. Moving left along the frontier, you give up expected revenue to protect against tail losses.</w:t>
      </w:r>
      <w:r w:rsidDel="00000000" w:rsidR="00000000" w:rsidRPr="00000000">
        <w:rPr>
          <w:rtl w:val="0"/>
        </w:rPr>
      </w:r>
    </w:p>
    <w:p w:rsidR="00000000" w:rsidDel="00000000" w:rsidP="00000000" w:rsidRDefault="00000000" w:rsidRPr="00000000" w14:paraId="00000047">
      <w:pPr>
        <w:spacing w:after="120" w:line="320" w:lineRule="auto"/>
        <w:ind w:left="360" w:firstLine="0"/>
        <w:rPr/>
      </w:pPr>
      <w:r w:rsidDel="00000000" w:rsidR="00000000" w:rsidRPr="00000000">
        <w:rPr>
          <w:rFonts w:ascii="Arial" w:cs="Arial" w:eastAsia="Arial" w:hAnsi="Arial"/>
          <w:color w:val="222222"/>
          <w:sz w:val="24"/>
          <w:szCs w:val="24"/>
          <w:rtl w:val="0"/>
        </w:rPr>
        <w:t xml:space="preserve">The rate of exchange is roughly one percent of expected revenue per half-dollar increase in the CVaR floor. A risk-neutral operator sits at the star. A risk-averse operator accepts a small reduction in expected return for meaningful downside protection.</w:t>
      </w:r>
      <w:r w:rsidDel="00000000" w:rsidR="00000000" w:rsidRPr="00000000">
        <w:rPr>
          <w:rtl w:val="0"/>
        </w:rPr>
      </w:r>
    </w:p>
    <w:p w:rsidR="00000000" w:rsidDel="00000000" w:rsidP="00000000" w:rsidRDefault="00000000" w:rsidRPr="00000000" w14:paraId="00000048">
      <w:pPr>
        <w:spacing w:after="0" w:befor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8"/>
                <w:szCs w:val="28"/>
                <w:rtl w:val="0"/>
              </w:rPr>
              <w:t xml:space="preserve">Slide 8 — Data and Backtest</w:t>
            </w:r>
            <w:r w:rsidDel="00000000" w:rsidR="00000000" w:rsidRPr="00000000">
              <w:rPr>
                <w:rtl w:val="0"/>
              </w:rPr>
            </w:r>
          </w:p>
        </w:tc>
      </w:tr>
    </w:tbl>
    <w:p w:rsidR="00000000" w:rsidDel="00000000" w:rsidP="00000000" w:rsidRDefault="00000000" w:rsidRPr="00000000" w14:paraId="0000004A">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4B">
      <w:pPr>
        <w:spacing w:after="120" w:line="320" w:lineRule="auto"/>
        <w:ind w:left="360" w:firstLine="0"/>
        <w:rPr/>
      </w:pPr>
      <w:r w:rsidDel="00000000" w:rsidR="00000000" w:rsidRPr="00000000">
        <w:rPr>
          <w:rFonts w:ascii="Arial" w:cs="Arial" w:eastAsia="Arial" w:hAnsi="Arial"/>
          <w:color w:val="222222"/>
          <w:sz w:val="24"/>
          <w:szCs w:val="24"/>
          <w:rtl w:val="0"/>
        </w:rPr>
        <w:t xml:space="preserve">Everything runs on publicly available data. PJM publishes hourly real-time LMP going back years. We pulled 2020 through 2023 for training and locked 2024 away completely for backtesting.</w:t>
      </w:r>
      <w:r w:rsidDel="00000000" w:rsidR="00000000" w:rsidRPr="00000000">
        <w:rPr>
          <w:rtl w:val="0"/>
        </w:rPr>
      </w:r>
    </w:p>
    <w:p w:rsidR="00000000" w:rsidDel="00000000" w:rsidP="00000000" w:rsidRDefault="00000000" w:rsidRPr="00000000" w14:paraId="0000004C">
      <w:pPr>
        <w:spacing w:after="120" w:line="320" w:lineRule="auto"/>
        <w:ind w:left="360" w:firstLine="0"/>
        <w:rPr/>
      </w:pPr>
      <w:r w:rsidDel="00000000" w:rsidR="00000000" w:rsidRPr="00000000">
        <w:rPr>
          <w:rFonts w:ascii="Arial" w:cs="Arial" w:eastAsia="Arial" w:hAnsi="Arial"/>
          <w:color w:val="222222"/>
          <w:sz w:val="24"/>
          <w:szCs w:val="24"/>
          <w:rtl w:val="0"/>
        </w:rPr>
        <w:t xml:space="preserve">The cleaning step clips price outliers to the first-and-ninety-ninth-percentile band: $10.32 to $152.91 per megawatt-hour. For the solver, we used CVXPY with the open-source HiGHS backend.</w:t>
      </w: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4E">
      <w:pPr>
        <w:spacing w:after="120" w:line="320" w:lineRule="auto"/>
        <w:ind w:left="360" w:firstLine="0"/>
        <w:rPr/>
      </w:pPr>
      <w:r w:rsidDel="00000000" w:rsidR="00000000" w:rsidRPr="00000000">
        <w:rPr>
          <w:rFonts w:ascii="Arial" w:cs="Arial" w:eastAsia="Arial" w:hAnsi="Arial"/>
          <w:color w:val="222222"/>
          <w:sz w:val="24"/>
          <w:szCs w:val="24"/>
          <w:rtl w:val="0"/>
        </w:rPr>
        <w:t xml:space="preserve">This backtest chart shows three strategies on the same 364 days in 2024. An oracle with perfect daily price foresight earns $7,261 over the year. A degradation-aware price-rank heuristic earns $3,637. A fixed off-peak-charge, on-peak-discharge schedule earns only $721.</w:t>
      </w:r>
      <w:r w:rsidDel="00000000" w:rsidR="00000000" w:rsidRPr="00000000">
        <w:rPr>
          <w:rtl w:val="0"/>
        </w:rPr>
      </w:r>
    </w:p>
    <w:p w:rsidR="00000000" w:rsidDel="00000000" w:rsidP="00000000" w:rsidRDefault="00000000" w:rsidRPr="00000000" w14:paraId="0000004F">
      <w:pPr>
        <w:spacing w:after="120" w:line="320" w:lineRule="auto"/>
        <w:ind w:left="360" w:firstLine="0"/>
        <w:rPr/>
      </w:pPr>
      <w:r w:rsidDel="00000000" w:rsidR="00000000" w:rsidRPr="00000000">
        <w:rPr>
          <w:rFonts w:ascii="Arial" w:cs="Arial" w:eastAsia="Arial" w:hAnsi="Arial"/>
          <w:color w:val="222222"/>
          <w:sz w:val="24"/>
          <w:szCs w:val="24"/>
          <w:rtl w:val="0"/>
        </w:rPr>
        <w:t xml:space="preserve">The gap between the naive and optimized revenues shows how much is gained by our optimization algorithm, and the gap between the optimized and oracle revenues shows there is still room for improvement within the optimization algorithm itself.</w:t>
      </w:r>
      <w:r w:rsidDel="00000000" w:rsidR="00000000" w:rsidRPr="00000000">
        <w:rPr>
          <w:rtl w:val="0"/>
        </w:rPr>
      </w:r>
    </w:p>
    <w:p w:rsidR="00000000" w:rsidDel="00000000" w:rsidP="00000000" w:rsidRDefault="00000000" w:rsidRPr="00000000" w14:paraId="00000050">
      <w:pPr>
        <w:spacing w:after="0" w:befor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8"/>
                <w:szCs w:val="28"/>
                <w:rtl w:val="0"/>
              </w:rPr>
              <w:t xml:space="preserve">Slide 9 — Two Numbers</w:t>
            </w:r>
            <w:r w:rsidDel="00000000" w:rsidR="00000000" w:rsidRPr="00000000">
              <w:rPr>
                <w:rtl w:val="0"/>
              </w:rPr>
            </w:r>
          </w:p>
        </w:tc>
      </w:tr>
    </w:tbl>
    <w:p w:rsidR="00000000" w:rsidDel="00000000" w:rsidP="00000000" w:rsidRDefault="00000000" w:rsidRPr="00000000" w14:paraId="00000052">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53">
      <w:pPr>
        <w:spacing w:after="120" w:line="320" w:lineRule="auto"/>
        <w:ind w:left="360" w:firstLine="0"/>
        <w:rPr/>
      </w:pPr>
      <w:r w:rsidDel="00000000" w:rsidR="00000000" w:rsidRPr="00000000">
        <w:rPr>
          <w:rFonts w:ascii="Arial" w:cs="Arial" w:eastAsia="Arial" w:hAnsi="Arial"/>
          <w:color w:val="222222"/>
          <w:sz w:val="24"/>
          <w:szCs w:val="24"/>
          <w:rtl w:val="0"/>
        </w:rPr>
        <w:t xml:space="preserve">Two numbers define this project’s conclusion.</w:t>
      </w:r>
      <w:r w:rsidDel="00000000" w:rsidR="00000000" w:rsidRPr="00000000">
        <w:rPr>
          <w:rtl w:val="0"/>
        </w:rPr>
      </w:r>
    </w:p>
    <w:p w:rsidR="00000000" w:rsidDel="00000000" w:rsidP="00000000" w:rsidRDefault="00000000" w:rsidRPr="00000000" w14:paraId="00000054">
      <w:pPr>
        <w:spacing w:after="120" w:line="320" w:lineRule="auto"/>
        <w:ind w:left="360" w:firstLine="0"/>
        <w:rPr/>
      </w:pPr>
      <w:r w:rsidDel="00000000" w:rsidR="00000000" w:rsidRPr="00000000">
        <w:rPr>
          <w:rFonts w:ascii="Arial" w:cs="Arial" w:eastAsia="Arial" w:hAnsi="Arial"/>
          <w:color w:val="222222"/>
          <w:sz w:val="24"/>
          <w:szCs w:val="24"/>
          <w:rtl w:val="0"/>
        </w:rPr>
        <w:t xml:space="preserve">First: the Expected Value of Perfect Information — the gap between knowing tomorrow’s prices exactly versus committing a schedule blindly — is only $843 per year on a one-megawatt-hour battery. Our forty-scenario distribution is already capturing most of the available price variation, so a dramatically better forecasting model would move the needle less than a thousand dollars annually. Better forecasting has limited upside.</w:t>
      </w: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56">
      <w:pPr>
        <w:spacing w:after="120" w:line="320" w:lineRule="auto"/>
        <w:ind w:left="360" w:firstLine="0"/>
        <w:rPr/>
      </w:pPr>
      <w:r w:rsidDel="00000000" w:rsidR="00000000" w:rsidRPr="00000000">
        <w:rPr>
          <w:rFonts w:ascii="Arial" w:cs="Arial" w:eastAsia="Arial" w:hAnsi="Arial"/>
          <w:color w:val="222222"/>
          <w:sz w:val="24"/>
          <w:szCs w:val="24"/>
          <w:rtl w:val="0"/>
        </w:rPr>
        <w:t xml:space="preserve">Second, the profitability gap. At NREL capital costs and a seven-percent cost of capital, you need roughly $50,000 per year to break even. The two-stage stochastic model earns $3,400 per year — about seven cents on the dollar. Even the 2024 oracle backtest, with perfect daily foresight and an upper bound no real operator achieves, earns only $7,261 — about fifteen cents on the dollar.</w:t>
      </w:r>
      <w:r w:rsidDel="00000000" w:rsidR="00000000" w:rsidRPr="00000000">
        <w:rPr>
          <w:rtl w:val="0"/>
        </w:rPr>
      </w:r>
    </w:p>
    <w:p w:rsidR="00000000" w:rsidDel="00000000" w:rsidP="00000000" w:rsidRDefault="00000000" w:rsidRPr="00000000" w14:paraId="00000057">
      <w:pPr>
        <w:spacing w:after="120" w:line="320" w:lineRule="auto"/>
        <w:ind w:left="360" w:firstLine="0"/>
        <w:rPr/>
      </w:pPr>
      <w:r w:rsidDel="00000000" w:rsidR="00000000" w:rsidRPr="00000000">
        <w:rPr>
          <w:rFonts w:ascii="Arial" w:cs="Arial" w:eastAsia="Arial" w:hAnsi="Arial"/>
          <w:color w:val="222222"/>
          <w:sz w:val="24"/>
          <w:szCs w:val="24"/>
          <w:rtl w:val="0"/>
        </w:rPr>
        <w:t xml:space="preserve">Either way, arbitrage alone cannot justify the investment.</w:t>
      </w:r>
      <w:r w:rsidDel="00000000" w:rsidR="00000000" w:rsidRPr="00000000">
        <w:rPr>
          <w:rtl w:val="0"/>
        </w:rPr>
      </w:r>
    </w:p>
    <w:p w:rsidR="00000000" w:rsidDel="00000000" w:rsidP="00000000" w:rsidRDefault="00000000" w:rsidRPr="00000000" w14:paraId="00000058">
      <w:pPr>
        <w:spacing w:after="0" w:befor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8"/>
                <w:szCs w:val="28"/>
                <w:rtl w:val="0"/>
              </w:rPr>
              <w:t xml:space="preserve">Slide 10 — RegD Extension</w:t>
            </w:r>
            <w:r w:rsidDel="00000000" w:rsidR="00000000" w:rsidRPr="00000000">
              <w:rPr>
                <w:rtl w:val="0"/>
              </w:rPr>
            </w:r>
          </w:p>
        </w:tc>
      </w:tr>
    </w:tbl>
    <w:p w:rsidR="00000000" w:rsidDel="00000000" w:rsidP="00000000" w:rsidRDefault="00000000" w:rsidRPr="00000000" w14:paraId="0000005A">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5B">
      <w:pPr>
        <w:spacing w:after="120" w:line="320" w:lineRule="auto"/>
        <w:ind w:left="360" w:firstLine="0"/>
        <w:rPr/>
      </w:pPr>
      <w:r w:rsidDel="00000000" w:rsidR="00000000" w:rsidRPr="00000000">
        <w:rPr>
          <w:rFonts w:ascii="Arial" w:cs="Arial" w:eastAsia="Arial" w:hAnsi="Arial"/>
          <w:color w:val="222222"/>
          <w:sz w:val="24"/>
          <w:szCs w:val="24"/>
          <w:rtl w:val="0"/>
        </w:rPr>
        <w:t xml:space="preserve">PJM’s RegD market pays a battery to follow a fast-response signal that balances frequency on the grid. The battery charges and discharges in small, shallow cycles rather than the deep daily swings of arbitrage.</w:t>
      </w:r>
      <w:r w:rsidDel="00000000" w:rsidR="00000000" w:rsidRPr="00000000">
        <w:rPr>
          <w:rtl w:val="0"/>
        </w:rPr>
      </w:r>
    </w:p>
    <w:p w:rsidR="00000000" w:rsidDel="00000000" w:rsidP="00000000" w:rsidRDefault="00000000" w:rsidRPr="00000000" w14:paraId="0000005C">
      <w:pPr>
        <w:spacing w:after="120" w:line="320" w:lineRule="auto"/>
        <w:ind w:left="360" w:firstLine="0"/>
        <w:rPr/>
      </w:pPr>
      <w:r w:rsidDel="00000000" w:rsidR="00000000" w:rsidRPr="00000000">
        <w:rPr>
          <w:rFonts w:ascii="Arial" w:cs="Arial" w:eastAsia="Arial" w:hAnsi="Arial"/>
          <w:color w:val="222222"/>
          <w:sz w:val="24"/>
          <w:szCs w:val="24"/>
          <w:rtl w:val="0"/>
        </w:rPr>
        <w:t xml:space="preserve">Because those regulation cycles are roughly ten percent depth-of-discharge, compared to eighty percent of a full arbitrage cycle, the per-megawatt-hour degradation cost is only $3.48 versus our original $27.83. The battery earns revenue without grinding itself down at the same rate.</w:t>
      </w:r>
      <w:r w:rsidDel="00000000" w:rsidR="00000000" w:rsidRPr="00000000">
        <w:rPr>
          <w:rtl w:val="0"/>
        </w:rPr>
      </w:r>
    </w:p>
    <w:p w:rsidR="00000000" w:rsidDel="00000000" w:rsidP="00000000" w:rsidRDefault="00000000" w:rsidRPr="00000000" w14:paraId="0000005D">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5E">
      <w:pPr>
        <w:spacing w:after="120" w:line="320" w:lineRule="auto"/>
        <w:ind w:left="360" w:firstLine="0"/>
        <w:rPr/>
      </w:pPr>
      <w:r w:rsidDel="00000000" w:rsidR="00000000" w:rsidRPr="00000000">
        <w:rPr>
          <w:rFonts w:ascii="Arial" w:cs="Arial" w:eastAsia="Arial" w:hAnsi="Arial"/>
          <w:color w:val="222222"/>
          <w:sz w:val="24"/>
          <w:szCs w:val="24"/>
          <w:rtl w:val="0"/>
        </w:rPr>
        <w:t xml:space="preserve">The right panel shows NPV as a function of the RegD clearing price. Above $25, which is near the historical PJM average, the project turns viable. At $30 per megawatt-hour, NPV on a one-megawatt-hour system is positive $162,000. Scale to ten megawatt-hours and NPV reaches $2.3 million.</w:t>
      </w:r>
      <w:r w:rsidDel="00000000" w:rsidR="00000000" w:rsidRPr="00000000">
        <w:rPr>
          <w:rtl w:val="0"/>
        </w:rPr>
      </w:r>
    </w:p>
    <w:p w:rsidR="00000000" w:rsidDel="00000000" w:rsidP="00000000" w:rsidRDefault="00000000" w:rsidRPr="00000000" w14:paraId="0000005F">
      <w:pPr>
        <w:spacing w:after="120" w:line="320" w:lineRule="auto"/>
        <w:ind w:left="360" w:firstLine="0"/>
        <w:rPr/>
      </w:pPr>
      <w:r w:rsidDel="00000000" w:rsidR="00000000" w:rsidRPr="00000000">
        <w:rPr>
          <w:rFonts w:ascii="Arial" w:cs="Arial" w:eastAsia="Arial" w:hAnsi="Arial"/>
          <w:color w:val="222222"/>
          <w:sz w:val="24"/>
          <w:szCs w:val="24"/>
          <w:rtl w:val="0"/>
        </w:rPr>
        <w:t xml:space="preserve">The stochastic MILP handles this naturally: regulation capacity is the first-stage committed decision, and energy arbitrage adapts to whichever price scenario actually realizes.</w:t>
      </w:r>
      <w:r w:rsidDel="00000000" w:rsidR="00000000" w:rsidRPr="00000000">
        <w:rPr>
          <w:rtl w:val="0"/>
        </w:rPr>
      </w:r>
    </w:p>
    <w:p w:rsidR="00000000" w:rsidDel="00000000" w:rsidP="00000000" w:rsidRDefault="00000000" w:rsidRPr="00000000" w14:paraId="00000060">
      <w:pPr>
        <w:spacing w:after="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4e79" w:val="clear"/>
            <w:tcMar>
              <w:top w:w="120.0" w:type="dxa"/>
              <w:left w:w="200.0" w:type="dxa"/>
              <w:bottom w:w="120.0" w:type="dxa"/>
              <w:right w:w="2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8"/>
                <w:szCs w:val="28"/>
                <w:rtl w:val="0"/>
              </w:rPr>
              <w:t xml:space="preserve">Slide 11 — Reflection and Close</w:t>
            </w:r>
            <w:r w:rsidDel="00000000" w:rsidR="00000000" w:rsidRPr="00000000">
              <w:rPr>
                <w:rtl w:val="0"/>
              </w:rPr>
            </w:r>
          </w:p>
        </w:tc>
      </w:tr>
    </w:tbl>
    <w:p w:rsidR="00000000" w:rsidDel="00000000" w:rsidP="00000000" w:rsidRDefault="00000000" w:rsidRPr="00000000" w14:paraId="00000062">
      <w:pPr>
        <w:spacing w:after="80" w:before="200" w:lineRule="auto"/>
        <w:rPr/>
      </w:pPr>
      <w:r w:rsidDel="00000000" w:rsidR="00000000" w:rsidRPr="00000000">
        <w:rPr>
          <w:rFonts w:ascii="Arial" w:cs="Arial" w:eastAsia="Arial" w:hAnsi="Arial"/>
          <w:b w:val="1"/>
          <w:bCs w:val="1"/>
          <w:color w:val="8b2a5c"/>
          <w:sz w:val="24"/>
          <w:szCs w:val="24"/>
          <w:rtl w:val="0"/>
        </w:rPr>
        <w:t xml:space="preserve">GIANNA</w:t>
      </w:r>
      <w:r w:rsidDel="00000000" w:rsidR="00000000" w:rsidRPr="00000000">
        <w:rPr>
          <w:rtl w:val="0"/>
        </w:rPr>
      </w:r>
    </w:p>
    <w:p w:rsidR="00000000" w:rsidDel="00000000" w:rsidP="00000000" w:rsidRDefault="00000000" w:rsidRPr="00000000" w14:paraId="00000063">
      <w:pPr>
        <w:spacing w:after="120" w:line="320" w:lineRule="auto"/>
        <w:ind w:left="360" w:firstLine="0"/>
        <w:rPr/>
      </w:pPr>
      <w:r w:rsidDel="00000000" w:rsidR="00000000" w:rsidRPr="00000000">
        <w:rPr>
          <w:rFonts w:ascii="Arial" w:cs="Arial" w:eastAsia="Arial" w:hAnsi="Arial"/>
          <w:color w:val="222222"/>
          <w:sz w:val="24"/>
          <w:szCs w:val="24"/>
          <w:rtl w:val="0"/>
        </w:rPr>
        <w:t xml:space="preserve">We ran five two-week sprints with natural handoffs. The data pipeline output fed the scenario generator. Scenarios fed the optimizer. Optimizer results fed the backtest and economic analysis. The validated model fed the RegD extension.</w:t>
      </w:r>
      <w:r w:rsidDel="00000000" w:rsidR="00000000" w:rsidRPr="00000000">
        <w:rPr>
          <w:rtl w:val="0"/>
        </w:rPr>
      </w:r>
    </w:p>
    <w:p w:rsidR="00000000" w:rsidDel="00000000" w:rsidP="00000000" w:rsidRDefault="00000000" w:rsidRPr="00000000" w14:paraId="00000064">
      <w:pPr>
        <w:spacing w:after="120" w:line="320" w:lineRule="auto"/>
        <w:ind w:left="360" w:firstLine="0"/>
        <w:rPr/>
      </w:pPr>
      <w:r w:rsidDel="00000000" w:rsidR="00000000" w:rsidRPr="00000000">
        <w:rPr>
          <w:rFonts w:ascii="Arial" w:cs="Arial" w:eastAsia="Arial" w:hAnsi="Arial"/>
          <w:color w:val="222222"/>
          <w:sz w:val="24"/>
          <w:szCs w:val="24"/>
          <w:rtl w:val="0"/>
        </w:rPr>
        <w:t xml:space="preserve">Work divided along two specializations — optimization modeling and data-and-economics — with the scenario format as the agreed-upon interface between the two halves.</w:t>
      </w:r>
      <w:r w:rsidDel="00000000" w:rsidR="00000000" w:rsidRPr="00000000">
        <w:rPr>
          <w:rtl w:val="0"/>
        </w:rPr>
      </w:r>
    </w:p>
    <w:p w:rsidR="00000000" w:rsidDel="00000000" w:rsidP="00000000" w:rsidRDefault="00000000" w:rsidRPr="00000000" w14:paraId="00000065">
      <w:pPr>
        <w:spacing w:after="80" w:before="200" w:lineRule="auto"/>
        <w:rPr/>
      </w:pPr>
      <w:r w:rsidDel="00000000" w:rsidR="00000000" w:rsidRPr="00000000">
        <w:rPr>
          <w:rFonts w:ascii="Arial" w:cs="Arial" w:eastAsia="Arial" w:hAnsi="Arial"/>
          <w:b w:val="1"/>
          <w:bCs w:val="1"/>
          <w:color w:val="1f4e79"/>
          <w:sz w:val="24"/>
          <w:szCs w:val="24"/>
          <w:rtl w:val="0"/>
        </w:rPr>
        <w:t xml:space="preserve">SEKANDER</w:t>
      </w:r>
      <w:r w:rsidDel="00000000" w:rsidR="00000000" w:rsidRPr="00000000">
        <w:rPr>
          <w:rtl w:val="0"/>
        </w:rPr>
      </w:r>
    </w:p>
    <w:p w:rsidR="00000000" w:rsidDel="00000000" w:rsidP="00000000" w:rsidRDefault="00000000" w:rsidRPr="00000000" w14:paraId="00000066">
      <w:pPr>
        <w:spacing w:after="120" w:line="320" w:lineRule="auto"/>
        <w:ind w:left="360" w:firstLine="0"/>
        <w:rPr/>
      </w:pPr>
      <w:r w:rsidDel="00000000" w:rsidR="00000000" w:rsidRPr="00000000">
        <w:rPr>
          <w:rFonts w:ascii="Arial" w:cs="Arial" w:eastAsia="Arial" w:hAnsi="Arial"/>
          <w:color w:val="222222"/>
          <w:sz w:val="24"/>
          <w:szCs w:val="24"/>
          <w:rtl w:val="0"/>
        </w:rPr>
        <w:t xml:space="preserve">One honest reflection: the RegD extension turned out to be the most commercially significant result in the entire project, but we only reached it in weeks nine and ten. If we had run that thread in parallel with the stochastic MILP rather than sequentially after it, we would have had more time to stress-test the regulation assumptions and explore sensitivity to mileage ratios and capacity allocation rules. Starting with the commercial question earlier would have sharpened every decision upstream.</w:t>
      </w:r>
      <w:r w:rsidDel="00000000" w:rsidR="00000000" w:rsidRPr="00000000">
        <w:rPr>
          <w:rtl w:val="0"/>
        </w:rPr>
      </w:r>
    </w:p>
    <w:p w:rsidR="00000000" w:rsidDel="00000000" w:rsidP="00000000" w:rsidRDefault="00000000" w:rsidRPr="00000000" w14:paraId="00000067">
      <w:pPr>
        <w:spacing w:after="120" w:line="320" w:lineRule="auto"/>
        <w:ind w:left="360" w:firstLine="0"/>
        <w:rPr/>
      </w:pPr>
      <w:r w:rsidDel="00000000" w:rsidR="00000000" w:rsidRPr="00000000">
        <w:rPr>
          <w:rFonts w:ascii="Arial" w:cs="Arial" w:eastAsia="Arial" w:hAnsi="Arial"/>
          <w:color w:val="222222"/>
          <w:sz w:val="24"/>
          <w:szCs w:val="24"/>
          <w:rtl w:val="0"/>
        </w:rPr>
        <w:t xml:space="preserve">That said: the pipeline is complete, the results are reproducible on public data, and the conclusion is definitive. Thank you.</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e1GRAUiDP3F0HgLtANFMe1jYA==">CgMxLjA4AHIhMVNaeFpPbTI3OFdsUUZEYnNBdV9jTXF1NGYxMDhfWEpk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