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200"/>
        <w:jc w:val="center"/>
      </w:pPr>
      <w:r>
        <w:rPr>
          <w:b/>
          <w:color w:val="14213D"/>
          <w:sz w:val="58"/>
        </w:rPr>
        <w:t>UX-концепция и план редизайна</w:t>
        <w:br/>
        <w:t>synapsee.ru</w:t>
      </w:r>
    </w:p>
    <w:p>
      <w:pPr>
        <w:jc w:val="center"/>
      </w:pPr>
      <w:r>
        <w:rPr>
          <w:color w:val="5D6878"/>
          <w:sz w:val="28"/>
        </w:rPr>
        <w:t>Как сделать сайт понятнее, спокойнее, убедительнее и удобнее конкурентов</w:t>
      </w:r>
    </w:p>
    <w:p>
      <w:pPr>
        <w:jc w:val="center"/>
      </w:pPr>
      <w:r>
        <w:rPr>
          <w:color w:val="5D6878"/>
          <w:sz w:val="18"/>
        </w:rPr>
        <w:t>Отдельный UX/CRO-отчёт · рекомендации для 38 URL · desktop + mobile · 7 августа 2026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F5EF"/>
          </w:tcPr>
          <w:p>
            <w:pPr>
              <w:spacing w:after="60"/>
            </w:pPr>
            <w:r>
              <w:rPr>
                <w:b/>
                <w:color w:val="14213D"/>
              </w:rPr>
              <w:t>Суть концепции</w:t>
            </w:r>
          </w:p>
          <w:p>
            <w:pPr>
              <w:spacing w:after="0"/>
            </w:pPr>
            <w:r>
              <w:t>Synapsee должен выглядеть не как ещё одно громкое SEO-агентство, а как прозрачная экспертная система: быстро объясняет задачу, показывает доказательство, демонстрирует рабочий артефакт и предлагает один простой следующий шаг.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Решение в одном экране</w:t>
      </w:r>
    </w:p>
    <w:p>
      <w:r>
        <w:t>Основная проблема сайта — не отсутствие контента, а его порядок. Пользователь видит крупные заявления и длинные заголовки раньше, чем получает опору: кто работает, какой результат можно проверить, сколько это стоит и как начать. Поэтому новый UX строится вокруг последовательности «понять → поверить → выбрать → оставить контакт».</w:t>
      </w:r>
    </w:p>
    <w:p>
      <w:pPr>
        <w:pStyle w:val="Heading2"/>
      </w:pPr>
      <w:r>
        <w:t>Что изменится визуально и функционально</w:t>
      </w:r>
    </w:p>
    <w:p>
      <w:pPr>
        <w:pStyle w:val="ListBullet"/>
        <w:spacing w:after="80" w:line="280" w:lineRule="auto"/>
      </w:pPr>
      <w:r>
        <w:t>H1 занимает не более 2–3 строк на desktop и 3–4 строк на mobile; CTA и доказательство помещаются в первый экран.</w:t>
      </w:r>
    </w:p>
    <w:p>
      <w:pPr>
        <w:pStyle w:val="ListBullet"/>
        <w:spacing w:after="80" w:line="280" w:lineRule="auto"/>
      </w:pPr>
      <w:r>
        <w:t>Текст читается колонкой 680–760 px, а не растягивается по всей ширине; длина строки — примерно 55–75 знаков.</w:t>
      </w:r>
    </w:p>
    <w:p>
      <w:pPr>
        <w:pStyle w:val="ListBullet"/>
        <w:spacing w:after="80" w:line="280" w:lineRule="auto"/>
      </w:pPr>
      <w:r>
        <w:t>Каждая длинная страница получает локальное оглавление и якорную навигацию.</w:t>
      </w:r>
    </w:p>
    <w:p>
      <w:pPr>
        <w:pStyle w:val="ListBullet"/>
        <w:spacing w:after="80" w:line="280" w:lineRule="auto"/>
      </w:pPr>
      <w:r>
        <w:t>Вместо повторяющихся больших текстовых секций используются короткие тезисы, раскрывающиеся детали, чек-листы и реальные примеры.</w:t>
      </w:r>
    </w:p>
    <w:p>
      <w:pPr>
        <w:pStyle w:val="ListBullet"/>
        <w:spacing w:after="80" w:line="280" w:lineRule="auto"/>
      </w:pPr>
      <w:r>
        <w:t>Форма первого контакта содержит два поля. Полный бриф появляется только после первого шага.</w:t>
      </w:r>
    </w:p>
    <w:p>
      <w:pPr>
        <w:pStyle w:val="ListBullet"/>
        <w:spacing w:after="80" w:line="280" w:lineRule="auto"/>
      </w:pPr>
      <w:r>
        <w:t>На каждой услуге показываются цена, срок, результат, кому подходит, рабочий артефакт и релевантный кейс.</w:t>
      </w:r>
    </w:p>
    <w:p>
      <w:pPr>
        <w:pStyle w:val="ListBullet"/>
        <w:spacing w:after="80" w:line="280" w:lineRule="auto"/>
      </w:pPr>
      <w:r>
        <w:t>Кейсы начинаются не с драматичного заголовка, а с карточки доказательств: период, источник, исходная точка, результат, роль Synapsee.</w:t>
      </w:r>
    </w:p>
    <w:p>
      <w:pPr>
        <w:pStyle w:val="ListBullet"/>
        <w:spacing w:after="80" w:line="280" w:lineRule="auto"/>
      </w:pPr>
      <w:r>
        <w:t>На мобильном устройстве появляется компактная нижняя панель действия, но она не закрывает контент и consent.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AF1FF"/>
          </w:tcPr>
          <w:p>
            <w:pPr>
              <w:spacing w:after="60"/>
            </w:pPr>
            <w:r>
              <w:rPr>
                <w:b/>
                <w:color w:val="14213D"/>
              </w:rPr>
              <w:t>Главное правило</w:t>
            </w:r>
          </w:p>
          <w:p>
            <w:pPr>
              <w:spacing w:after="0"/>
            </w:pPr>
            <w:r>
              <w:t>Каждый экран должен отвечать только на один вопрос пользователя. Если блок одновременно продаёт, обучает, перечисляет услуги и рассказывает историю — его нужно разделить.</w:t>
            </w:r>
          </w:p>
        </w:tc>
      </w:tr>
    </w:tbl>
    <w:p>
      <w:pPr>
        <w:spacing w:after="20"/>
      </w:pPr>
    </w:p>
    <w:p>
      <w:pPr>
        <w:pStyle w:val="Heading2"/>
      </w:pPr>
      <w:r>
        <w:t>Целевой эффект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3024"/>
        <w:gridCol w:w="2736"/>
        <w:gridCol w:w="3600"/>
      </w:tblGrid>
      <w:tr>
        <w:trPr>
          <w:tblHeader w:val="true"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Метрика UX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Сейчас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Целевой ориентир</w:t>
            </w:r>
          </w:p>
        </w:tc>
      </w:tr>
      <w:tr>
        <w:tc>
          <w:tcPr>
            <w:tcW w:type="dxa" w:w="3024"/>
          </w:tcPr>
          <w:p>
            <w:r>
              <w:t>CTA в первом экране</w:t>
            </w:r>
          </w:p>
        </w:tc>
        <w:tc>
          <w:tcPr>
            <w:tcW w:type="dxa" w:w="2736"/>
          </w:tcPr>
          <w:p>
            <w:r>
              <w:t>На ключевых страницах часто отсутствует</w:t>
            </w:r>
          </w:p>
        </w:tc>
        <w:tc>
          <w:tcPr>
            <w:tcW w:type="dxa" w:w="3600"/>
          </w:tcPr>
          <w:p>
            <w:r>
              <w:t>100% коммерческих страниц</w:t>
            </w:r>
          </w:p>
        </w:tc>
      </w:tr>
      <w:tr>
        <w:tc>
          <w:tcPr>
            <w:tcW w:type="dxa" w:w="3024"/>
          </w:tcPr>
          <w:p>
            <w:r>
              <w:t>Поля первого шага</w:t>
            </w:r>
          </w:p>
        </w:tc>
        <w:tc>
          <w:tcPr>
            <w:tcW w:type="dxa" w:w="2736"/>
          </w:tcPr>
          <w:p>
            <w:r>
              <w:t>Имя, телефон, email, сайт, проверка, consent</w:t>
            </w:r>
          </w:p>
        </w:tc>
        <w:tc>
          <w:tcPr>
            <w:tcW w:type="dxa" w:w="3600"/>
          </w:tcPr>
          <w:p>
            <w:r>
              <w:t>Сайт + один контакт</w:t>
            </w:r>
          </w:p>
        </w:tc>
      </w:tr>
      <w:tr>
        <w:tc>
          <w:tcPr>
            <w:tcW w:type="dxa" w:w="3024"/>
          </w:tcPr>
          <w:p>
            <w:r>
              <w:t>Время понимания оффера</w:t>
            </w:r>
          </w:p>
        </w:tc>
        <w:tc>
          <w:tcPr>
            <w:tcW w:type="dxa" w:w="2736"/>
          </w:tcPr>
          <w:p>
            <w:r>
              <w:t>Требует чтения нескольких экранов</w:t>
            </w:r>
          </w:p>
        </w:tc>
        <w:tc>
          <w:tcPr>
            <w:tcW w:type="dxa" w:w="3600"/>
          </w:tcPr>
          <w:p>
            <w:r>
              <w:t>5–10 секунд</w:t>
            </w:r>
          </w:p>
        </w:tc>
      </w:tr>
      <w:tr>
        <w:tc>
          <w:tcPr>
            <w:tcW w:type="dxa" w:w="3024"/>
          </w:tcPr>
          <w:p>
            <w:r>
              <w:t>Длина H1</w:t>
            </w:r>
          </w:p>
        </w:tc>
        <w:tc>
          <w:tcPr>
            <w:tcW w:type="dxa" w:w="2736"/>
          </w:tcPr>
          <w:p>
            <w:r>
              <w:t>До 530–971 px на отдельных шаблонах</w:t>
            </w:r>
          </w:p>
        </w:tc>
        <w:tc>
          <w:tcPr>
            <w:tcW w:type="dxa" w:w="3600"/>
          </w:tcPr>
          <w:p>
            <w:r>
              <w:t>Не более 35–45% первого экрана</w:t>
            </w:r>
          </w:p>
        </w:tc>
      </w:tr>
      <w:tr>
        <w:tc>
          <w:tcPr>
            <w:tcW w:type="dxa" w:w="3024"/>
          </w:tcPr>
          <w:p>
            <w:r>
              <w:t>Доказательство</w:t>
            </w:r>
          </w:p>
        </w:tc>
        <w:tc>
          <w:tcPr>
            <w:tcW w:type="dxa" w:w="2736"/>
          </w:tcPr>
          <w:p>
            <w:r>
              <w:t>Разнесено по длинным страницам</w:t>
            </w:r>
          </w:p>
        </w:tc>
        <w:tc>
          <w:tcPr>
            <w:tcW w:type="dxa" w:w="3600"/>
          </w:tcPr>
          <w:p>
            <w:r>
              <w:t>Одно проверяемое доказательство рядом с оффером</w:t>
            </w:r>
          </w:p>
        </w:tc>
      </w:tr>
      <w:tr>
        <w:tc>
          <w:tcPr>
            <w:tcW w:type="dxa" w:w="3024"/>
          </w:tcPr>
          <w:p>
            <w:r>
              <w:t>Навигация по длинной странице</w:t>
            </w:r>
          </w:p>
        </w:tc>
        <w:tc>
          <w:tcPr>
            <w:tcW w:type="dxa" w:w="2736"/>
          </w:tcPr>
          <w:p>
            <w:r>
              <w:t>Линейный скролл</w:t>
            </w:r>
          </w:p>
        </w:tc>
        <w:tc>
          <w:tcPr>
            <w:tcW w:type="dxa" w:w="3600"/>
          </w:tcPr>
          <w:p>
            <w:r>
              <w:t>Якоря + прогресс + возврат к CTA</w:t>
            </w:r>
          </w:p>
        </w:tc>
      </w:tr>
    </w:tbl>
    <w:p>
      <w:pPr>
        <w:pStyle w:val="Heading1"/>
      </w:pPr>
      <w:r>
        <w:t>2. Новое позиционирование интерфейса</w:t>
      </w:r>
    </w:p>
    <w:p>
      <w:pPr>
        <w:pStyle w:val="Heading2"/>
      </w:pPr>
      <w:r>
        <w:t>Образ сайта</w:t>
      </w:r>
    </w:p>
    <w:p>
      <w:r>
        <w:t>Рекомендуемое направление — «спокойная экспертная лаборатория». Белый или очень светлый фон, тёмный текст, один синий акцент, реальные скриншоты и схемы работы. Не использовать визуальный шум SEO-агентств: бегущие цифры, абстрактные 3D-сферы, псевдографики роста, чрезмерные градиенты и десятки одинаковых карточек.</w:t>
      </w:r>
    </w:p>
    <w:p>
      <w:pPr>
        <w:pStyle w:val="Heading2"/>
      </w:pPr>
      <w:r>
        <w:t>Единая формулировка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F5EF"/>
          </w:tcPr>
          <w:p>
            <w:pPr>
              <w:spacing w:after="60"/>
            </w:pPr>
            <w:r>
              <w:rPr>
                <w:b/>
                <w:color w:val="14213D"/>
              </w:rPr>
              <w:t>Рекомендуемый вариант</w:t>
            </w:r>
          </w:p>
          <w:p>
            <w:pPr>
              <w:spacing w:after="0"/>
            </w:pPr>
            <w:r>
              <w:t>Synapsee — независимая SEO-практика Фёдора Магери. Стратегия и контроль находятся у одного ответственного специалиста; разработчики, редакторы и подрядчики подключаются по согласованной модели.</w:t>
            </w:r>
          </w:p>
        </w:tc>
      </w:tr>
    </w:tbl>
    <w:p>
      <w:pPr>
        <w:spacing w:after="20"/>
      </w:pPr>
    </w:p>
    <w:p>
      <w:pPr>
        <w:pStyle w:val="Heading2"/>
      </w:pPr>
      <w:r>
        <w:t>Три уровня доверия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1655"/>
        <w:gridCol w:w="4320"/>
        <w:gridCol w:w="3384"/>
      </w:tblGrid>
      <w:tr>
        <w:trPr>
          <w:tblHeader w:val="true"/>
        </w:trP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Что показать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Где</w:t>
            </w:r>
          </w:p>
        </w:tc>
      </w:tr>
      <w:tr>
        <w:tc>
          <w:tcPr>
            <w:tcW w:type="dxa" w:w="1655"/>
          </w:tcPr>
          <w:p>
            <w:r>
              <w:t>Личность</w:t>
            </w:r>
          </w:p>
        </w:tc>
        <w:tc>
          <w:tcPr>
            <w:tcW w:type="dxa" w:w="4320"/>
          </w:tcPr>
          <w:p>
            <w:r>
              <w:t>Имя, лицо, опыт, специализация, роль в проектах</w:t>
            </w:r>
          </w:p>
        </w:tc>
        <w:tc>
          <w:tcPr>
            <w:tcW w:type="dxa" w:w="3384"/>
          </w:tcPr>
          <w:p>
            <w:r>
              <w:t>Hero, About, автор статьи, форма</w:t>
            </w:r>
          </w:p>
        </w:tc>
      </w:tr>
      <w:tr>
        <w:tc>
          <w:tcPr>
            <w:tcW w:type="dxa" w:w="1655"/>
          </w:tcPr>
          <w:p>
            <w:r>
              <w:t>Процесс</w:t>
            </w:r>
          </w:p>
        </w:tc>
        <w:tc>
          <w:tcPr>
            <w:tcW w:type="dxa" w:w="4320"/>
          </w:tcPr>
          <w:p>
            <w:r>
              <w:t>Что проверяется, какой артефакт получает клиент, что внедряется</w:t>
            </w:r>
          </w:p>
        </w:tc>
        <w:tc>
          <w:tcPr>
            <w:tcW w:type="dxa" w:w="3384"/>
          </w:tcPr>
          <w:p>
            <w:r>
              <w:t>Услуги, Process, Report example</w:t>
            </w:r>
          </w:p>
        </w:tc>
      </w:tr>
      <w:tr>
        <w:tc>
          <w:tcPr>
            <w:tcW w:type="dxa" w:w="1655"/>
          </w:tcPr>
          <w:p>
            <w:r>
              <w:t>Доказательство</w:t>
            </w:r>
          </w:p>
        </w:tc>
        <w:tc>
          <w:tcPr>
            <w:tcW w:type="dxa" w:w="4320"/>
          </w:tcPr>
          <w:p>
            <w:r>
              <w:t>Период, источник данных, baseline, результат, ограничение атрибуции</w:t>
            </w:r>
          </w:p>
        </w:tc>
        <w:tc>
          <w:tcPr>
            <w:tcW w:type="dxa" w:w="3384"/>
          </w:tcPr>
          <w:p>
            <w:r>
              <w:t>Hero, кейсы, Pricing, Results</w:t>
            </w:r>
          </w:p>
        </w:tc>
      </w:tr>
    </w:tbl>
    <w:p>
      <w:pPr>
        <w:pStyle w:val="Heading1"/>
      </w:pPr>
      <w:r>
        <w:t>3. Дизайн-система для читабельности</w:t>
      </w:r>
    </w:p>
    <w:p>
      <w:pPr>
        <w:pStyle w:val="Heading2"/>
      </w:pPr>
      <w:r>
        <w:t>Типографика и ширина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160"/>
        <w:gridCol w:w="3600"/>
        <w:gridCol w:w="360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Элемент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Desktop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Mobile</w:t>
            </w:r>
          </w:p>
        </w:tc>
      </w:tr>
      <w:tr>
        <w:tc>
          <w:tcPr>
            <w:tcW w:type="dxa" w:w="2160"/>
          </w:tcPr>
          <w:p>
            <w:r>
              <w:t>H1</w:t>
            </w:r>
          </w:p>
        </w:tc>
        <w:tc>
          <w:tcPr>
            <w:tcW w:type="dxa" w:w="3600"/>
          </w:tcPr>
          <w:p>
            <w:r>
              <w:t>48–56 px; line-height 1.05–1.12; максимум 760 px</w:t>
            </w:r>
          </w:p>
        </w:tc>
        <w:tc>
          <w:tcPr>
            <w:tcW w:type="dxa" w:w="3600"/>
          </w:tcPr>
          <w:p>
            <w:r>
              <w:t>34–40 px; line-height 1.10; до 4 строк</w:t>
            </w:r>
          </w:p>
        </w:tc>
      </w:tr>
      <w:tr>
        <w:tc>
          <w:tcPr>
            <w:tcW w:type="dxa" w:w="2160"/>
          </w:tcPr>
          <w:p>
            <w:r>
              <w:t>H2</w:t>
            </w:r>
          </w:p>
        </w:tc>
        <w:tc>
          <w:tcPr>
            <w:tcW w:type="dxa" w:w="3600"/>
          </w:tcPr>
          <w:p>
            <w:r>
              <w:t>32–38 px; line-height 1.15</w:t>
            </w:r>
          </w:p>
        </w:tc>
        <w:tc>
          <w:tcPr>
            <w:tcW w:type="dxa" w:w="3600"/>
          </w:tcPr>
          <w:p>
            <w:r>
              <w:t>26–30 px</w:t>
            </w:r>
          </w:p>
        </w:tc>
      </w:tr>
      <w:tr>
        <w:tc>
          <w:tcPr>
            <w:tcW w:type="dxa" w:w="2160"/>
          </w:tcPr>
          <w:p>
            <w:r>
              <w:t>H3</w:t>
            </w:r>
          </w:p>
        </w:tc>
        <w:tc>
          <w:tcPr>
            <w:tcW w:type="dxa" w:w="3600"/>
          </w:tcPr>
          <w:p>
            <w:r>
              <w:t>22–26 px</w:t>
            </w:r>
          </w:p>
        </w:tc>
        <w:tc>
          <w:tcPr>
            <w:tcW w:type="dxa" w:w="3600"/>
          </w:tcPr>
          <w:p>
            <w:r>
              <w:t>20–22 px</w:t>
            </w:r>
          </w:p>
        </w:tc>
      </w:tr>
      <w:tr>
        <w:tc>
          <w:tcPr>
            <w:tcW w:type="dxa" w:w="2160"/>
          </w:tcPr>
          <w:p>
            <w:r>
              <w:t>Основной текст</w:t>
            </w:r>
          </w:p>
        </w:tc>
        <w:tc>
          <w:tcPr>
            <w:tcW w:type="dxa" w:w="3600"/>
          </w:tcPr>
          <w:p>
            <w:r>
              <w:t>18 px; line-height 1.55–1.65; колонка 680–760 px</w:t>
            </w:r>
          </w:p>
        </w:tc>
        <w:tc>
          <w:tcPr>
            <w:tcW w:type="dxa" w:w="3600"/>
          </w:tcPr>
          <w:p>
            <w:r>
              <w:t>17 px; line-height 1.55</w:t>
            </w:r>
          </w:p>
        </w:tc>
      </w:tr>
      <w:tr>
        <w:tc>
          <w:tcPr>
            <w:tcW w:type="dxa" w:w="2160"/>
          </w:tcPr>
          <w:p>
            <w:r>
              <w:t>Подписи</w:t>
            </w:r>
          </w:p>
        </w:tc>
        <w:tc>
          <w:tcPr>
            <w:tcW w:type="dxa" w:w="3600"/>
          </w:tcPr>
          <w:p>
            <w:r>
              <w:t>14–15 px; контраст не ниже WCAG AA</w:t>
            </w:r>
          </w:p>
        </w:tc>
        <w:tc>
          <w:tcPr>
            <w:tcW w:type="dxa" w:w="3600"/>
          </w:tcPr>
          <w:p>
            <w:r>
              <w:t>14 px</w:t>
            </w:r>
          </w:p>
        </w:tc>
      </w:tr>
      <w:tr>
        <w:tc>
          <w:tcPr>
            <w:tcW w:type="dxa" w:w="2160"/>
          </w:tcPr>
          <w:p>
            <w:r>
              <w:t>Интервал секций</w:t>
            </w:r>
          </w:p>
        </w:tc>
        <w:tc>
          <w:tcPr>
            <w:tcW w:type="dxa" w:w="3600"/>
          </w:tcPr>
          <w:p>
            <w:r>
              <w:t>96–128 px</w:t>
            </w:r>
          </w:p>
        </w:tc>
        <w:tc>
          <w:tcPr>
            <w:tcW w:type="dxa" w:w="3600"/>
          </w:tcPr>
          <w:p>
            <w:r>
              <w:t>64–80 px</w:t>
            </w:r>
          </w:p>
        </w:tc>
      </w:tr>
      <w:tr>
        <w:tc>
          <w:tcPr>
            <w:tcW w:type="dxa" w:w="2160"/>
          </w:tcPr>
          <w:p>
            <w:r>
              <w:t>Интервал абзацев</w:t>
            </w:r>
          </w:p>
        </w:tc>
        <w:tc>
          <w:tcPr>
            <w:tcW w:type="dxa" w:w="3600"/>
          </w:tcPr>
          <w:p>
            <w:r>
              <w:t>16–20 px</w:t>
            </w:r>
          </w:p>
        </w:tc>
        <w:tc>
          <w:tcPr>
            <w:tcW w:type="dxa" w:w="3600"/>
          </w:tcPr>
          <w:p>
            <w:r>
              <w:t>14–18 px</w:t>
            </w:r>
          </w:p>
        </w:tc>
      </w:tr>
    </w:tbl>
    <w:p>
      <w:pPr>
        <w:pStyle w:val="Heading2"/>
      </w:pPr>
      <w:r>
        <w:t>Цвет и компоненты</w:t>
      </w:r>
    </w:p>
    <w:p>
      <w:pPr>
        <w:pStyle w:val="ListBullet"/>
        <w:spacing w:after="80" w:line="280" w:lineRule="auto"/>
      </w:pPr>
      <w:r>
        <w:t>Основной фон #FFFFFF; альтернативный фон секций #F6F8FB; текст #172033; основной CTA #2563EB.</w:t>
      </w:r>
    </w:p>
    <w:p>
      <w:pPr>
        <w:pStyle w:val="ListBullet"/>
        <w:spacing w:after="80" w:line="280" w:lineRule="auto"/>
      </w:pPr>
      <w:r>
        <w:t>Один главный цвет действия. Зелёный использовать только для подтверждённых результатов, красный — только для ошибок формы.</w:t>
      </w:r>
    </w:p>
    <w:p>
      <w:pPr>
        <w:pStyle w:val="ListBullet"/>
        <w:spacing w:after="80" w:line="280" w:lineRule="auto"/>
      </w:pPr>
      <w:r>
        <w:t>Радиус карточек 16–20 px, бордер 1 px #E3E8EF, минимальная тень либо без тени.</w:t>
      </w:r>
    </w:p>
    <w:p>
      <w:pPr>
        <w:pStyle w:val="ListBullet"/>
        <w:spacing w:after="80" w:line="280" w:lineRule="auto"/>
      </w:pPr>
      <w:r>
        <w:t>Кнопка: высота 48–52 px; ясный глагол; заметный hover/focus; площадь касания mobile минимум 44×44 px.</w:t>
      </w:r>
    </w:p>
    <w:p>
      <w:pPr>
        <w:pStyle w:val="ListBullet"/>
        <w:spacing w:after="80" w:line="280" w:lineRule="auto"/>
      </w:pPr>
      <w:r>
        <w:t>Иконки нужны только там, где ускоряют распознавание. Не ставить декоративную иконку перед каждым абзацем.</w:t>
      </w:r>
    </w:p>
    <w:p>
      <w:pPr>
        <w:pStyle w:val="ListBullet"/>
        <w:spacing w:after="80" w:line="280" w:lineRule="auto"/>
      </w:pPr>
      <w:r>
        <w:t>Анимации 150–220 мс, без параллакса и бесконечных движений; учитывать prefers-reduced-motion.</w:t>
      </w:r>
    </w:p>
    <w:p>
      <w:pPr>
        <w:pStyle w:val="Heading2"/>
      </w:pPr>
      <w:r>
        <w:t>Редакторские правила</w:t>
      </w:r>
    </w:p>
    <w:p>
      <w:pPr>
        <w:pStyle w:val="ListBullet"/>
        <w:spacing w:after="80" w:line="280" w:lineRule="auto"/>
      </w:pPr>
      <w:r>
        <w:t>Один абзац — одна мысль, 2–4 строки на desktop.</w:t>
      </w:r>
    </w:p>
    <w:p>
      <w:pPr>
        <w:pStyle w:val="ListBullet"/>
        <w:spacing w:after="80" w:line="280" w:lineRule="auto"/>
      </w:pPr>
      <w:r>
        <w:t>После 2–3 абзацев нужен смысловой якорь: подзаголовок, доказательство, чек-лист или изображение.</w:t>
      </w:r>
    </w:p>
    <w:p>
      <w:pPr>
        <w:pStyle w:val="ListBullet"/>
        <w:spacing w:after="80" w:line="280" w:lineRule="auto"/>
      </w:pPr>
      <w:r>
        <w:t>Не более 6 карточек в одной сетке без группировки.</w:t>
      </w:r>
    </w:p>
    <w:p>
      <w:pPr>
        <w:pStyle w:val="ListBullet"/>
        <w:spacing w:after="80" w:line="280" w:lineRule="auto"/>
      </w:pPr>
      <w:r>
        <w:t>Список длиннее 7 пунктов разбивать на этапы или категории.</w:t>
      </w:r>
    </w:p>
    <w:p>
      <w:pPr>
        <w:pStyle w:val="ListBullet"/>
        <w:spacing w:after="80" w:line="280" w:lineRule="auto"/>
      </w:pPr>
      <w:r>
        <w:t>Кнопка должна говорить о результате: «Получить 3 точки роста», а не «Отправить».</w:t>
      </w:r>
    </w:p>
    <w:p>
      <w:pPr>
        <w:pStyle w:val="ListBullet"/>
        <w:spacing w:after="80" w:line="280" w:lineRule="auto"/>
      </w:pPr>
      <w:r>
        <w:t>Не повторять один и тот же CTA дословно 8–10 раз; менять контекст, сохраняя единое действие.</w:t>
      </w:r>
    </w:p>
    <w:p>
      <w:r>
        <w:br w:type="page"/>
      </w:r>
    </w:p>
    <w:p>
      <w:pPr>
        <w:pStyle w:val="Heading1"/>
      </w:pPr>
      <w:r>
        <w:t>4. Элементы, которые реально выделят Synapsee</w:t>
      </w:r>
    </w:p>
    <w:p>
      <w:pPr>
        <w:pStyle w:val="Heading2"/>
      </w:pPr>
      <w:r>
        <w:t>1. Интерактивный предварительный разбор</w:t>
      </w:r>
    </w:p>
    <w:p>
      <w:r>
        <w:t>На главной и страницах аудита разместить компактный блок: поле URL → кнопка «Показать 3 точки роста». После отправки пользователь видит состояние проверки и получает короткий персональный ответ, а не общий PDF. На первом этапе разбор можно выполнять вручную в течение рабочего дня; не нужно обещать мгновенный автоматический аудит.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F5EF"/>
          </w:tcPr>
          <w:p>
            <w:pPr>
              <w:spacing w:after="60"/>
            </w:pPr>
            <w:r>
              <w:rPr>
                <w:b/>
                <w:color w:val="14213D"/>
              </w:rPr>
              <w:t>Почему это сильнее конкурентов</w:t>
            </w:r>
          </w:p>
          <w:p>
            <w:pPr>
              <w:spacing w:after="0"/>
            </w:pPr>
            <w:r>
              <w:t>Большинство конкурентов предлагает «оставить заявку». Synapsee сразу демонстрирует способ мышления и даёт микро-результат до продажи.</w:t>
            </w:r>
          </w:p>
        </w:tc>
      </w:tr>
    </w:tbl>
    <w:p>
      <w:pPr>
        <w:spacing w:after="20"/>
      </w:pPr>
    </w:p>
    <w:p>
      <w:pPr>
        <w:pStyle w:val="Heading2"/>
      </w:pPr>
      <w:r>
        <w:t>2. Реестр доказательств</w:t>
      </w:r>
    </w:p>
    <w:p>
      <w:r>
        <w:t>Создать единый компонент Proof Card. Он показывает: метрику, период, источник, базу сравнения, вклад Synapsee и ссылку на полный кейс. Эта карточка используется на главной, услугах, Results и кейсах. Если цифру нельзя подтвердить, карточка не публикуется.</w:t>
      </w:r>
    </w:p>
    <w:p>
      <w:pPr>
        <w:pStyle w:val="Heading2"/>
      </w:pPr>
      <w:r>
        <w:t>3. Выбор услуги по ситуации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4320"/>
        <w:gridCol w:w="5040"/>
      </w:tblGrid>
      <w:tr>
        <w:trPr>
          <w:tblHeader w:val="true"/>
        </w:trP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Ситуация пользователя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Маршрут</w:t>
            </w:r>
          </w:p>
        </w:tc>
      </w:tr>
      <w:tr>
        <w:tc>
          <w:tcPr>
            <w:tcW w:type="dxa" w:w="4320"/>
          </w:tcPr>
          <w:p>
            <w:r>
              <w:t>Не понимаю, что мешает росту</w:t>
            </w:r>
          </w:p>
        </w:tc>
        <w:tc>
          <w:tcPr>
            <w:tcW w:type="dxa" w:w="5040"/>
          </w:tcPr>
          <w:p>
            <w:r>
              <w:t>SEO-аудит → пример отчёта → короткая форма</w:t>
            </w:r>
          </w:p>
        </w:tc>
      </w:tr>
      <w:tr>
        <w:tc>
          <w:tcPr>
            <w:tcW w:type="dxa" w:w="4320"/>
          </w:tcPr>
          <w:p>
            <w:r>
              <w:t>Есть команда, но нет приоритетов</w:t>
            </w:r>
          </w:p>
        </w:tc>
        <w:tc>
          <w:tcPr>
            <w:tcW w:type="dxa" w:w="5040"/>
          </w:tcPr>
          <w:p>
            <w:r>
              <w:t>SEO-стратегия → roadmap → консультация</w:t>
            </w:r>
          </w:p>
        </w:tc>
      </w:tr>
      <w:tr>
        <w:tc>
          <w:tcPr>
            <w:tcW w:type="dxa" w:w="4320"/>
          </w:tcPr>
          <w:p>
            <w:r>
              <w:t>Нужен постоянный рост</w:t>
            </w:r>
          </w:p>
        </w:tc>
        <w:tc>
          <w:tcPr>
            <w:tcW w:type="dxa" w:w="5040"/>
          </w:tcPr>
          <w:p>
            <w:r>
              <w:t>SEO-продвижение → процесс → тарифы</w:t>
            </w:r>
          </w:p>
        </w:tc>
      </w:tr>
      <w:tr>
        <w:tc>
          <w:tcPr>
            <w:tcW w:type="dxa" w:w="4320"/>
          </w:tcPr>
          <w:p>
            <w:r>
              <w:t>Падение/миграция/индексация</w:t>
            </w:r>
          </w:p>
        </w:tc>
        <w:tc>
          <w:tcPr>
            <w:tcW w:type="dxa" w:w="5040"/>
          </w:tcPr>
          <w:p>
            <w:r>
              <w:t>Технический аудит → аварийный сценарий</w:t>
            </w:r>
          </w:p>
        </w:tc>
      </w:tr>
      <w:tr>
        <w:tc>
          <w:tcPr>
            <w:tcW w:type="dxa" w:w="4320"/>
          </w:tcPr>
          <w:p>
            <w:r>
              <w:t>Нужна видимость в ИИ</w:t>
            </w:r>
          </w:p>
        </w:tc>
        <w:tc>
          <w:tcPr>
            <w:tcW w:type="dxa" w:w="5040"/>
          </w:tcPr>
          <w:p>
            <w:r>
              <w:t>GEO/AEO → методика мониторинга → пример baseline</w:t>
            </w:r>
          </w:p>
        </w:tc>
      </w:tr>
      <w:tr>
        <w:tc>
          <w:tcPr>
            <w:tcW w:type="dxa" w:w="4320"/>
          </w:tcPr>
          <w:p>
            <w:r>
              <w:t>Локальный бизнес в СПб</w:t>
            </w:r>
          </w:p>
        </w:tc>
        <w:tc>
          <w:tcPr>
            <w:tcW w:type="dxa" w:w="5040"/>
          </w:tcPr>
          <w:p>
            <w:r>
              <w:t>Локальное SEO → Карты/Бизнес → локальный кейс</w:t>
            </w:r>
          </w:p>
        </w:tc>
      </w:tr>
    </w:tbl>
    <w:p>
      <w:pPr>
        <w:pStyle w:val="Heading2"/>
      </w:pPr>
      <w:r>
        <w:t>4. Прозрачная загрузка</w:t>
      </w:r>
    </w:p>
    <w:p>
      <w:r>
        <w:t>Вместо искусственного дефицита показывать честный статус: «На август доступен 1 слот на аудит» или «Новые проекты на сопровождение — с сентября». Статус должен обновляться вручную и быть правдивым. Рядом объяснить ограничение: Фёдор лично отвечает за стратегию и контроль.</w:t>
      </w:r>
    </w:p>
    <w:p>
      <w:pPr>
        <w:pStyle w:val="Heading2"/>
      </w:pPr>
      <w:r>
        <w:t>5. Галерея рабочих артефактов</w:t>
      </w:r>
    </w:p>
    <w:p>
      <w:r>
        <w:t>Показать обезличенные реальные фрагменты: матрицу приоритетов, постановку задачи разработчику, карту структуры, отчёт по видимости, карту скролла, пример контроля внедрения. У каждого изображения — подпись «что это» и «какое решение принято».</w:t>
      </w:r>
    </w:p>
    <w:p>
      <w:pPr>
        <w:pStyle w:val="Heading2"/>
      </w:pPr>
      <w:r>
        <w:t>6. Публичные стандарты качества</w:t>
      </w:r>
    </w:p>
    <w:p>
      <w:r>
        <w:t>Отдельный компактный блок: что Synapsee не делает — не гарантирует позицию, не накручивает поведенческие факторы, не выдаёт корреляцию за причинность, не публикует цифры без источника. Это создаёт контраст с конкурентами через метод, а не через громкость.</w:t>
      </w:r>
    </w:p>
    <w:p>
      <w:pPr>
        <w:pStyle w:val="Heading1"/>
      </w:pPr>
      <w:r>
        <w:t>5. Глобальная навигация</w:t>
      </w:r>
    </w:p>
    <w:p>
      <w:pPr>
        <w:pStyle w:val="Heading2"/>
      </w:pPr>
      <w:r>
        <w:t>Шапка desktop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3024"/>
        <w:gridCol w:w="3600"/>
        <w:gridCol w:w="2736"/>
      </w:tblGrid>
      <w:tr>
        <w:trPr>
          <w:tblHeader w:val="true"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Слева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Центр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Справа</w:t>
            </w:r>
          </w:p>
        </w:tc>
      </w:tr>
      <w:tr>
        <w:tc>
          <w:tcPr>
            <w:tcW w:type="dxa" w:w="3024"/>
          </w:tcPr>
          <w:p>
            <w:r>
              <w:t>Логотип + подпись «SEO-практика Фёдора Магери»</w:t>
            </w:r>
          </w:p>
        </w:tc>
        <w:tc>
          <w:tcPr>
            <w:tcW w:type="dxa" w:w="3600"/>
          </w:tcPr>
          <w:p>
            <w:r>
              <w:t>Услуги · Кейсы · Цены · Процесс · Журнал</w:t>
            </w:r>
          </w:p>
        </w:tc>
        <w:tc>
          <w:tcPr>
            <w:tcW w:type="dxa" w:w="2736"/>
          </w:tcPr>
          <w:p>
            <w:r>
              <w:t>Статус загрузки + кнопка «Разобрать сайт»</w:t>
            </w:r>
          </w:p>
        </w:tc>
      </w:tr>
    </w:tbl>
    <w:p>
      <w:pPr>
        <w:pStyle w:val="ListBullet"/>
        <w:spacing w:after="80" w:line="280" w:lineRule="auto"/>
      </w:pPr>
      <w:r>
        <w:t>Высота 72–80 px; после скролла — 60–64 px.</w:t>
      </w:r>
    </w:p>
    <w:p>
      <w:pPr>
        <w:pStyle w:val="ListBullet"/>
        <w:spacing w:after="80" w:line="280" w:lineRule="auto"/>
      </w:pPr>
      <w:r>
        <w:t>Выпадающее меню «Услуги» группировать по задаче, а не перечислять 11 равнозначных ссылок.</w:t>
      </w:r>
    </w:p>
    <w:p>
      <w:pPr>
        <w:pStyle w:val="ListBullet"/>
        <w:spacing w:after="80" w:line="280" w:lineRule="auto"/>
      </w:pPr>
      <w:r>
        <w:t>Активный раздел виден цветом/подчёркиванием; focus-состояние обязательно.</w:t>
      </w:r>
    </w:p>
    <w:p>
      <w:pPr>
        <w:pStyle w:val="ListBullet"/>
        <w:spacing w:after="80" w:line="280" w:lineRule="auto"/>
      </w:pPr>
      <w:r>
        <w:t>В шапке только один CTA. Telegram и телефон оставить в контактах/форме, не конкурировать ими с основной кнопкой.</w:t>
      </w:r>
    </w:p>
    <w:p>
      <w:pPr>
        <w:pStyle w:val="Heading2"/>
      </w:pPr>
      <w:r>
        <w:t>Навигация внутри страницы</w:t>
      </w:r>
    </w:p>
    <w:p>
      <w:r>
        <w:t>После hero на длинных услугах добавить sticky-якоря: «Для кого», «Что входит», «Результат», «Кейс», «Цена», «FAQ». На mobile — горизонтально прокручиваемая строка с понятным активным пунктом. Sticky-блок отключается перед формой, чтобы не занимать экран.</w:t>
      </w:r>
    </w:p>
    <w:p>
      <w:pPr>
        <w:pStyle w:val="Heading2"/>
      </w:pPr>
      <w:r>
        <w:t>Подвал</w:t>
      </w:r>
    </w:p>
    <w:p>
      <w:pPr>
        <w:pStyle w:val="ListBullet"/>
        <w:spacing w:after="80" w:line="280" w:lineRule="auto"/>
      </w:pPr>
      <w:r>
        <w:t>Короткое позиционирование и лицо автора.</w:t>
      </w:r>
    </w:p>
    <w:p>
      <w:pPr>
        <w:pStyle w:val="ListBullet"/>
        <w:spacing w:after="80" w:line="280" w:lineRule="auto"/>
      </w:pPr>
      <w:r>
        <w:t>Услуги сгруппированы по задаче; не дублировать всё меню одной колонкой.</w:t>
      </w:r>
    </w:p>
    <w:p>
      <w:pPr>
        <w:pStyle w:val="ListBullet"/>
        <w:spacing w:after="80" w:line="280" w:lineRule="auto"/>
      </w:pPr>
      <w:r>
        <w:t>Контакты, договорный статус, политика, условия, sitemap.</w:t>
      </w:r>
    </w:p>
    <w:p>
      <w:pPr>
        <w:pStyle w:val="ListBullet"/>
        <w:spacing w:after="80" w:line="280" w:lineRule="auto"/>
      </w:pPr>
      <w:r>
        <w:t>Последний полезный материал и CTA «Получить 3 точки роста».</w:t>
      </w:r>
    </w:p>
    <w:p>
      <w:r>
        <w:br w:type="page"/>
      </w:r>
    </w:p>
    <w:p>
      <w:pPr>
        <w:pStyle w:val="Heading1"/>
      </w:pPr>
      <w:r>
        <w:t>6. Главная страница: новая последовательность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"/>
        <w:gridCol w:w="2088"/>
        <w:gridCol w:w="6336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Порядок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2088"/>
          </w:tcPr>
          <w:p>
            <w:r>
              <w:t>Hero</w:t>
            </w:r>
          </w:p>
        </w:tc>
        <w:tc>
          <w:tcPr>
            <w:tcW w:type="dxa" w:w="6336"/>
          </w:tcPr>
          <w:p>
            <w:r>
              <w:t>Короткий H1, одна строка пояснения, 2-полевая форма, фото Фёдора, 1 proof card.</w:t>
            </w:r>
          </w:p>
        </w:tc>
      </w:tr>
      <w:tr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2088"/>
          </w:tcPr>
          <w:p>
            <w:r>
              <w:t>Доверие за 15 секунд</w:t>
            </w:r>
          </w:p>
        </w:tc>
        <w:tc>
          <w:tcPr>
            <w:tcW w:type="dxa" w:w="6336"/>
          </w:tcPr>
          <w:p>
            <w:r>
              <w:t>3 проверяемых факта: опыт, формат ответственности, число активных проектов/слотов.</w:t>
            </w:r>
          </w:p>
        </w:tc>
      </w:tr>
      <w:tr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2088"/>
          </w:tcPr>
          <w:p>
            <w:r>
              <w:t>Выберите ситуацию</w:t>
            </w:r>
          </w:p>
        </w:tc>
        <w:tc>
          <w:tcPr>
            <w:tcW w:type="dxa" w:w="6336"/>
          </w:tcPr>
          <w:p>
            <w:r>
              <w:t>6 сценариев вместо общего каталога услуг.</w:t>
            </w:r>
          </w:p>
        </w:tc>
      </w:tr>
      <w:tr>
        <w:tc>
          <w:tcPr>
            <w:tcW w:type="dxa" w:w="936"/>
          </w:tcPr>
          <w:p>
            <w:r>
              <w:t>4</w:t>
            </w:r>
          </w:p>
        </w:tc>
        <w:tc>
          <w:tcPr>
            <w:tcW w:type="dxa" w:w="2088"/>
          </w:tcPr>
          <w:p>
            <w:r>
              <w:t>Доказательства</w:t>
            </w:r>
          </w:p>
        </w:tc>
        <w:tc>
          <w:tcPr>
            <w:tcW w:type="dxa" w:w="6336"/>
          </w:tcPr>
          <w:p>
            <w:r>
              <w:t>3 лучших кейса с периодом, источником и ссылкой.</w:t>
            </w:r>
          </w:p>
        </w:tc>
      </w:tr>
      <w:tr>
        <w:tc>
          <w:tcPr>
            <w:tcW w:type="dxa" w:w="936"/>
          </w:tcPr>
          <w:p>
            <w:r>
              <w:t>5</w:t>
            </w:r>
          </w:p>
        </w:tc>
        <w:tc>
          <w:tcPr>
            <w:tcW w:type="dxa" w:w="2088"/>
          </w:tcPr>
          <w:p>
            <w:r>
              <w:t>Как проходит работа</w:t>
            </w:r>
          </w:p>
        </w:tc>
        <w:tc>
          <w:tcPr>
            <w:tcW w:type="dxa" w:w="6336"/>
          </w:tcPr>
          <w:p>
            <w:r>
              <w:t>4 шага; у каждого вход, действие и результат.</w:t>
            </w:r>
          </w:p>
        </w:tc>
      </w:tr>
      <w:tr>
        <w:tc>
          <w:tcPr>
            <w:tcW w:type="dxa" w:w="936"/>
          </w:tcPr>
          <w:p>
            <w:r>
              <w:t>6</w:t>
            </w:r>
          </w:p>
        </w:tc>
        <w:tc>
          <w:tcPr>
            <w:tcW w:type="dxa" w:w="2088"/>
          </w:tcPr>
          <w:p>
            <w:r>
              <w:t>Рабочий артефакт</w:t>
            </w:r>
          </w:p>
        </w:tc>
        <w:tc>
          <w:tcPr>
            <w:tcW w:type="dxa" w:w="6336"/>
          </w:tcPr>
          <w:p>
            <w:r>
              <w:t>Крупный скриншот отчёта с 3 пояснениями.</w:t>
            </w:r>
          </w:p>
        </w:tc>
      </w:tr>
      <w:tr>
        <w:tc>
          <w:tcPr>
            <w:tcW w:type="dxa" w:w="936"/>
          </w:tcPr>
          <w:p>
            <w:r>
              <w:t>7</w:t>
            </w:r>
          </w:p>
        </w:tc>
        <w:tc>
          <w:tcPr>
            <w:tcW w:type="dxa" w:w="2088"/>
          </w:tcPr>
          <w:p>
            <w:r>
              <w:t>Услуги и цены</w:t>
            </w:r>
          </w:p>
        </w:tc>
        <w:tc>
          <w:tcPr>
            <w:tcW w:type="dxa" w:w="6336"/>
          </w:tcPr>
          <w:p>
            <w:r>
              <w:t>3 основных формата; остальные — вторичным списком.</w:t>
            </w:r>
          </w:p>
        </w:tc>
      </w:tr>
      <w:tr>
        <w:tc>
          <w:tcPr>
            <w:tcW w:type="dxa" w:w="936"/>
          </w:tcPr>
          <w:p>
            <w:r>
              <w:t>8</w:t>
            </w:r>
          </w:p>
        </w:tc>
        <w:tc>
          <w:tcPr>
            <w:tcW w:type="dxa" w:w="2088"/>
          </w:tcPr>
          <w:p>
            <w:r>
              <w:t>Об авторе</w:t>
            </w:r>
          </w:p>
        </w:tc>
        <w:tc>
          <w:tcPr>
            <w:tcW w:type="dxa" w:w="6336"/>
          </w:tcPr>
          <w:p>
            <w:r>
              <w:t>Фото, имя, роль, опыт, принципы, ссылка About.</w:t>
            </w:r>
          </w:p>
        </w:tc>
      </w:tr>
      <w:tr>
        <w:tc>
          <w:tcPr>
            <w:tcW w:type="dxa" w:w="936"/>
          </w:tcPr>
          <w:p>
            <w:r>
              <w:t>9</w:t>
            </w:r>
          </w:p>
        </w:tc>
        <w:tc>
          <w:tcPr>
            <w:tcW w:type="dxa" w:w="2088"/>
          </w:tcPr>
          <w:p>
            <w:r>
              <w:t>FAQ</w:t>
            </w:r>
          </w:p>
        </w:tc>
        <w:tc>
          <w:tcPr>
            <w:tcW w:type="dxa" w:w="6336"/>
          </w:tcPr>
          <w:p>
            <w:r>
              <w:t>5–7 вопросов о цене, сроках, внедрении, гарантиях и договоре.</w:t>
            </w:r>
          </w:p>
        </w:tc>
      </w:tr>
      <w:tr>
        <w:tc>
          <w:tcPr>
            <w:tcW w:type="dxa" w:w="936"/>
          </w:tcPr>
          <w:p>
            <w:r>
              <w:t>10</w:t>
            </w:r>
          </w:p>
        </w:tc>
        <w:tc>
          <w:tcPr>
            <w:tcW w:type="dxa" w:w="2088"/>
          </w:tcPr>
          <w:p>
            <w:r>
              <w:t>Финальный CTA</w:t>
            </w:r>
          </w:p>
        </w:tc>
        <w:tc>
          <w:tcPr>
            <w:tcW w:type="dxa" w:w="6336"/>
          </w:tcPr>
          <w:p>
            <w:r>
              <w:t>Повтор короткой формы + альтернативный Telegram.</w:t>
            </w:r>
          </w:p>
        </w:tc>
      </w:tr>
    </w:tbl>
    <w:p>
      <w:pPr>
        <w:pStyle w:val="Heading2"/>
      </w:pPr>
      <w:r>
        <w:t>Рекомендуемый hero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AF1FF"/>
          </w:tcPr>
          <w:p>
            <w:pPr>
              <w:spacing w:after="60"/>
            </w:pPr>
            <w:r>
              <w:rPr>
                <w:b/>
                <w:color w:val="14213D"/>
              </w:rPr>
              <w:t>H1</w:t>
            </w:r>
          </w:p>
          <w:p>
            <w:pPr>
              <w:spacing w:after="0"/>
            </w:pPr>
            <w:r>
              <w:t>SEO, которое превращается в понятный план работ и измеримый результат.</w:t>
            </w:r>
          </w:p>
        </w:tc>
      </w:tr>
    </w:tbl>
    <w:p>
      <w:pPr>
        <w:spacing w:after="20"/>
      </w:pPr>
    </w:p>
    <w:p>
      <w:r>
        <w:t>Подзаголовок: «Фёдор Магеря лично ведёт стратегию, техническую проверку и контроль внедрения. Для компаний, которым нужен ответственный специалист вместо поточного агентства».</w:t>
      </w:r>
    </w:p>
    <w:p>
      <w:r>
        <w:t>Форма: [Адрес сайта] [Telegram, телефон или email] → «Получить 3 точки роста». Под формой: «Без продажи на первом звонке · ответ в течение рабочего дня · данные не передаются третьим лицам».</w:t>
      </w:r>
    </w:p>
    <w:p>
      <w:pPr>
        <w:pStyle w:val="Heading2"/>
      </w:pPr>
      <w:r>
        <w:t>Что убрать или сократить</w:t>
      </w:r>
    </w:p>
    <w:p>
      <w:pPr>
        <w:pStyle w:val="ListBullet"/>
        <w:spacing w:after="80" w:line="280" w:lineRule="auto"/>
      </w:pPr>
      <w:r>
        <w:t>Гигантский H1, из-за которого CTA начинается ниже первого экрана.</w:t>
      </w:r>
    </w:p>
    <w:p>
      <w:pPr>
        <w:pStyle w:val="ListBullet"/>
        <w:spacing w:after="80" w:line="280" w:lineRule="auto"/>
      </w:pPr>
      <w:r>
        <w:t>Несколько последовательных блоков с одинаковой идеей «SEO + техника + GEO».</w:t>
      </w:r>
    </w:p>
    <w:p>
      <w:pPr>
        <w:pStyle w:val="ListBullet"/>
        <w:spacing w:after="80" w:line="280" w:lineRule="auto"/>
      </w:pPr>
      <w:r>
        <w:t>Длинные вводные тексты до первого доказательства.</w:t>
      </w:r>
    </w:p>
    <w:p>
      <w:pPr>
        <w:pStyle w:val="ListBullet"/>
        <w:spacing w:after="80" w:line="280" w:lineRule="auto"/>
      </w:pPr>
      <w:r>
        <w:t>Повторяющиеся сетки карточек без явного следующего шага.</w:t>
      </w:r>
    </w:p>
    <w:p>
      <w:pPr>
        <w:pStyle w:val="ListBullet"/>
        <w:spacing w:after="80" w:line="280" w:lineRule="auto"/>
      </w:pPr>
      <w:r>
        <w:t>Цифры без источника и периода.</w:t>
      </w:r>
    </w:p>
    <w:p>
      <w:pPr>
        <w:pStyle w:val="Heading1"/>
      </w:pPr>
      <w:r>
        <w:t>7. Шаблон страницы услуги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"/>
        <w:gridCol w:w="3096"/>
        <w:gridCol w:w="5328"/>
      </w:tblGrid>
      <w:tr>
        <w:trPr>
          <w:tblHeader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Экран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Элемент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Задача</w:t>
            </w:r>
          </w:p>
        </w:tc>
      </w:tr>
      <w:tr>
        <w:tc>
          <w:tcPr>
            <w:tcW w:type="dxa" w:w="936"/>
          </w:tcPr>
          <w:p>
            <w:r>
              <w:t>1</w:t>
            </w:r>
          </w:p>
        </w:tc>
        <w:tc>
          <w:tcPr>
            <w:tcW w:type="dxa" w:w="3096"/>
          </w:tcPr>
          <w:p>
            <w:r>
              <w:t>Breadcrumbs + короткий H1 + цена/срок + форма</w:t>
            </w:r>
          </w:p>
        </w:tc>
        <w:tc>
          <w:tcPr>
            <w:tcW w:type="dxa" w:w="5328"/>
          </w:tcPr>
          <w:p>
            <w:r>
              <w:t>Сразу квалифицировать и дать действие.</w:t>
            </w:r>
          </w:p>
        </w:tc>
      </w:tr>
      <w:tr>
        <w:tc>
          <w:tcPr>
            <w:tcW w:type="dxa" w:w="936"/>
          </w:tcPr>
          <w:p>
            <w:r>
              <w:t>2</w:t>
            </w:r>
          </w:p>
        </w:tc>
        <w:tc>
          <w:tcPr>
            <w:tcW w:type="dxa" w:w="3096"/>
          </w:tcPr>
          <w:p>
            <w:r>
              <w:t>Кому подходит / не подходит</w:t>
            </w:r>
          </w:p>
        </w:tc>
        <w:tc>
          <w:tcPr>
            <w:tcW w:type="dxa" w:w="5328"/>
          </w:tcPr>
          <w:p>
            <w:r>
              <w:t>Снизить нецелевые обращения.</w:t>
            </w:r>
          </w:p>
        </w:tc>
      </w:tr>
      <w:tr>
        <w:tc>
          <w:tcPr>
            <w:tcW w:type="dxa" w:w="936"/>
          </w:tcPr>
          <w:p>
            <w:r>
              <w:t>3</w:t>
            </w:r>
          </w:p>
        </w:tc>
        <w:tc>
          <w:tcPr>
            <w:tcW w:type="dxa" w:w="3096"/>
          </w:tcPr>
          <w:p>
            <w:r>
              <w:t>Что вы получите</w:t>
            </w:r>
          </w:p>
        </w:tc>
        <w:tc>
          <w:tcPr>
            <w:tcW w:type="dxa" w:w="5328"/>
          </w:tcPr>
          <w:p>
            <w:r>
              <w:t>Показывать артефакты, а не процессы.</w:t>
            </w:r>
          </w:p>
        </w:tc>
      </w:tr>
      <w:tr>
        <w:tc>
          <w:tcPr>
            <w:tcW w:type="dxa" w:w="936"/>
          </w:tcPr>
          <w:p>
            <w:r>
              <w:t>4</w:t>
            </w:r>
          </w:p>
        </w:tc>
        <w:tc>
          <w:tcPr>
            <w:tcW w:type="dxa" w:w="3096"/>
          </w:tcPr>
          <w:p>
            <w:r>
              <w:t>Что входит</w:t>
            </w:r>
          </w:p>
        </w:tc>
        <w:tc>
          <w:tcPr>
            <w:tcW w:type="dxa" w:w="5328"/>
          </w:tcPr>
          <w:p>
            <w:r>
              <w:t>Accordion по этапам; важное открыто.</w:t>
            </w:r>
          </w:p>
        </w:tc>
      </w:tr>
      <w:tr>
        <w:tc>
          <w:tcPr>
            <w:tcW w:type="dxa" w:w="936"/>
          </w:tcPr>
          <w:p>
            <w:r>
              <w:t>5</w:t>
            </w:r>
          </w:p>
        </w:tc>
        <w:tc>
          <w:tcPr>
            <w:tcW w:type="dxa" w:w="3096"/>
          </w:tcPr>
          <w:p>
            <w:r>
              <w:t>Пример результата</w:t>
            </w:r>
          </w:p>
        </w:tc>
        <w:tc>
          <w:tcPr>
            <w:tcW w:type="dxa" w:w="5328"/>
          </w:tcPr>
          <w:p>
            <w:r>
              <w:t>Скриншот + подписи + downloadable preview.</w:t>
            </w:r>
          </w:p>
        </w:tc>
      </w:tr>
      <w:tr>
        <w:tc>
          <w:tcPr>
            <w:tcW w:type="dxa" w:w="936"/>
          </w:tcPr>
          <w:p>
            <w:r>
              <w:t>6</w:t>
            </w:r>
          </w:p>
        </w:tc>
        <w:tc>
          <w:tcPr>
            <w:tcW w:type="dxa" w:w="3096"/>
          </w:tcPr>
          <w:p>
            <w:r>
              <w:t>Релевантный кейс</w:t>
            </w:r>
          </w:p>
        </w:tc>
        <w:tc>
          <w:tcPr>
            <w:tcW w:type="dxa" w:w="5328"/>
          </w:tcPr>
          <w:p>
            <w:r>
              <w:t>Один сильный кейс вместо карусели.</w:t>
            </w:r>
          </w:p>
        </w:tc>
      </w:tr>
      <w:tr>
        <w:tc>
          <w:tcPr>
            <w:tcW w:type="dxa" w:w="936"/>
          </w:tcPr>
          <w:p>
            <w:r>
              <w:t>7</w:t>
            </w:r>
          </w:p>
        </w:tc>
        <w:tc>
          <w:tcPr>
            <w:tcW w:type="dxa" w:w="3096"/>
          </w:tcPr>
          <w:p>
            <w:r>
              <w:t>Процесс и участие клиента</w:t>
            </w:r>
          </w:p>
        </w:tc>
        <w:tc>
          <w:tcPr>
            <w:tcW w:type="dxa" w:w="5328"/>
          </w:tcPr>
          <w:p>
            <w:r>
              <w:t>Сроки, роли, зависимости.</w:t>
            </w:r>
          </w:p>
        </w:tc>
      </w:tr>
      <w:tr>
        <w:tc>
          <w:tcPr>
            <w:tcW w:type="dxa" w:w="936"/>
          </w:tcPr>
          <w:p>
            <w:r>
              <w:t>8</w:t>
            </w:r>
          </w:p>
        </w:tc>
        <w:tc>
          <w:tcPr>
            <w:tcW w:type="dxa" w:w="3096"/>
          </w:tcPr>
          <w:p>
            <w:r>
              <w:t>Цена и границы</w:t>
            </w:r>
          </w:p>
        </w:tc>
        <w:tc>
          <w:tcPr>
            <w:tcW w:type="dxa" w:w="5328"/>
          </w:tcPr>
          <w:p>
            <w:r>
              <w:t>Что входит/не входит, оплата, внедрение.</w:t>
            </w:r>
          </w:p>
        </w:tc>
      </w:tr>
      <w:tr>
        <w:tc>
          <w:tcPr>
            <w:tcW w:type="dxa" w:w="936"/>
          </w:tcPr>
          <w:p>
            <w:r>
              <w:t>9</w:t>
            </w:r>
          </w:p>
        </w:tc>
        <w:tc>
          <w:tcPr>
            <w:tcW w:type="dxa" w:w="3096"/>
          </w:tcPr>
          <w:p>
            <w:r>
              <w:t>FAQ</w:t>
            </w:r>
          </w:p>
        </w:tc>
        <w:tc>
          <w:tcPr>
            <w:tcW w:type="dxa" w:w="5328"/>
          </w:tcPr>
          <w:p>
            <w:r>
              <w:t>Возражения именно по этой услуге.</w:t>
            </w:r>
          </w:p>
        </w:tc>
      </w:tr>
      <w:tr>
        <w:tc>
          <w:tcPr>
            <w:tcW w:type="dxa" w:w="936"/>
          </w:tcPr>
          <w:p>
            <w:r>
              <w:t>10</w:t>
            </w:r>
          </w:p>
        </w:tc>
        <w:tc>
          <w:tcPr>
            <w:tcW w:type="dxa" w:w="3096"/>
          </w:tcPr>
          <w:p>
            <w:r>
              <w:t>Форма</w:t>
            </w:r>
          </w:p>
        </w:tc>
        <w:tc>
          <w:tcPr>
            <w:tcW w:type="dxa" w:w="5328"/>
          </w:tcPr>
          <w:p>
            <w:r>
              <w:t>Короткая; контекст услуги передаётся скрытым параметром.</w:t>
            </w:r>
          </w:p>
        </w:tc>
      </w:tr>
    </w:tbl>
    <w:p>
      <w:pPr>
        <w:pStyle w:val="Heading2"/>
      </w:pPr>
      <w:r>
        <w:t>Форма в hero</w:t>
      </w:r>
    </w:p>
    <w:p>
      <w:pPr>
        <w:pStyle w:val="ListBullet"/>
        <w:spacing w:after="80" w:line="280" w:lineRule="auto"/>
      </w:pPr>
      <w:r>
        <w:t>Desktop: справа от оффера в карточке шириной 360–420 px.</w:t>
      </w:r>
    </w:p>
    <w:p>
      <w:pPr>
        <w:pStyle w:val="ListBullet"/>
        <w:spacing w:after="80" w:line="280" w:lineRule="auto"/>
      </w:pPr>
      <w:r>
        <w:t>Mobile: сразу после подзаголовка и одного proof-пункта.</w:t>
      </w:r>
    </w:p>
    <w:p>
      <w:pPr>
        <w:pStyle w:val="ListBullet"/>
        <w:spacing w:after="80" w:line="280" w:lineRule="auto"/>
      </w:pPr>
      <w:r>
        <w:t>Не просить одновременно телефон и email.</w:t>
      </w:r>
    </w:p>
    <w:p>
      <w:pPr>
        <w:pStyle w:val="ListBullet"/>
        <w:spacing w:after="80" w:line="280" w:lineRule="auto"/>
      </w:pPr>
      <w:r>
        <w:t>Арифметическую captcha заменить невидимой защитой/honeypot; не усложнять первый контакт.</w:t>
      </w:r>
    </w:p>
    <w:p>
      <w:pPr>
        <w:pStyle w:val="ListBullet"/>
        <w:spacing w:after="80" w:line="280" w:lineRule="auto"/>
      </w:pPr>
      <w:r>
        <w:t>При ошибке сохранять заполненные поля и показывать сообщение рядом с проблемным полем.</w:t>
      </w:r>
    </w:p>
    <w:p>
      <w:pPr>
        <w:pStyle w:val="ListBullet"/>
        <w:spacing w:after="80" w:line="280" w:lineRule="auto"/>
      </w:pPr>
      <w:r>
        <w:t>После отправки: понятный экран успеха, срок ответа, Telegram и ссылка на пример отчёта.</w:t>
      </w:r>
    </w:p>
    <w:p>
      <w:pPr>
        <w:pStyle w:val="Heading1"/>
      </w:pPr>
      <w:r>
        <w:t>8. Услуги и цены</w:t>
      </w:r>
    </w:p>
    <w:p>
      <w:pPr>
        <w:pStyle w:val="Heading2"/>
      </w:pPr>
      <w:r>
        <w:t>Страница /services/</w:t>
      </w:r>
    </w:p>
    <w:p>
      <w:r>
        <w:t>Заменить длинный каталог равнозначных карточек на выбор по задаче. Вверху — диагностический вопрос «Что сейчас происходит с сайтом?». После выбора подсвечиваются 1–2 подходящих услуги. Ниже оставить полный каталог, но сгруппировать: диагностика, стратегия, сопровождение, специальные направления.</w:t>
      </w:r>
    </w:p>
    <w:p>
      <w:pPr>
        <w:pStyle w:val="Heading2"/>
      </w:pPr>
      <w:r>
        <w:t>Страница /pricing/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Показывать в карточке</w:t>
            </w:r>
          </w:p>
        </w:tc>
      </w:tr>
      <w:tr>
        <w:tc>
          <w:tcPr>
            <w:tcW w:type="dxa" w:w="2088"/>
          </w:tcPr>
          <w:p>
            <w:r>
              <w:t>Аудит</w:t>
            </w:r>
          </w:p>
        </w:tc>
        <w:tc>
          <w:tcPr>
            <w:tcW w:type="dxa" w:w="7272"/>
          </w:tcPr>
          <w:p>
            <w:r>
              <w:t>От 90 000 ₽ · срок · число шаблонов/страниц · пример результата · что не входит</w:t>
            </w:r>
          </w:p>
        </w:tc>
      </w:tr>
      <w:tr>
        <w:tc>
          <w:tcPr>
            <w:tcW w:type="dxa" w:w="2088"/>
          </w:tcPr>
          <w:p>
            <w:r>
              <w:t>Стратегия</w:t>
            </w:r>
          </w:p>
        </w:tc>
        <w:tc>
          <w:tcPr>
            <w:tcW w:type="dxa" w:w="7272"/>
          </w:tcPr>
          <w:p>
            <w:r>
              <w:t>Цена · workshop · карта спроса · roadmap · кто участвует</w:t>
            </w:r>
          </w:p>
        </w:tc>
      </w:tr>
      <w:tr>
        <w:tc>
          <w:tcPr>
            <w:tcW w:type="dxa" w:w="2088"/>
          </w:tcPr>
          <w:p>
            <w:r>
              <w:t>Сопровождение</w:t>
            </w:r>
          </w:p>
        </w:tc>
        <w:tc>
          <w:tcPr>
            <w:tcW w:type="dxa" w:w="7272"/>
          </w:tcPr>
          <w:p>
            <w:r>
              <w:t>От 160 000 ₽/мес. · объём · ритм работ · отчётность · лимиты</w:t>
            </w:r>
          </w:p>
        </w:tc>
      </w:tr>
      <w:tr>
        <w:tc>
          <w:tcPr>
            <w:tcW w:type="dxa" w:w="2088"/>
          </w:tcPr>
          <w:p>
            <w:r>
              <w:t>Консультация</w:t>
            </w:r>
          </w:p>
        </w:tc>
        <w:tc>
          <w:tcPr>
            <w:tcW w:type="dxa" w:w="7272"/>
          </w:tcPr>
          <w:p>
            <w:r>
              <w:t>Продолжительность · подготовка · результат встречи · цена</w:t>
            </w:r>
          </w:p>
        </w:tc>
      </w:tr>
    </w:tbl>
    <w:p>
      <w:pPr>
        <w:pStyle w:val="ListBullet"/>
        <w:spacing w:after="80" w:line="280" w:lineRule="auto"/>
      </w:pPr>
      <w:r>
        <w:t>Сравнение должно быть таблицей только по 6–8 важным критериям, не по десяткам мелких функций.</w:t>
      </w:r>
    </w:p>
    <w:p>
      <w:pPr>
        <w:pStyle w:val="ListBullet"/>
        <w:spacing w:after="80" w:line="280" w:lineRule="auto"/>
      </w:pPr>
      <w:r>
        <w:t>Выделять «рекомендуемый» тариф только логикой задачи, а не визуальным давлением.</w:t>
      </w:r>
    </w:p>
    <w:p>
      <w:pPr>
        <w:pStyle w:val="ListBullet"/>
        <w:spacing w:after="80" w:line="280" w:lineRule="auto"/>
      </w:pPr>
      <w:r>
        <w:t>Рядом с ценой объяснить, почему формат дороже частного исполнителя начального уровня.</w:t>
      </w:r>
    </w:p>
    <w:p>
      <w:pPr>
        <w:pStyle w:val="ListBullet"/>
        <w:spacing w:after="80" w:line="280" w:lineRule="auto"/>
      </w:pPr>
      <w:r>
        <w:t>Добавить договорный статус, этапы оплаты и кто оплачивает разработку/контент.</w:t>
      </w:r>
    </w:p>
    <w:p>
      <w:r>
        <w:br w:type="page"/>
      </w:r>
    </w:p>
    <w:p>
      <w:pPr>
        <w:pStyle w:val="Heading1"/>
      </w:pPr>
      <w:r>
        <w:t>9. Кейсы: от истории к доказательству</w:t>
      </w:r>
    </w:p>
    <w:p>
      <w:pPr>
        <w:pStyle w:val="Heading2"/>
      </w:pPr>
      <w:r>
        <w:t>Карточка кейса в каталоге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015"/>
        <w:gridCol w:w="7343"/>
      </w:tblGrid>
      <w:tr>
        <w:trPr>
          <w:tblHeader w:val="true"/>
        </w:trP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Пример содержания</w:t>
            </w:r>
          </w:p>
        </w:tc>
      </w:tr>
      <w:tr>
        <w:tc>
          <w:tcPr>
            <w:tcW w:type="dxa" w:w="2015"/>
          </w:tcPr>
          <w:p>
            <w:r>
              <w:t>Контекст</w:t>
            </w:r>
          </w:p>
        </w:tc>
        <w:tc>
          <w:tcPr>
            <w:tcW w:type="dxa" w:w="7343"/>
          </w:tcPr>
          <w:p>
            <w:r>
              <w:t>B2B-логистика · Санкт-Петербург · длинный цикл сделки</w:t>
            </w:r>
          </w:p>
        </w:tc>
      </w:tr>
      <w:tr>
        <w:tc>
          <w:tcPr>
            <w:tcW w:type="dxa" w:w="2015"/>
          </w:tcPr>
          <w:p>
            <w:r>
              <w:t>Задача</w:t>
            </w:r>
          </w:p>
        </w:tc>
        <w:tc>
          <w:tcPr>
            <w:tcW w:type="dxa" w:w="7343"/>
          </w:tcPr>
          <w:p>
            <w:r>
              <w:t>Увеличить органические квалифицированные обращения</w:t>
            </w:r>
          </w:p>
        </w:tc>
      </w:tr>
      <w:tr>
        <w:tc>
          <w:tcPr>
            <w:tcW w:type="dxa" w:w="2015"/>
          </w:tcPr>
          <w:p>
            <w:r>
              <w:t>Период</w:t>
            </w:r>
          </w:p>
        </w:tc>
        <w:tc>
          <w:tcPr>
            <w:tcW w:type="dxa" w:w="7343"/>
          </w:tcPr>
          <w:p>
            <w:r>
              <w:t>Январь–июнь 2026</w:t>
            </w:r>
          </w:p>
        </w:tc>
      </w:tr>
      <w:tr>
        <w:tc>
          <w:tcPr>
            <w:tcW w:type="dxa" w:w="2015"/>
          </w:tcPr>
          <w:p>
            <w:r>
              <w:t>Результат</w:t>
            </w:r>
          </w:p>
        </w:tc>
        <w:tc>
          <w:tcPr>
            <w:tcW w:type="dxa" w:w="7343"/>
          </w:tcPr>
          <w:p>
            <w:r>
              <w:t>+X SQL из органики; источник — CRM + Метрика</w:t>
            </w:r>
          </w:p>
        </w:tc>
      </w:tr>
      <w:tr>
        <w:tc>
          <w:tcPr>
            <w:tcW w:type="dxa" w:w="2015"/>
          </w:tcPr>
          <w:p>
            <w:r>
              <w:t>Роль Synapsee</w:t>
            </w:r>
          </w:p>
        </w:tc>
        <w:tc>
          <w:tcPr>
            <w:tcW w:type="dxa" w:w="7343"/>
          </w:tcPr>
          <w:p>
            <w:r>
              <w:t>Структура, техническое ТЗ, контроль внедрения</w:t>
            </w:r>
          </w:p>
        </w:tc>
      </w:tr>
      <w:tr>
        <w:tc>
          <w:tcPr>
            <w:tcW w:type="dxa" w:w="2015"/>
          </w:tcPr>
          <w:p>
            <w:r>
              <w:t>Ссылка</w:t>
            </w:r>
          </w:p>
        </w:tc>
        <w:tc>
          <w:tcPr>
            <w:tcW w:type="dxa" w:w="7343"/>
          </w:tcPr>
          <w:p>
            <w:r>
              <w:t>Посмотреть методику и ограничения результата</w:t>
            </w:r>
          </w:p>
        </w:tc>
      </w:tr>
    </w:tbl>
    <w:p>
      <w:pPr>
        <w:pStyle w:val="Heading2"/>
      </w:pPr>
      <w:r>
        <w:t>Страница кейса</w:t>
      </w:r>
    </w:p>
    <w:p>
      <w:pPr>
        <w:pStyle w:val="ListBullet"/>
        <w:spacing w:after="80" w:line="280" w:lineRule="auto"/>
      </w:pPr>
      <w:r>
        <w:t>Hero: ниша, задача, период, 2–3 ключевые метрики и источник. H1 — максимум 3 строки.</w:t>
      </w:r>
    </w:p>
    <w:p>
      <w:pPr>
        <w:pStyle w:val="ListBullet"/>
        <w:spacing w:after="80" w:line="280" w:lineRule="auto"/>
      </w:pPr>
      <w:r>
        <w:t>Блок «До начала»: исходная точка и ограничения данных.</w:t>
      </w:r>
    </w:p>
    <w:p>
      <w:pPr>
        <w:pStyle w:val="ListBullet"/>
        <w:spacing w:after="80" w:line="280" w:lineRule="auto"/>
      </w:pPr>
      <w:r>
        <w:t>Блок «Что нашли»: 3–5 проблем, каждая с доказательством.</w:t>
      </w:r>
    </w:p>
    <w:p>
      <w:pPr>
        <w:pStyle w:val="ListBullet"/>
        <w:spacing w:after="80" w:line="280" w:lineRule="auto"/>
      </w:pPr>
      <w:r>
        <w:t>Блок «Что сделали»: хронология решений; разделять работу Synapsee и клиента.</w:t>
      </w:r>
    </w:p>
    <w:p>
      <w:pPr>
        <w:pStyle w:val="ListBullet"/>
        <w:spacing w:after="80" w:line="280" w:lineRule="auto"/>
      </w:pPr>
      <w:r>
        <w:t>Блок «Результат»: абсолютные и относительные значения, период, сезонность, branded/non-brand.</w:t>
      </w:r>
    </w:p>
    <w:p>
      <w:pPr>
        <w:pStyle w:val="ListBullet"/>
        <w:spacing w:after="80" w:line="280" w:lineRule="auto"/>
      </w:pPr>
      <w:r>
        <w:t>Блок «Что нельзя приписать SEO»: реклама, продажи, ассортимент, сезонность.</w:t>
      </w:r>
    </w:p>
    <w:p>
      <w:pPr>
        <w:pStyle w:val="ListBullet"/>
        <w:spacing w:after="80" w:line="280" w:lineRule="auto"/>
      </w:pPr>
      <w:r>
        <w:t>Отзыв или подтверждение клиента; если NDA — пояснение и обезличенный источник.</w:t>
      </w:r>
    </w:p>
    <w:p>
      <w:pPr>
        <w:pStyle w:val="ListBullet"/>
        <w:spacing w:after="80" w:line="280" w:lineRule="auto"/>
      </w:pPr>
      <w:r>
        <w:t>Контекстный CTA: «У меня похожая задача» с уже выбранной тематикой.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FF4D6"/>
          </w:tcPr>
          <w:p>
            <w:pPr>
              <w:spacing w:after="60"/>
            </w:pPr>
            <w:r>
              <w:rPr>
                <w:b/>
                <w:color w:val="14213D"/>
              </w:rPr>
              <w:t>Обязательное изменение</w:t>
            </w:r>
          </w:p>
          <w:p>
            <w:pPr>
              <w:spacing w:after="0"/>
            </w:pPr>
            <w:r>
              <w:t>Убрать агрессивную драматизацию и неподтверждённые сверхсильные формулировки. Современный дорогой UX строится на точности и спокойствии: меньше обещаний, больше проверяемых деталей.</w:t>
            </w:r>
          </w:p>
        </w:tc>
      </w:tr>
    </w:tbl>
    <w:p>
      <w:pPr>
        <w:spacing w:after="20"/>
      </w:pPr>
    </w:p>
    <w:p>
      <w:pPr>
        <w:pStyle w:val="Heading1"/>
      </w:pPr>
      <w:r>
        <w:t>10. About, Process, Results и пример отчёта</w:t>
      </w:r>
    </w:p>
    <w:p>
      <w:pPr>
        <w:pStyle w:val="Heading2"/>
      </w:pPr>
      <w:r>
        <w:t>/about/</w:t>
      </w:r>
    </w:p>
    <w:p>
      <w:pPr>
        <w:pStyle w:val="ListBullet"/>
        <w:spacing w:after="80" w:line="280" w:lineRule="auto"/>
      </w:pPr>
      <w:r>
        <w:t>Первый экран: фото, полное имя, специализация, география, 3 проверяемых факта.</w:t>
      </w:r>
    </w:p>
    <w:p>
      <w:pPr>
        <w:pStyle w:val="ListBullet"/>
        <w:spacing w:after="80" w:line="280" w:lineRule="auto"/>
      </w:pPr>
      <w:r>
        <w:t>Короткая хронология: обучение, агентский опыт, типы проектов, текущая практика.</w:t>
      </w:r>
    </w:p>
    <w:p>
      <w:pPr>
        <w:pStyle w:val="ListBullet"/>
        <w:spacing w:after="80" w:line="280" w:lineRule="auto"/>
      </w:pPr>
      <w:r>
        <w:t>Модель команды: что делает Фёдор, что делает клиент, когда подключаются подрядчики.</w:t>
      </w:r>
    </w:p>
    <w:p>
      <w:pPr>
        <w:pStyle w:val="ListBullet"/>
        <w:spacing w:after="80" w:line="280" w:lineRule="auto"/>
      </w:pPr>
      <w:r>
        <w:t>Принципы качества и список того, что не используется.</w:t>
      </w:r>
    </w:p>
    <w:p>
      <w:pPr>
        <w:pStyle w:val="ListBullet"/>
        <w:spacing w:after="80" w:line="280" w:lineRule="auto"/>
      </w:pPr>
      <w:r>
        <w:t>Ссылки на статьи и кейсы, где роль автора понятна.</w:t>
      </w:r>
    </w:p>
    <w:p>
      <w:pPr>
        <w:pStyle w:val="Heading2"/>
      </w:pPr>
      <w:r>
        <w:t>/process/</w:t>
      </w:r>
    </w:p>
    <w:p>
      <w:r>
        <w:t>Сделать интерактивную временную шкалу на 8–12 недель. Для каждого этапа показать: входные данные, действия, результат, ответственного и условие перехода. Не скрывать зависимости: задержка внедрения сдвигает результат.</w:t>
      </w:r>
    </w:p>
    <w:p>
      <w:pPr>
        <w:pStyle w:val="Heading2"/>
      </w:pPr>
      <w:r>
        <w:t>/results/</w:t>
      </w:r>
    </w:p>
    <w:p>
      <w:r>
        <w:t>Превратить страницу в индекс доказательств, а не дубликат кейсов. Фильтры: цель, ниша, тип сайта, метрика. Каждая цифра ведёт к кейсу и показывает источник.</w:t>
      </w:r>
    </w:p>
    <w:p>
      <w:pPr>
        <w:pStyle w:val="Heading2"/>
      </w:pPr>
      <w:r>
        <w:t>/report-example/</w:t>
      </w:r>
    </w:p>
    <w:p>
      <w:r>
        <w:t>Это должна быть одна из главных продающих страниц. Встроенный preview на 5–7 экранов: сводка, приоритеты, пример проблемы, техническое ТЗ, план внедрения. Рядом — пояснения «что увидит руководитель» и «что получит разработчик». Полную обезличенную версию можно скачивать без тяжёлой формы.</w:t>
      </w:r>
    </w:p>
    <w:p>
      <w:pPr>
        <w:pStyle w:val="Heading1"/>
      </w:pPr>
      <w:r>
        <w:t>11. Журнал и статьи</w:t>
      </w:r>
    </w:p>
    <w:p>
      <w:pPr>
        <w:pStyle w:val="Heading2"/>
      </w:pPr>
      <w:r>
        <w:t>Архив /journal/</w:t>
      </w:r>
    </w:p>
    <w:p>
      <w:pPr>
        <w:pStyle w:val="ListBullet"/>
        <w:spacing w:after="80" w:line="280" w:lineRule="auto"/>
      </w:pPr>
      <w:r>
        <w:t>Один контентный раздел; /blog/ направить в /journal/.</w:t>
      </w:r>
    </w:p>
    <w:p>
      <w:pPr>
        <w:pStyle w:val="ListBullet"/>
        <w:spacing w:after="80" w:line="280" w:lineRule="auto"/>
      </w:pPr>
      <w:r>
        <w:t>Вверху — 4 тематических маршрута, а не сплошная лента: техника, коммерческие страницы, аналитика, GEO/AI.</w:t>
      </w:r>
    </w:p>
    <w:p>
      <w:pPr>
        <w:pStyle w:val="ListBullet"/>
        <w:spacing w:after="80" w:line="280" w:lineRule="auto"/>
      </w:pPr>
      <w:r>
        <w:t>Карточка: понятный заголовок, 2 строки пользы, дата обновления, время чтения, автор, связанная услуга.</w:t>
      </w:r>
    </w:p>
    <w:p>
      <w:pPr>
        <w:pStyle w:val="ListBullet"/>
        <w:spacing w:after="80" w:line="280" w:lineRule="auto"/>
      </w:pPr>
      <w:r>
        <w:t>Добавить поиск только при достаточном числе материалов; до этого достаточно тегов.</w:t>
      </w:r>
    </w:p>
    <w:p>
      <w:pPr>
        <w:pStyle w:val="Heading2"/>
      </w:pPr>
      <w:r>
        <w:t>Шаблон статьи</w:t>
      </w:r>
    </w:p>
    <w:p>
      <w:pPr>
        <w:pStyle w:val="ListBullet"/>
        <w:spacing w:after="80" w:line="280" w:lineRule="auto"/>
      </w:pPr>
      <w:r>
        <w:t>Колонка текста 680–760 px; справа на desktop — оглавление и карточка автора.</w:t>
      </w:r>
    </w:p>
    <w:p>
      <w:pPr>
        <w:pStyle w:val="ListBullet"/>
        <w:spacing w:after="80" w:line="280" w:lineRule="auto"/>
      </w:pPr>
      <w:r>
        <w:t>В начале — короткий ответ и содержание, затем подробности.</w:t>
      </w:r>
    </w:p>
    <w:p>
      <w:pPr>
        <w:pStyle w:val="ListBullet"/>
        <w:spacing w:after="80" w:line="280" w:lineRule="auto"/>
      </w:pPr>
      <w:r>
        <w:t>Таблицы и скриншоты сопровождаются выводом: что пользователь должен заметить.</w:t>
      </w:r>
    </w:p>
    <w:p>
      <w:pPr>
        <w:pStyle w:val="ListBullet"/>
        <w:spacing w:after="80" w:line="280" w:lineRule="auto"/>
      </w:pPr>
      <w:r>
        <w:t>В середине — мягкий CTA на релевантный артефакт/услугу, не универсальная форма.</w:t>
      </w:r>
    </w:p>
    <w:p>
      <w:pPr>
        <w:pStyle w:val="ListBullet"/>
        <w:spacing w:after="80" w:line="280" w:lineRule="auto"/>
      </w:pPr>
      <w:r>
        <w:t>В конце — чек-лист, дата обновления, источники и 2 связанных материала.</w:t>
      </w:r>
    </w:p>
    <w:p>
      <w:pPr>
        <w:pStyle w:val="Heading1"/>
      </w:pPr>
      <w:r>
        <w:t>12. Контакты и формы</w:t>
      </w:r>
    </w:p>
    <w:p>
      <w:pPr>
        <w:pStyle w:val="Heading2"/>
      </w:pPr>
      <w:r>
        <w:t>/contact/</w:t>
      </w:r>
    </w:p>
    <w:p>
      <w:r>
        <w:t>Форма сейчас находится слишком глубоко для страницы с прямым намерением. Новый первый экран: слева обещание и срок ответа, справа короткая форма. Под ним — способы связи, рабочие часы, формат встречи и что подготовить. Telegram/телефон остаются альтернативой, а не единственным действием.</w:t>
      </w:r>
    </w:p>
    <w:p>
      <w:pPr>
        <w:pStyle w:val="Heading2"/>
      </w:pPr>
      <w:r>
        <w:t>События аналитики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3384"/>
        <w:gridCol w:w="5976"/>
      </w:tblGrid>
      <w:tr>
        <w:trPr>
          <w:tblHeader w:val="true"/>
        </w:trP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Событие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3F6FA"/>
          </w:tcPr>
          <w:p>
            <w:r>
              <w:rPr>
                <w:b/>
              </w:rPr>
              <w:t>Параметры</w:t>
            </w:r>
          </w:p>
        </w:tc>
      </w:tr>
      <w:tr>
        <w:tc>
          <w:tcPr>
            <w:tcW w:type="dxa" w:w="3384"/>
          </w:tcPr>
          <w:p>
            <w:r>
              <w:t>cta_view / cta_click</w:t>
            </w:r>
          </w:p>
        </w:tc>
        <w:tc>
          <w:tcPr>
            <w:tcW w:type="dxa" w:w="5976"/>
          </w:tcPr>
          <w:p>
            <w:r>
              <w:t>page_type, service, position, text</w:t>
            </w:r>
          </w:p>
        </w:tc>
      </w:tr>
      <w:tr>
        <w:tc>
          <w:tcPr>
            <w:tcW w:type="dxa" w:w="3384"/>
          </w:tcPr>
          <w:p>
            <w:r>
              <w:t>form_view / form_start</w:t>
            </w:r>
          </w:p>
        </w:tc>
        <w:tc>
          <w:tcPr>
            <w:tcW w:type="dxa" w:w="5976"/>
          </w:tcPr>
          <w:p>
            <w:r>
              <w:t>form_id, step, page_url</w:t>
            </w:r>
          </w:p>
        </w:tc>
      </w:tr>
      <w:tr>
        <w:tc>
          <w:tcPr>
            <w:tcW w:type="dxa" w:w="3384"/>
          </w:tcPr>
          <w:p>
            <w:r>
              <w:t>form_validation_error</w:t>
            </w:r>
          </w:p>
        </w:tc>
        <w:tc>
          <w:tcPr>
            <w:tcW w:type="dxa" w:w="5976"/>
          </w:tcPr>
          <w:p>
            <w:r>
              <w:t>field, error_type</w:t>
            </w:r>
          </w:p>
        </w:tc>
      </w:tr>
      <w:tr>
        <w:tc>
          <w:tcPr>
            <w:tcW w:type="dxa" w:w="3384"/>
          </w:tcPr>
          <w:p>
            <w:r>
              <w:t>form_submit_success</w:t>
            </w:r>
          </w:p>
        </w:tc>
        <w:tc>
          <w:tcPr>
            <w:tcW w:type="dxa" w:w="5976"/>
          </w:tcPr>
          <w:p>
            <w:r>
              <w:t>service, contact_type, source_page</w:t>
            </w:r>
          </w:p>
        </w:tc>
      </w:tr>
      <w:tr>
        <w:tc>
          <w:tcPr>
            <w:tcW w:type="dxa" w:w="3384"/>
          </w:tcPr>
          <w:p>
            <w:r>
              <w:t>artifact_view / download</w:t>
            </w:r>
          </w:p>
        </w:tc>
        <w:tc>
          <w:tcPr>
            <w:tcW w:type="dxa" w:w="5976"/>
          </w:tcPr>
          <w:p>
            <w:r>
              <w:t>artifact_type, service</w:t>
            </w:r>
          </w:p>
        </w:tc>
      </w:tr>
      <w:tr>
        <w:tc>
          <w:tcPr>
            <w:tcW w:type="dxa" w:w="3384"/>
          </w:tcPr>
          <w:p>
            <w:r>
              <w:t>case_open</w:t>
            </w:r>
          </w:p>
        </w:tc>
        <w:tc>
          <w:tcPr>
            <w:tcW w:type="dxa" w:w="5976"/>
          </w:tcPr>
          <w:p>
            <w:r>
              <w:t>case_id, source_block</w:t>
            </w:r>
          </w:p>
        </w:tc>
      </w:tr>
      <w:tr>
        <w:tc>
          <w:tcPr>
            <w:tcW w:type="dxa" w:w="3384"/>
          </w:tcPr>
          <w:p>
            <w:r>
              <w:t>anchor_click</w:t>
            </w:r>
          </w:p>
        </w:tc>
        <w:tc>
          <w:tcPr>
            <w:tcW w:type="dxa" w:w="5976"/>
          </w:tcPr>
          <w:p>
            <w:r>
              <w:t>section, page_type</w:t>
            </w:r>
          </w:p>
        </w:tc>
      </w:tr>
      <w:tr>
        <w:tc>
          <w:tcPr>
            <w:tcW w:type="dxa" w:w="3384"/>
          </w:tcPr>
          <w:p>
            <w:r>
              <w:t>contact_click</w:t>
            </w:r>
          </w:p>
        </w:tc>
        <w:tc>
          <w:tcPr>
            <w:tcW w:type="dxa" w:w="5976"/>
          </w:tcPr>
          <w:p>
            <w:r>
              <w:t>telegram / phone / email, position</w:t>
            </w:r>
          </w:p>
        </w:tc>
      </w:tr>
    </w:tbl>
    <w:p>
      <w:r>
        <w:br w:type="page"/>
      </w:r>
    </w:p>
    <w:p>
      <w:pPr>
        <w:pStyle w:val="Heading1"/>
      </w:pPr>
      <w:r>
        <w:t>13. Mobile UX</w:t>
      </w:r>
    </w:p>
    <w:p>
      <w:pPr>
        <w:pStyle w:val="ListBullet"/>
        <w:spacing w:after="80" w:line="280" w:lineRule="auto"/>
      </w:pPr>
      <w:r>
        <w:t>Первый экран должен помещать H1, короткое пояснение, одно доказательство и кнопку/первое поле формы.</w:t>
      </w:r>
    </w:p>
    <w:p>
      <w:pPr>
        <w:pStyle w:val="ListBullet"/>
        <w:spacing w:after="80" w:line="280" w:lineRule="auto"/>
      </w:pPr>
      <w:r>
        <w:t>Нижняя sticky-панель: одна кнопка «Разобрать сайт»; высота до 64 px; скрывается при открытой клавиатуре и в зоне формы.</w:t>
      </w:r>
    </w:p>
    <w:p>
      <w:pPr>
        <w:pStyle w:val="ListBullet"/>
        <w:spacing w:after="80" w:line="280" w:lineRule="auto"/>
      </w:pPr>
      <w:r>
        <w:t>Не использовать горизонтальные карусели для критически важного контента: часть карточек останется невидимой.</w:t>
      </w:r>
    </w:p>
    <w:p>
      <w:pPr>
        <w:pStyle w:val="ListBullet"/>
        <w:spacing w:after="80" w:line="280" w:lineRule="auto"/>
      </w:pPr>
      <w:r>
        <w:t>Таблицы тарифов превращать в последовательные карточки или давать переключатель форматов.</w:t>
      </w:r>
    </w:p>
    <w:p>
      <w:pPr>
        <w:pStyle w:val="ListBullet"/>
        <w:spacing w:after="80" w:line="280" w:lineRule="auto"/>
      </w:pPr>
      <w:r>
        <w:t>Якорная навигация — прокручиваемая строка, но активный пункт всегда виден.</w:t>
      </w:r>
    </w:p>
    <w:p>
      <w:pPr>
        <w:pStyle w:val="ListBullet"/>
        <w:spacing w:after="80" w:line="280" w:lineRule="auto"/>
      </w:pPr>
      <w:r>
        <w:t>Accordion: первый важный раздел открыт; зоны нажатия не меньше 44 px; состояние обозначено текстом/иконкой.</w:t>
      </w:r>
    </w:p>
    <w:p>
      <w:pPr>
        <w:pStyle w:val="ListBullet"/>
        <w:spacing w:after="80" w:line="280" w:lineRule="auto"/>
      </w:pPr>
      <w:r>
        <w:t>Телефон, Telegram и email открываются корректным системным действием; рядом указано время ответа.</w:t>
      </w:r>
    </w:p>
    <w:p>
      <w:pPr>
        <w:pStyle w:val="ListBullet"/>
        <w:spacing w:after="80" w:line="280" w:lineRule="auto"/>
      </w:pPr>
      <w:r>
        <w:t>Проверить 320, 360, 390, 430 px и крупный текст 200%; интерфейс не должен терять функции.</w:t>
      </w:r>
    </w:p>
    <w:p>
      <w:pPr>
        <w:pStyle w:val="Heading2"/>
      </w:pPr>
      <w:r>
        <w:t>Доступность</w:t>
      </w:r>
    </w:p>
    <w:p>
      <w:pPr>
        <w:pStyle w:val="ListBullet"/>
        <w:spacing w:after="80" w:line="280" w:lineRule="auto"/>
      </w:pPr>
      <w:r>
        <w:t>Контраст WCAG AA; фокус не убирается.</w:t>
      </w:r>
    </w:p>
    <w:p>
      <w:pPr>
        <w:pStyle w:val="ListBullet"/>
        <w:spacing w:after="80" w:line="280" w:lineRule="auto"/>
      </w:pPr>
      <w:r>
        <w:t>Skip-link сохраняется и проверяется.</w:t>
      </w:r>
    </w:p>
    <w:p>
      <w:pPr>
        <w:pStyle w:val="ListBullet"/>
        <w:spacing w:after="80" w:line="280" w:lineRule="auto"/>
      </w:pPr>
      <w:r>
        <w:t>Все поля имеют постоянные label, не только placeholder.</w:t>
      </w:r>
    </w:p>
    <w:p>
      <w:pPr>
        <w:pStyle w:val="ListBullet"/>
        <w:spacing w:after="80" w:line="280" w:lineRule="auto"/>
      </w:pPr>
      <w:r>
        <w:t>Ошибки доступны screen reader и не обозначаются одним цветом.</w:t>
      </w:r>
    </w:p>
    <w:p>
      <w:pPr>
        <w:pStyle w:val="ListBullet"/>
        <w:spacing w:after="80" w:line="280" w:lineRule="auto"/>
      </w:pPr>
      <w:r>
        <w:t>Изображения кейсов имеют содержательные alt; декоративные — пустой alt.</w:t>
      </w:r>
    </w:p>
    <w:p>
      <w:pPr>
        <w:pStyle w:val="ListBullet"/>
        <w:spacing w:after="80" w:line="280" w:lineRule="auto"/>
      </w:pPr>
      <w:r>
        <w:t>Модальные окна удерживают фокус, закрываются Escape и возвращают фокус инициатору.</w:t>
      </w:r>
    </w:p>
    <w:p>
      <w:pPr>
        <w:pStyle w:val="Heading1"/>
      </w:pPr>
      <w:r>
        <w:t>14. Постраничный UX-план: все 38 URL</w:t>
      </w:r>
    </w:p>
    <w:p>
      <w:pPr>
        <w:pStyle w:val="Heading2"/>
      </w:pPr>
      <w:r>
        <w:t>1. Сайт не приносит заявки из поиска? Найду причину и доведу SEO до внедрения.</w:t>
      </w:r>
    </w:p>
    <w:p>
      <w:pPr>
        <w:pStyle w:val="URL"/>
      </w:pPr>
      <w:r>
        <w:t>https://synapsee.ru/</w:t>
      </w:r>
    </w:p>
    <w:p>
      <w:r>
        <w:t>Сжать hero; добавить 2-полевую форму, лицо автора и Proof Card; затем сценарии выбора услуги, 3 доказательных кейса и preview отчёта.</w:t>
      </w:r>
    </w:p>
    <w:p>
      <w:pPr>
        <w:pStyle w:val="Heading2"/>
      </w:pPr>
      <w:r>
        <w:t>2. Блог: заметки про SEO-страницы и внедрение</w:t>
      </w:r>
    </w:p>
    <w:p>
      <w:pPr>
        <w:pStyle w:val="URL"/>
      </w:pPr>
      <w:r>
        <w:t>https://synapsee.ru/blog/</w:t>
      </w:r>
    </w:p>
    <w:p>
      <w:r>
        <w:t>Оставить единый /journal/: тематические маршруты, дата обновления, автор, время чтения и связанная услуга.</w:t>
      </w:r>
    </w:p>
    <w:p>
      <w:pPr>
        <w:pStyle w:val="Heading2"/>
      </w:pPr>
      <w:r>
        <w:t>3. Получить пробный аудит сайта</w:t>
      </w:r>
    </w:p>
    <w:p>
      <w:pPr>
        <w:pStyle w:val="URL"/>
      </w:pPr>
      <w:r>
        <w:t>https://synapsee.ru/contact/</w:t>
      </w:r>
    </w:p>
    <w:p>
      <w:r>
        <w:t>Форма в первом экране; срок ответа, формат встречи, рабочие часы и подготовка к разговору. Telegram/телефон — альтернативные действия.</w:t>
      </w:r>
    </w:p>
    <w:p>
      <w:pPr>
        <w:pStyle w:val="Heading2"/>
      </w:pPr>
      <w:r>
        <w:t>4. Услуги SEO-продвижения, технической оптимизации и ИИ-видимости</w:t>
      </w:r>
    </w:p>
    <w:p>
      <w:pPr>
        <w:pStyle w:val="URL"/>
      </w:pPr>
      <w:r>
        <w:t>https://synapsee.ru/services/</w:t>
      </w:r>
    </w:p>
    <w:p>
      <w:r>
        <w:t>Наверх — диагностический выбор по ситуации и короткая форма. Сгруппировать услуги: диагностика, стратегия, сопровождение, специальные направления.</w:t>
      </w:r>
    </w:p>
    <w:p>
      <w:pPr>
        <w:pStyle w:val="Heading2"/>
      </w:pPr>
      <w:r>
        <w:t>5. SEO-продвижение сайтов в СПб: от поискового спроса до заявок</w:t>
      </w:r>
    </w:p>
    <w:p>
      <w:pPr>
        <w:pStyle w:val="URL"/>
      </w:pPr>
      <w:r>
        <w:t>https://synapsee.ru/services/seo-prodvizhenie/</w:t>
      </w:r>
    </w:p>
    <w:p>
      <w:r>
        <w:t>Единый шаблон услуги: короткий hero с ценой/сроком и формой → кому подходит → артефакты → состав → кейс → процесс → FAQ → форма. Добавить sticky-якоря.</w:t>
      </w:r>
    </w:p>
    <w:p>
      <w:pPr>
        <w:pStyle w:val="Heading2"/>
      </w:pPr>
      <w:r>
        <w:t>6. SEO-аудит сайта с планом роста, а не списком разрозненных ошибок</w:t>
      </w:r>
    </w:p>
    <w:p>
      <w:pPr>
        <w:pStyle w:val="URL"/>
      </w:pPr>
      <w:r>
        <w:t>https://synapsee.ru/services/seo-audit/</w:t>
      </w:r>
    </w:p>
    <w:p>
      <w:r>
        <w:t>Единый шаблон услуги: короткий hero с ценой/сроком и формой → кому подходит → артефакты → состав → кейс → процесс → FAQ → форма. Добавить sticky-якоря.</w:t>
      </w:r>
    </w:p>
    <w:p>
      <w:pPr>
        <w:pStyle w:val="Heading2"/>
      </w:pPr>
      <w:r>
        <w:t>7. Технический SEO-аудит сайта без хаоса в индексировании и релизах</w:t>
      </w:r>
    </w:p>
    <w:p>
      <w:pPr>
        <w:pStyle w:val="URL"/>
      </w:pPr>
      <w:r>
        <w:t>https://synapsee.ru/services/technical-seo-audit/</w:t>
      </w:r>
    </w:p>
    <w:p>
      <w:r>
        <w:t>Единый шаблон услуги: короткий hero с ценой/сроком и формой → кому подходит → артефакты → состав → кейс → процесс → FAQ → форма. Добавить sticky-якоря.</w:t>
      </w:r>
    </w:p>
    <w:p>
      <w:pPr>
        <w:pStyle w:val="Heading2"/>
      </w:pPr>
      <w:r>
        <w:t>8. SEO-стратегия: что делать, в каком порядке и как измерять результат</w:t>
      </w:r>
    </w:p>
    <w:p>
      <w:pPr>
        <w:pStyle w:val="URL"/>
      </w:pPr>
      <w:r>
        <w:t>https://synapsee.ru/services/seo-strategy/</w:t>
      </w:r>
    </w:p>
    <w:p>
      <w:r>
        <w:t>Единый шаблон услуги: короткий hero с ценой/сроком и формой → кому подходит → артефакты → состав → кейс → процесс → FAQ → форма. Добавить sticky-якоря.</w:t>
      </w:r>
    </w:p>
    <w:p>
      <w:pPr>
        <w:pStyle w:val="Heading2"/>
      </w:pPr>
      <w:r>
        <w:t>9. SEO-консультация, когда нужно быстро принять правильное решение</w:t>
      </w:r>
    </w:p>
    <w:p>
      <w:pPr>
        <w:pStyle w:val="URL"/>
      </w:pPr>
      <w:r>
        <w:t>https://synapsee.ru/services/seo-consulting/</w:t>
      </w:r>
    </w:p>
    <w:p>
      <w:r>
        <w:t>Единый шаблон услуги: короткий hero с ценой/сроком и формой → кому подходит → артефакты → состав → кейс → процесс → FAQ → форма. Добавить sticky-якоря.</w:t>
      </w:r>
    </w:p>
    <w:p>
      <w:pPr>
        <w:pStyle w:val="Heading2"/>
      </w:pPr>
      <w:r>
        <w:t>10. GEO, AEO и AI SEO: подготовка сайта к поиску нового поколения</w:t>
      </w:r>
    </w:p>
    <w:p>
      <w:pPr>
        <w:pStyle w:val="URL"/>
      </w:pPr>
      <w:r>
        <w:t>https://synapsee.ru/services/geo-aeo-ai-seo/</w:t>
      </w:r>
    </w:p>
    <w:p>
      <w:r>
        <w:t>Единый шаблон услуги: короткий hero с ценой/сроком и формой → кому подходит → артефакты → состав → кейс → процесс → FAQ → форма. Добавить sticky-якоря.</w:t>
      </w:r>
    </w:p>
    <w:p>
      <w:pPr>
        <w:pStyle w:val="Heading2"/>
      </w:pPr>
      <w:r>
        <w:t>11. Локальное SEO в Санкт-Петербурге для заявок из поиска, карт и справочников</w:t>
      </w:r>
    </w:p>
    <w:p>
      <w:pPr>
        <w:pStyle w:val="URL"/>
      </w:pPr>
      <w:r>
        <w:t>https://synapsee.ru/services/local-seo-spb/</w:t>
      </w:r>
    </w:p>
    <w:p>
      <w:r>
        <w:t>Единый шаблон услуги: короткий hero с ценой/сроком и формой → кому подходит → артефакты → состав → кейс → процесс → FAQ → форма. Добавить sticky-якоря.</w:t>
      </w:r>
    </w:p>
    <w:p>
      <w:pPr>
        <w:pStyle w:val="Heading2"/>
      </w:pPr>
      <w:r>
        <w:t>12. SEO для B2B, где важны не клики, а квалифицированные лиды</w:t>
      </w:r>
    </w:p>
    <w:p>
      <w:pPr>
        <w:pStyle w:val="URL"/>
      </w:pPr>
      <w:r>
        <w:t>https://synapsee.ru/services/seo-for-b2b/</w:t>
      </w:r>
    </w:p>
    <w:p>
      <w:r>
        <w:t>Единый шаблон услуги: короткий hero с ценой/сроком и формой → кому подходит → артефакты → состав → кейс → процесс → FAQ → форма. Добавить sticky-якоря.</w:t>
      </w:r>
    </w:p>
    <w:p>
      <w:pPr>
        <w:pStyle w:val="Heading2"/>
      </w:pPr>
      <w:r>
        <w:t>13. SEO для малого бизнеса: понятный старт без лишнего раздувания работ</w:t>
      </w:r>
    </w:p>
    <w:p>
      <w:pPr>
        <w:pStyle w:val="URL"/>
      </w:pPr>
      <w:r>
        <w:t>https://synapsee.ru/services/seo-for-small-business/</w:t>
      </w:r>
    </w:p>
    <w:p>
      <w:r>
        <w:t>Единый шаблон услуги: короткий hero с ценой/сроком и формой → кому подходит → артефакты → состав → кейс → процесс → FAQ → форма. Добавить sticky-якоря.</w:t>
      </w:r>
    </w:p>
    <w:p>
      <w:pPr>
        <w:pStyle w:val="Heading2"/>
      </w:pPr>
      <w:r>
        <w:t>14. SEO-продвижение интернет-магазина: из каталога — в продажи</w:t>
      </w:r>
    </w:p>
    <w:p>
      <w:pPr>
        <w:pStyle w:val="URL"/>
      </w:pPr>
      <w:r>
        <w:t>https://synapsee.ru/services/seo-prodvizhenie-internet-magazina/</w:t>
      </w:r>
    </w:p>
    <w:p>
      <w:r>
        <w:t>Единый шаблон услуги: короткий hero с ценой/сроком и формой → кому подходит → артефакты → состав → кейс → процесс → FAQ → форма. Добавить sticky-якоря.</w:t>
      </w:r>
    </w:p>
    <w:p>
      <w:pPr>
        <w:pStyle w:val="Heading2"/>
      </w:pPr>
      <w:r>
        <w:t>15. SEO-продвижение нового сайта: заложить рост до дорогих переделок</w:t>
      </w:r>
    </w:p>
    <w:p>
      <w:pPr>
        <w:pStyle w:val="URL"/>
      </w:pPr>
      <w:r>
        <w:t>https://synapsee.ru/services/seo-prodvizhenie-novogo-sayta/</w:t>
      </w:r>
    </w:p>
    <w:p>
      <w:r>
        <w:t>Единый шаблон услуги: короткий hero с ценой/сроком и формой → кому подходит → артефакты → состав → кейс → процесс → FAQ → форма. Добавить sticky-якоря.</w:t>
      </w:r>
    </w:p>
    <w:p>
      <w:pPr>
        <w:pStyle w:val="Heading2"/>
      </w:pPr>
      <w:r>
        <w:t>16. Кейсы с прозрачной логикой: контекст → решения → подтверждаемый эффект</w:t>
      </w:r>
    </w:p>
    <w:p>
      <w:pPr>
        <w:pStyle w:val="URL"/>
      </w:pPr>
      <w:r>
        <w:t>https://synapsee.ru/cases/</w:t>
      </w:r>
    </w:p>
    <w:p>
      <w:r>
        <w:t>Показать 3 лучших кейса до скролла, фильтры по задаче/нише и единые Proof Cards. Форму поднять после первых трёх кейсов.</w:t>
      </w:r>
    </w:p>
    <w:p>
      <w:pPr>
        <w:pStyle w:val="Heading2"/>
      </w:pPr>
      <w:r>
        <w:t>17. Территориальная монополия: как вывести доставку воды из зоны слабой видимости в абсолютные лидеры рынка, закрыв 85% спроса за 8 месяцев</w:t>
      </w:r>
    </w:p>
    <w:p>
      <w:pPr>
        <w:pStyle w:val="URL"/>
      </w:pPr>
      <w:r>
        <w:t>https://synapsee.ru/cases/1/</w:t>
      </w:r>
    </w:p>
    <w:p>
      <w:r>
        <w:t>Сократить H1; вынести период, источник и метрики в hero. Далее baseline, решения, вклад сторон, абсолютные результаты, ограничения атрибуции и CTA «Похожая задача».</w:t>
      </w:r>
    </w:p>
    <w:p>
      <w:pPr>
        <w:pStyle w:val="Heading2"/>
      </w:pPr>
      <w:r>
        <w:t>18. Склад — это не недвижимость: как перестали продавать «квадратные метры» и вывели 3PL-оператора на 12 крупных корпоративных-контрактов за квартал</w:t>
      </w:r>
    </w:p>
    <w:p>
      <w:pPr>
        <w:pStyle w:val="URL"/>
      </w:pPr>
      <w:r>
        <w:t>https://synapsee.ru/cases/2/</w:t>
      </w:r>
    </w:p>
    <w:p>
      <w:r>
        <w:t>Сократить H1; вынести период, источник и метрики в hero. Далее baseline, решения, вклад сторон, абсолютные результаты, ограничения атрибуции и CTA «Похожая задача».</w:t>
      </w:r>
    </w:p>
    <w:p>
      <w:pPr>
        <w:pStyle w:val="Heading2"/>
      </w:pPr>
      <w:r>
        <w:t>19. 38 точек на карте: как маркетинговое агентство провело исследование спонтанного спроса и создало инновационный инструмент Zero-Detour, которого практически ни у кого нет</w:t>
      </w:r>
    </w:p>
    <w:p>
      <w:pPr>
        <w:pStyle w:val="URL"/>
      </w:pPr>
      <w:r>
        <w:t>https://synapsee.ru/cases/3/</w:t>
      </w:r>
    </w:p>
    <w:p>
      <w:r>
        <w:t>Сократить H1; вынести период, источник и метрики в hero. Далее baseline, решения, вклад сторон, абсолютные результаты, ограничения атрибуции и CTA «Похожая задача».</w:t>
      </w:r>
    </w:p>
    <w:p>
      <w:pPr>
        <w:pStyle w:val="Heading2"/>
      </w:pPr>
      <w:r>
        <w:t>20. Контрактное производство настольных игр: как перестали продавать «печать на картоне» и вышли на средний чек 1,8 млн ₽ за счет инженерии процесса</w:t>
      </w:r>
    </w:p>
    <w:p>
      <w:pPr>
        <w:pStyle w:val="URL"/>
      </w:pPr>
      <w:r>
        <w:t>https://synapsee.ru/cases/4/</w:t>
      </w:r>
    </w:p>
    <w:p>
      <w:r>
        <w:t>Сократить H1; вынести период, источник и метрики в hero. Далее baseline, решения, вклад сторон, абсолютные результаты, ограничения атрибуции и CTA «Похожая задача».</w:t>
      </w:r>
    </w:p>
    <w:p>
      <w:pPr>
        <w:pStyle w:val="Heading2"/>
      </w:pPr>
      <w:r>
        <w:t>21. Как мы помогли агентству городской рекламы зарабатывать на стыке двух миров — малого и среднего бизнеса и новой креативной сцены города</w:t>
      </w:r>
    </w:p>
    <w:p>
      <w:pPr>
        <w:pStyle w:val="URL"/>
      </w:pPr>
      <w:r>
        <w:t>https://synapsee.ru/cases/5/</w:t>
      </w:r>
    </w:p>
    <w:p>
      <w:r>
        <w:t>Сократить H1; вынести период, источник и метрики в hero. Далее baseline, решения, вклад сторон, абсолютные результаты, ограничения атрибуции и CTA «Похожая задача».</w:t>
      </w:r>
    </w:p>
    <w:p>
      <w:pPr>
        <w:pStyle w:val="Heading2"/>
      </w:pPr>
      <w:r>
        <w:t>22. Как мы помогли клинике превратить поиск в стабильный канал записей, а сайт — в систему цифрового доверия</w:t>
      </w:r>
    </w:p>
    <w:p>
      <w:pPr>
        <w:pStyle w:val="URL"/>
      </w:pPr>
      <w:r>
        <w:t>https://synapsee.ru/cases/6/</w:t>
      </w:r>
    </w:p>
    <w:p>
      <w:r>
        <w:t>Сократить H1; вынести период, источник и метрики в hero. Далее baseline, решения, вклад сторон, абсолютные результаты, ограничения атрибуции и CTA «Похожая задача».</w:t>
      </w:r>
    </w:p>
    <w:p>
      <w:pPr>
        <w:pStyle w:val="Heading2"/>
      </w:pPr>
      <w:r>
        <w:t>23. Стоимость SEO-работ: аудит, спринт, ежемесячный рост и экспертная поддержка</w:t>
      </w:r>
    </w:p>
    <w:p>
      <w:pPr>
        <w:pStyle w:val="URL"/>
      </w:pPr>
      <w:r>
        <w:t>https://synapsee.ru/pricing/</w:t>
      </w:r>
    </w:p>
    <w:p>
      <w:r>
        <w:t>Hero до 2–3 строк; сравнение четырёх форматов, условия оплаты и короткая форма рядом с тарифами. Объяснить разницу цены через состав и ответственность.</w:t>
      </w:r>
    </w:p>
    <w:p>
      <w:pPr>
        <w:pStyle w:val="Heading2"/>
      </w:pPr>
      <w:r>
        <w:t>24. Synapsee: SEO-практика для бизнеса, которому нужны заявки и ясность</w:t>
      </w:r>
    </w:p>
    <w:p>
      <w:pPr>
        <w:pStyle w:val="URL"/>
      </w:pPr>
      <w:r>
        <w:t>https://synapsee.ru/about/</w:t>
      </w:r>
    </w:p>
    <w:p>
      <w:r>
        <w:t>Фото и полное имя в первом экране; хронология, роли, внешние подтверждения, модель подключения подрядчиков и принципы качества.</w:t>
      </w:r>
    </w:p>
    <w:p>
      <w:pPr>
        <w:pStyle w:val="Heading2"/>
      </w:pPr>
      <w:r>
        <w:t>25. Как устроена работа над SEO-проектом</w:t>
      </w:r>
    </w:p>
    <w:p>
      <w:pPr>
        <w:pStyle w:val="URL"/>
      </w:pPr>
      <w:r>
        <w:t>https://synapsee.ru/process/</w:t>
      </w:r>
    </w:p>
    <w:p>
      <w:r>
        <w:t>Временная шкала с входом, результатом, ответственным и зависимостями каждого этапа; пример 12-недельного цикла.</w:t>
      </w:r>
    </w:p>
    <w:p>
      <w:pPr>
        <w:pStyle w:val="Heading2"/>
      </w:pPr>
      <w:r>
        <w:t>26. Пример структуры SEO-аудита</w:t>
      </w:r>
    </w:p>
    <w:p>
      <w:pPr>
        <w:pStyle w:val="URL"/>
      </w:pPr>
      <w:r>
        <w:t>https://synapsee.ru/report-example/</w:t>
      </w:r>
    </w:p>
    <w:p>
      <w:r>
        <w:t>Встроить реальный обезличенный preview отчёта, пояснения для руководителя/разработчика и простое скачивание.</w:t>
      </w:r>
    </w:p>
    <w:p>
      <w:pPr>
        <w:pStyle w:val="Heading2"/>
      </w:pPr>
      <w:r>
        <w:t>27. Результаты, которые можно читать с контекстом</w:t>
      </w:r>
    </w:p>
    <w:p>
      <w:pPr>
        <w:pStyle w:val="URL"/>
      </w:pPr>
      <w:r>
        <w:t>https://synapsee.ru/results/</w:t>
      </w:r>
    </w:p>
    <w:p>
      <w:r>
        <w:t>Индекс проверяемых метрик с фильтрами; каждая цифра ведёт к кейсу и показывает период/источник.</w:t>
      </w:r>
    </w:p>
    <w:p>
      <w:pPr>
        <w:pStyle w:val="Heading2"/>
      </w:pPr>
      <w:r>
        <w:t>28. Журнал SEO-агентства: новости, разборы и практические материалы</w:t>
      </w:r>
    </w:p>
    <w:p>
      <w:pPr>
        <w:pStyle w:val="URL"/>
      </w:pPr>
      <w:r>
        <w:t>https://synapsee.ru/journal/</w:t>
      </w:r>
    </w:p>
    <w:p>
      <w:r>
        <w:t>Оставить единый /journal/: тематические маршруты, дата обновления, автор, время чтения и связанная услуга.</w:t>
      </w:r>
    </w:p>
    <w:p>
      <w:pPr>
        <w:pStyle w:val="Heading2"/>
      </w:pPr>
      <w:r>
        <w:t>29. Политика конфиденциальности</w:t>
      </w:r>
    </w:p>
    <w:p>
      <w:pPr>
        <w:pStyle w:val="URL"/>
      </w:pPr>
      <w:r>
        <w:t>https://synapsee.ru/privacy/</w:t>
      </w:r>
    </w:p>
    <w:p>
      <w:r>
        <w:t>Упростить чтение юридического текста: оглавление, короткие разделы, дата обновления, контакты и ясные определения; не прятать важные условия.</w:t>
      </w:r>
    </w:p>
    <w:p>
      <w:pPr>
        <w:pStyle w:val="Heading2"/>
      </w:pPr>
      <w:r>
        <w:t>30. Условия использования</w:t>
      </w:r>
    </w:p>
    <w:p>
      <w:pPr>
        <w:pStyle w:val="URL"/>
      </w:pPr>
      <w:r>
        <w:t>https://synapsee.ru/terms/</w:t>
      </w:r>
    </w:p>
    <w:p>
      <w:r>
        <w:t>Упростить чтение юридического текста: оглавление, короткие разделы, дата обновления, контакты и ясные определения; не прятать важные условия.</w:t>
      </w:r>
    </w:p>
    <w:p>
      <w:pPr>
        <w:pStyle w:val="Heading2"/>
      </w:pPr>
      <w:r>
        <w:t>31. Как собрать SEO-страницу без лишней агентской витрины</w:t>
      </w:r>
    </w:p>
    <w:p>
      <w:pPr>
        <w:pStyle w:val="URL"/>
      </w:pPr>
      <w:r>
        <w:t>https://synapsee.ru/blog/agency-os-landing-mvp/</w:t>
      </w:r>
    </w:p>
    <w:p>
      <w:r>
        <w:t>Узкая колонка, краткий ответ в начале, sticky-оглавление, подписанные примеры, источники, чек-лист и контекстный CTA.</w:t>
      </w:r>
    </w:p>
    <w:p>
      <w:pPr>
        <w:pStyle w:val="Heading2"/>
      </w:pPr>
      <w:r>
        <w:t>32. Synapsee / Фёдор</w:t>
      </w:r>
    </w:p>
    <w:p>
      <w:pPr>
        <w:pStyle w:val="URL"/>
      </w:pPr>
      <w:r>
        <w:t>https://synapsee.ru/authors/synapsee/</w:t>
      </w:r>
    </w:p>
    <w:p>
      <w:r>
        <w:t>Person-профиль: фото, полное имя, компетенции, все материалы и кейсы, внешние профили и принципы проверки данных.</w:t>
      </w:r>
    </w:p>
    <w:p>
      <w:pPr>
        <w:pStyle w:val="Heading2"/>
      </w:pPr>
      <w:r>
        <w:t>33. Как подготовить сайт к SEO-росту без хаоса</w:t>
      </w:r>
    </w:p>
    <w:p>
      <w:pPr>
        <w:pStyle w:val="URL"/>
      </w:pPr>
      <w:r>
        <w:t>https://synapsee.ru/journal/kak-podgotovit-sayt-k-seo-rostu-bez-haosa/</w:t>
      </w:r>
    </w:p>
    <w:p>
      <w:r>
        <w:t>Узкая колонка, краткий ответ в начале, sticky-оглавление, подписанные примеры, источники, чек-лист и контекстный CTA.</w:t>
      </w:r>
    </w:p>
    <w:p>
      <w:pPr>
        <w:pStyle w:val="Heading2"/>
      </w:pPr>
      <w:r>
        <w:t>34. Как считать результат SEO без самообмана</w:t>
      </w:r>
    </w:p>
    <w:p>
      <w:pPr>
        <w:pStyle w:val="URL"/>
      </w:pPr>
      <w:r>
        <w:t>https://synapsee.ru/journal/kak-schitat-rezultat-seo-bez-samoobmana/</w:t>
      </w:r>
    </w:p>
    <w:p>
      <w:r>
        <w:t>Узкая колонка, краткий ответ в начале, sticky-оглавление, подписанные примеры, источники, чек-лист и контекстный CTA.</w:t>
      </w:r>
    </w:p>
    <w:p>
      <w:pPr>
        <w:pStyle w:val="Heading2"/>
      </w:pPr>
      <w:r>
        <w:t>35. Ошибки коммерческих страниц, которые мешают одновременно ранжироваться и конвертировать</w:t>
      </w:r>
    </w:p>
    <w:p>
      <w:pPr>
        <w:pStyle w:val="URL"/>
      </w:pPr>
      <w:r>
        <w:t>https://synapsee.ru/journal/oshibki-kommercheskih-stranic-kotorye-meshayut-ranzhirovatsya-i-konvertirovat/</w:t>
      </w:r>
    </w:p>
    <w:p>
      <w:r>
        <w:t>Узкая колонка, краткий ответ в начале, sticky-оглавление, подписанные примеры, источники, чек-лист и контекстный CTA.</w:t>
      </w:r>
    </w:p>
    <w:p>
      <w:pPr>
        <w:pStyle w:val="Heading2"/>
      </w:pPr>
      <w:r>
        <w:t>36. Что входит в SEO-аудит сайта: техника, спрос, страницы и заявки</w:t>
      </w:r>
    </w:p>
    <w:p>
      <w:pPr>
        <w:pStyle w:val="URL"/>
      </w:pPr>
      <w:r>
        <w:t>https://synapsee.ru/journal/chto-vhodit-v-seo-audit-sayta/</w:t>
      </w:r>
    </w:p>
    <w:p>
      <w:r>
        <w:t>Узкая колонка, краткий ответ в начале, sticky-оглавление, подписанные примеры, источники, чек-лист и контекстный CTA.</w:t>
      </w:r>
    </w:p>
    <w:p>
      <w:pPr>
        <w:pStyle w:val="Heading2"/>
      </w:pPr>
      <w:r>
        <w:t>37. Технический SEO-аудит: что проверять перед ростом и редизайном</w:t>
      </w:r>
    </w:p>
    <w:p>
      <w:pPr>
        <w:pStyle w:val="URL"/>
      </w:pPr>
      <w:r>
        <w:t>https://synapsee.ru/journal/technical-seo-audit-chto-proveryat/</w:t>
      </w:r>
    </w:p>
    <w:p>
      <w:r>
        <w:t>Узкая колонка, краткий ответ в начале, sticky-оглавление, подписанные примеры, источники, чек-лист и контекстный CTA.</w:t>
      </w:r>
    </w:p>
    <w:p>
      <w:pPr>
        <w:pStyle w:val="Heading2"/>
      </w:pPr>
      <w:r>
        <w:t>38. ИИ-видимость и нейроответы: как подготовить сайт к сценариям выбора</w:t>
      </w:r>
    </w:p>
    <w:p>
      <w:pPr>
        <w:pStyle w:val="URL"/>
      </w:pPr>
      <w:r>
        <w:t>https://synapsee.ru/journal/geo-aeo-ai-seo-kak-podgotovit-sayt/</w:t>
      </w:r>
    </w:p>
    <w:p>
      <w:r>
        <w:t>Узкая колонка, краткий ответ в начале, sticky-оглавление, подписанные примеры, источники, чек-лист и контекстный CTA.</w:t>
      </w:r>
    </w:p>
    <w:p>
      <w:r>
        <w:br w:type="page"/>
      </w:r>
    </w:p>
    <w:p>
      <w:pPr>
        <w:pStyle w:val="Heading1"/>
      </w:pPr>
      <w:r>
        <w:t>15. Приоритетный план внедрения</w:t>
      </w:r>
    </w:p>
    <w:p>
      <w:pPr>
        <w:pStyle w:val="Heading2"/>
      </w:pPr>
      <w:r>
        <w:t>Спринт 1 — 7–10 рабочих дней</w:t>
      </w:r>
    </w:p>
    <w:p>
      <w:pPr>
        <w:pStyle w:val="ListBullet"/>
        <w:spacing w:after="80" w:line="280" w:lineRule="auto"/>
      </w:pPr>
      <w:r>
        <w:t>Утвердить позиционирование и дизайн-токены.</w:t>
      </w:r>
    </w:p>
    <w:p>
      <w:pPr>
        <w:pStyle w:val="ListBullet"/>
        <w:spacing w:after="80" w:line="280" w:lineRule="auto"/>
      </w:pPr>
      <w:r>
        <w:t>Пересобрать header, hero, короткую форму и мобильную sticky-кнопку.</w:t>
      </w:r>
    </w:p>
    <w:p>
      <w:pPr>
        <w:pStyle w:val="ListBullet"/>
        <w:spacing w:after="80" w:line="280" w:lineRule="auto"/>
      </w:pPr>
      <w:r>
        <w:t>Внедрить события Метрики и проверить путь form_view → success.</w:t>
      </w:r>
    </w:p>
    <w:p>
      <w:pPr>
        <w:pStyle w:val="ListBullet"/>
        <w:spacing w:after="80" w:line="280" w:lineRule="auto"/>
      </w:pPr>
      <w:r>
        <w:t>Обновить главную, Contact, Services, Pricing и один шаблон услуги.</w:t>
      </w:r>
    </w:p>
    <w:p>
      <w:pPr>
        <w:pStyle w:val="ListBullet"/>
        <w:spacing w:after="80" w:line="280" w:lineRule="auto"/>
      </w:pPr>
      <w:r>
        <w:t>Собрать реальные доказательства для трёх лучших кейсов.</w:t>
      </w:r>
    </w:p>
    <w:p>
      <w:pPr>
        <w:pStyle w:val="Heading2"/>
      </w:pPr>
      <w:r>
        <w:t>Спринт 2 — 10–15 рабочих дней</w:t>
      </w:r>
    </w:p>
    <w:p>
      <w:pPr>
        <w:pStyle w:val="ListBullet"/>
        <w:spacing w:after="80" w:line="280" w:lineRule="auto"/>
      </w:pPr>
      <w:r>
        <w:t>Внедрить новый шаблон всех услуг и sticky-якоря.</w:t>
      </w:r>
    </w:p>
    <w:p>
      <w:pPr>
        <w:pStyle w:val="ListBullet"/>
        <w:spacing w:after="80" w:line="280" w:lineRule="auto"/>
      </w:pPr>
      <w:r>
        <w:t>Пересобрать каталог и шаблон кейса.</w:t>
      </w:r>
    </w:p>
    <w:p>
      <w:pPr>
        <w:pStyle w:val="ListBullet"/>
        <w:spacing w:after="80" w:line="280" w:lineRule="auto"/>
      </w:pPr>
      <w:r>
        <w:t>Создать Proof Card и галерею рабочих артефактов.</w:t>
      </w:r>
    </w:p>
    <w:p>
      <w:pPr>
        <w:pStyle w:val="ListBullet"/>
        <w:spacing w:after="80" w:line="280" w:lineRule="auto"/>
      </w:pPr>
      <w:r>
        <w:t>Переработать About, Process, Results, Report example.</w:t>
      </w:r>
    </w:p>
    <w:p>
      <w:pPr>
        <w:pStyle w:val="ListBullet"/>
        <w:spacing w:after="80" w:line="280" w:lineRule="auto"/>
      </w:pPr>
      <w:r>
        <w:t>Свести blog/journal и обновить шаблон статьи.</w:t>
      </w:r>
    </w:p>
    <w:p>
      <w:pPr>
        <w:pStyle w:val="Heading2"/>
      </w:pPr>
      <w:r>
        <w:t>Спринт 3 — 10–15 рабочих дней</w:t>
      </w:r>
    </w:p>
    <w:p>
      <w:pPr>
        <w:pStyle w:val="ListBullet"/>
        <w:spacing w:after="80" w:line="280" w:lineRule="auto"/>
      </w:pPr>
      <w:r>
        <w:t>Запустить сценарный выбор услуги.</w:t>
      </w:r>
    </w:p>
    <w:p>
      <w:pPr>
        <w:pStyle w:val="ListBullet"/>
        <w:spacing w:after="80" w:line="280" w:lineRule="auto"/>
      </w:pPr>
      <w:r>
        <w:t>Добавить честный статус загрузки.</w:t>
      </w:r>
    </w:p>
    <w:p>
      <w:pPr>
        <w:pStyle w:val="ListBullet"/>
        <w:spacing w:after="80" w:line="280" w:lineRule="auto"/>
      </w:pPr>
      <w:r>
        <w:t>Сделать предварительный разбор URL сначала как ручной сервис.</w:t>
      </w:r>
    </w:p>
    <w:p>
      <w:pPr>
        <w:pStyle w:val="ListBullet"/>
        <w:spacing w:after="80" w:line="280" w:lineRule="auto"/>
      </w:pPr>
      <w:r>
        <w:t>Провести mobile/a11y/performance QA.</w:t>
      </w:r>
    </w:p>
    <w:p>
      <w:pPr>
        <w:pStyle w:val="ListBullet"/>
        <w:spacing w:after="80" w:line="280" w:lineRule="auto"/>
      </w:pPr>
      <w:r>
        <w:t>Снять карты скролла, кликов, ссылок и аналитику форм после накопления данных.</w:t>
      </w:r>
    </w:p>
    <w:p>
      <w:pPr>
        <w:pStyle w:val="Heading2"/>
      </w:pPr>
      <w:r>
        <w:t>Эксперименты после накопления данных</w:t>
      </w:r>
    </w:p>
    <w:p>
      <w:pPr>
        <w:pStyle w:val="ListBullet"/>
        <w:spacing w:after="80" w:line="280" w:lineRule="auto"/>
      </w:pPr>
      <w:r>
        <w:t>Hero: форма в первом экране против кнопки, открывающей форму.</w:t>
      </w:r>
    </w:p>
    <w:p>
      <w:pPr>
        <w:pStyle w:val="ListBullet"/>
        <w:spacing w:after="80" w:line="280" w:lineRule="auto"/>
      </w:pPr>
      <w:r>
        <w:t>CTA: «Получить 3 точки роста» против «Обсудить задачу».</w:t>
      </w:r>
    </w:p>
    <w:p>
      <w:pPr>
        <w:pStyle w:val="ListBullet"/>
        <w:spacing w:after="80" w:line="280" w:lineRule="auto"/>
      </w:pPr>
      <w:r>
        <w:t>Proof: один крупный кейс против трёх компактных карточек.</w:t>
      </w:r>
    </w:p>
    <w:p>
      <w:pPr>
        <w:pStyle w:val="ListBullet"/>
        <w:spacing w:after="80" w:line="280" w:lineRule="auto"/>
      </w:pPr>
      <w:r>
        <w:t>Pricing: таблица против последовательных карточек.</w:t>
      </w:r>
    </w:p>
    <w:p>
      <w:pPr>
        <w:pStyle w:val="ListBullet"/>
        <w:spacing w:after="80" w:line="280" w:lineRule="auto"/>
      </w:pPr>
      <w:r>
        <w:t>Контакт: универсальное поле против выбора Telegram/телефон/email.</w:t>
      </w:r>
    </w:p>
    <w:p>
      <w:pPr>
        <w:pStyle w:val="Heading1"/>
      </w:pPr>
      <w:r>
        <w:t>16. Критерии приёмки</w:t>
      </w:r>
    </w:p>
    <w:p>
      <w:pPr>
        <w:pStyle w:val="ListBullet"/>
        <w:spacing w:after="80" w:line="280" w:lineRule="auto"/>
      </w:pPr>
      <w:r>
        <w:t>На каждой коммерческой странице CTA и смысл оффера видны в первом экране на 1366×768 и 390×844.</w:t>
      </w:r>
    </w:p>
    <w:p>
      <w:pPr>
        <w:pStyle w:val="ListBullet"/>
        <w:spacing w:after="80" w:line="280" w:lineRule="auto"/>
      </w:pPr>
      <w:r>
        <w:t>H1 не занимает более 45% первого экрана и не превышает заданное число строк.</w:t>
      </w:r>
    </w:p>
    <w:p>
      <w:pPr>
        <w:pStyle w:val="ListBullet"/>
        <w:spacing w:after="80" w:line="280" w:lineRule="auto"/>
      </w:pPr>
      <w:r>
        <w:t>Текстовая колонка не шире 760 px; основной текст не меньше 17 px на mobile.</w:t>
      </w:r>
    </w:p>
    <w:p>
      <w:pPr>
        <w:pStyle w:val="ListBullet"/>
        <w:spacing w:after="80" w:line="280" w:lineRule="auto"/>
      </w:pPr>
      <w:r>
        <w:t>Первый шаг формы содержит максимум два поля; ошибки сохраняют введённые данные.</w:t>
      </w:r>
    </w:p>
    <w:p>
      <w:pPr>
        <w:pStyle w:val="ListBullet"/>
        <w:spacing w:after="80" w:line="280" w:lineRule="auto"/>
      </w:pPr>
      <w:r>
        <w:t>Все формы и CTA измеряются единым набором событий с позицией и типом страницы.</w:t>
      </w:r>
    </w:p>
    <w:p>
      <w:pPr>
        <w:pStyle w:val="ListBullet"/>
        <w:spacing w:after="80" w:line="280" w:lineRule="auto"/>
      </w:pPr>
      <w:r>
        <w:t>Каждая услуга содержит уникальный артефакт, релевантный кейс, цену/срок и ограничения.</w:t>
      </w:r>
    </w:p>
    <w:p>
      <w:pPr>
        <w:pStyle w:val="ListBullet"/>
        <w:spacing w:after="80" w:line="280" w:lineRule="auto"/>
      </w:pPr>
      <w:r>
        <w:t>Каждый опубликованный результат имеет период, источник, baseline и границы атрибуции.</w:t>
      </w:r>
    </w:p>
    <w:p>
      <w:pPr>
        <w:pStyle w:val="ListBullet"/>
        <w:spacing w:after="80" w:line="280" w:lineRule="auto"/>
      </w:pPr>
      <w:r>
        <w:t>Клавиатурная навигация, focus, контраст, 200% zoom и prefers-reduced-motion проверены.</w:t>
      </w:r>
    </w:p>
    <w:p>
      <w:pPr>
        <w:pStyle w:val="ListBullet"/>
        <w:spacing w:after="80" w:line="280" w:lineRule="auto"/>
      </w:pPr>
      <w:r>
        <w:t>Нет горизонтального overflow на 320 px; sticky-элементы не закрывают формы и юридический текст.</w:t>
      </w:r>
    </w:p>
    <w:p>
      <w:pPr>
        <w:pStyle w:val="ListBullet"/>
        <w:spacing w:after="80" w:line="280" w:lineRule="auto"/>
      </w:pPr>
      <w:r>
        <w:t>Решения по дальнейшему сокращению/перестановке блоков принимаются после карт скролла и качества лидов, а не по вкусу.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F5EF"/>
          </w:tcPr>
          <w:p>
            <w:pPr>
              <w:spacing w:after="60"/>
            </w:pPr>
            <w:r>
              <w:rPr>
                <w:b/>
                <w:color w:val="14213D"/>
              </w:rPr>
              <w:t>Что даст максимальный эффект</w:t>
            </w:r>
          </w:p>
          <w:p>
            <w:pPr>
              <w:spacing w:after="0"/>
            </w:pPr>
            <w:r>
              <w:t>Сначала исправить первый экран, форму и доказательства. Затем — структуру длинных страниц и мобильную навигацию. Интерактивные элементы добавлять только после того, как базовый путь стал понятным и измеримым.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878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D6878"/>
        <w:sz w:val="16"/>
      </w:rPr>
      <w:t>SYNAPSEE · UX REDESIGN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4213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RL">
    <w:name w:val="URL"/>
    <w:pPr>
      <w:spacing w:after="80"/>
    </w:pPr>
    <w:rPr>
      <w:rFonts w:ascii="Calibri" w:hAnsi="Calibri"/>
      <w:color w:val="5D68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UX-концепция и план редизайна synapsee.ru</dc:title>
  <dc:subject>UX, CRO, читабельность, формы, структура страниц и план внедрения</dc:subject>
  <dc:creator>OpenAI · подготовлено для Synapsee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