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01dd767bc54d8d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Quarterly Report — Q3</w:t>
      </w:r>
    </w:p>
    <w:p>
      <w:r>
        <w:t>Revenue grew 18% over Q2, led by the EMEA and APAC regions.</w:t>
      </w:r>
    </w:p>
    <w:p>
      <w:r>
        <w:t>Revenue grew 12% over Q2, led by the EMEA region.</w:t>
      </w:r>
    </w:p>
    <w:p>
      <w:r>
        <w:t>Operating costs held flat at $4.2M.</w:t>
      </w:r>
    </w:p>
    <w:p>
      <w:r>
        <w:t>Headcount increased by 7 to support the expansion.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223aecbe4c48ee" /></Relationships>
</file>