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产品线研发流程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本文档将从流程图抽象出可执行、可复用的产品线（项目）研发流程，包含每一步的目的、参与者、输出物、入口/出口准则和常用模板要点，便于团队实施与审核。</w:t>
      </w:r>
    </w:p>
    <w:p>
      <w:p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目标：把图中流程转为结构化、可执行的研发过程文档，便于项目管理、质量控制与交付。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流程总览（高层）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客户需求收集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需求分析与固化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方案评估与立项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方案说明书编写与评审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方案确认与分解（开发/测试/发布计划）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开发（编码）与工程师自测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内部 QC（质量检查）与用户测试（交付测试版）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发布正式版本并交付客户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销售/售后协助结案</w:t>
      </w: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lang w:eastAsia="zh-CN"/>
        </w:rPr>
      </w:pP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1986915" cy="8227695"/>
            <wp:effectExtent l="0" t="0" r="13335" b="1905"/>
            <wp:docPr id="6" name="图片 6" descr="Untitled diagram _ Mermaid Chart-2025-08-22-02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 diagram _ Mermaid Chart-2025-08-22-025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参与角色（建议）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方案经理 / 项目经理（PM） — 负责需求梳理、方案、立项与交付管理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客户代表 — 提供需求、参与验收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销售人员 — 协助需求获取与合同/报价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测试工程师 / QC — 负责测试计划与执行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开发工程师（软件/硬件） — 实现方案并自测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技术文档/技术支持 — 编写用户手册、安装与维护文档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生产/运维（如适用） — 支持部署、上线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参与角色 — 详细角色表（来源：</w:t>
      </w:r>
      <w:r>
        <w:rPr>
          <w:rFonts w:hint="eastAsia" w:ascii="微软雅黑" w:hAnsi="微软雅黑" w:eastAsia="微软雅黑" w:cs="微软雅黑"/>
          <w:lang w:val="en-US" w:eastAsia="zh-CN"/>
        </w:rPr>
        <w:t>软件开发流程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相关备份</w:t>
      </w:r>
      <w:r>
        <w:rPr>
          <w:rFonts w:hint="eastAsia" w:ascii="微软雅黑" w:hAnsi="微软雅黑" w:eastAsia="微软雅黑" w:cs="微软雅黑"/>
        </w:rPr>
        <w:t>/技术研发流程说明V1.0 --Jony.</w:t>
      </w:r>
      <w:r>
        <w:rPr>
          <w:rFonts w:hint="eastAsia" w:ascii="微软雅黑" w:hAnsi="微软雅黑" w:eastAsia="微软雅黑" w:cs="微软雅黑"/>
          <w:lang w:val="en-US" w:eastAsia="zh-CN"/>
        </w:rPr>
        <w:t>docx</w:t>
      </w:r>
      <w:r>
        <w:rPr>
          <w:rFonts w:hint="eastAsia" w:ascii="微软雅黑" w:hAnsi="微软雅黑" w:eastAsia="微软雅黑" w:cs="微软雅黑"/>
        </w:rPr>
        <w:t>）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下面表格为从示例文档摘录的详细角色、职责与常见系统权限，供参考与模板化使用；如采纳请在表格旁注明对应职责与组织内的实际人选。</w:t>
      </w:r>
    </w:p>
    <w:tbl>
      <w:tblPr>
        <w:tblStyle w:val="8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390"/>
        <w:gridCol w:w="1826"/>
        <w:gridCol w:w="3446"/>
        <w:gridCol w:w="23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角色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主要职责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常见系统权限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系统管理员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负责系统维护和配置管理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系统配置管理；• 用户权限分配；• 设备连接与监管；• 数据库维护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所有模块访问；• 系统参数修改；• 用户管理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测试工程师 / QA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负责执行自动化测试与结果分析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执行自动化测试流程；• 测试参数设置；• 测试结果分析；• 异常上报与处置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测试配置与查看结果；• 启停测试任务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操作员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负责日常测试操作与现场执行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启动/停止测试；• 装/卸芯片与上电；• 监控测试状态；• 基本故障处理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测试操作界面；• 设备操作权限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客户代表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提供需求与验收意见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提交需求；• 参与验收与反馈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查看报告/参与验收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tblCellSpacing w:w="0" w:type="dxa"/>
          <w:jc w:val="center"/>
        </w:trPr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产品/项目经理 (PM)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负责需求、方案、立项与交付管理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需求评审与优先级决策；• 方案立项与资源协调；• 验收决策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• 立项与发布权限（视组织而定）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流程</w:t>
      </w:r>
      <w:r>
        <w:rPr>
          <w:rFonts w:hint="eastAsia" w:ascii="微软雅黑" w:hAnsi="微软雅黑" w:eastAsia="微软雅黑" w:cs="微软雅黑"/>
          <w:lang w:val="en-US" w:eastAsia="zh-CN"/>
        </w:rPr>
        <w:t>补充</w:t>
      </w:r>
      <w:r>
        <w:rPr>
          <w:rFonts w:hint="eastAsia" w:ascii="微软雅黑" w:hAnsi="微软雅黑" w:eastAsia="微软雅黑" w:cs="微软雅黑"/>
        </w:rPr>
        <w:t>（节选自 技术研发流程说明V1.0 --Jony，供参考）</w:t>
      </w:r>
    </w:p>
    <w:p>
      <w:pPr>
        <w:ind w:left="284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下列为示例文档中对测试/标定流程的动作级摘要，建议作为 详细流程与工作项 的补充描述或可直接引用为 SOP 草案的一部分，并注明来源。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Step1：将 DUT 放置到 Station-1，视需进行预冷准备；由硬件自动化系统执行放置动作。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Step2：将 DUT 从 Station-1 移动至 Station-3，进行多个压力/温度点的数据采集（各点多次采样取平均）。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Step3：在 Station-4 执行标定流程与部分软件测验（如标定写入、OTP 写入），并完成相关数据存储。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Step4：汇总并分析所有采样数据，依据结果产生最终判定（OK/NG）并记录到结果文件。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Step5：自动化系统根据 OK/NG 分 Bin 并完成后续分拣/处理动作。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(已摘录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保留原文来源供审阅）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详细流程与工作项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1) 客户需求收集</w:t>
      </w:r>
      <w:r>
        <w:rPr>
          <w:rFonts w:hint="eastAsia" w:ascii="微软雅黑" w:hAnsi="微软雅黑" w:eastAsia="微软雅黑" w:cs="微软雅黑"/>
          <w:lang w:val="en-US" w:eastAsia="zh-CN"/>
        </w:rPr>
        <w:t>--软件工程师无需参与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目标：获取客户的业务目标、功能需求、约束条件（成本、交付时间、合规等）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参与者：方案经理、客户、销售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输出物：需求收集记录（会议纪要、需求草稿、用户场景、优先级）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入口：客户表达意向或销售线索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退出/决策：需求是否足够完整？（是 -&gt; 继续；否 -&gt; 继续收集/澄清）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要点：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使用统一模板记录：需求来源、联系人、版本、优先级、验收标准。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2) 需求分析与固化</w:t>
      </w:r>
      <w:r>
        <w:rPr>
          <w:rFonts w:hint="eastAsia" w:ascii="微软雅黑" w:hAnsi="微软雅黑" w:eastAsia="微软雅黑" w:cs="微软雅黑"/>
          <w:lang w:val="en-US" w:eastAsia="zh-CN"/>
        </w:rPr>
        <w:t>--需参与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目标：把模糊需求具体化、可实现并评估风险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参加人员：方案经理、技术负责人、客户代表（视情况）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输出物：需求文档（SRS 或 需求清单）、风险与依赖清单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决策点：是否满足立项条件（业务价值、可实现性、资源可用）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验收准则示例：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每条需求应包含描述、使用场景、成功标准、不可接受情况、优先级和测试要点。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3) 方案评估与立项</w:t>
      </w:r>
      <w:r>
        <w:rPr>
          <w:rFonts w:hint="eastAsia" w:ascii="微软雅黑" w:hAnsi="微软雅黑" w:eastAsia="微软雅黑" w:cs="微软雅黑"/>
          <w:lang w:val="en-US" w:eastAsia="zh-CN"/>
        </w:rPr>
        <w:t>--需参与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目标：评估实现方案（技术路径、工期、成本）并决定是否立项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参加人员：方案经理、技术负责人、测试代表、销售/财务（如需）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输出物：方案评估报告（含预算、计划）、立项决议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决策门：立项（是/否）；若否，记录原因并回退需求或归档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输出应包含：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初步时间表、里程碑、需要的资源（人力、硬件、第三方）及关键风险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4) 方案说明书编写与评审</w:t>
      </w:r>
      <w:r>
        <w:rPr>
          <w:rFonts w:hint="eastAsia" w:ascii="微软雅黑" w:hAnsi="微软雅黑" w:eastAsia="微软雅黑" w:cs="微软雅黑"/>
          <w:lang w:val="en-US" w:eastAsia="zh-CN"/>
        </w:rPr>
        <w:t>--需参与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目标：把选定方案写成正式说明书，明确接口、模块划分、测试点和交付物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参加人员：方案经理（主编）、技术工程师、测试工程师、客户（评审）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输出物：方案说明书（包含需求映射、界面说明、API/协议、验收测试要点）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决策门：评审通过 -&gt; 固化方案；不通过 -&gt; 修改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评审注意：列出所有影响交付的技术风险与待确认项（Action Items）并分配责任人。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5) 立项后方案固化与计划细化</w:t>
      </w:r>
      <w:r>
        <w:rPr>
          <w:rFonts w:hint="eastAsia" w:ascii="微软雅黑" w:hAnsi="微软雅黑" w:eastAsia="微软雅黑" w:cs="微软雅黑"/>
          <w:lang w:val="en-US" w:eastAsia="zh-CN"/>
        </w:rPr>
        <w:t>--需参与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目标：拆解开发任务、编写详细计划（迭代/里程碑）、准备测试用例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输出物：开发任务列表、详细时间表、测试计划、部署/发布计划、配置管理策略（SVN/Git 分支策略）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工具/实践建议：Jira/Redmine 任务追踪，SVN/Git 做版本管理并建立发布分支。</w:t>
      </w:r>
    </w:p>
    <w:p>
      <w:pPr>
        <w:pStyle w:val="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6) 开发（编码）与工程师自测</w:t>
      </w:r>
      <w:r>
        <w:rPr>
          <w:rFonts w:hint="eastAsia" w:ascii="微软雅黑" w:hAnsi="微软雅黑" w:eastAsia="微软雅黑" w:cs="微软雅黑"/>
          <w:lang w:val="en-US" w:eastAsia="zh-CN"/>
        </w:rPr>
        <w:t>--需参与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目标：实现方案中定义的功能并完成自测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关键活动：模块编码、单元测试、代码审查（必要时PR/CR）、工程师自测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输出物：代码（提交到 repo）、自测报告、自动化测试（如有）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决策点：自测通过 -&gt; 准备提交 QC；自测不通过 -&gt; 返工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自测准则举例：所有功能点对应的验收用例通过，严重缺陷为0，中等缺陷&lt;=可接受阈值。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7) 内部 QC 与用户测试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阶段 A：内部 QC</w:t>
      </w:r>
    </w:p>
    <w:p>
      <w:pPr>
        <w:numPr>
          <w:ilvl w:val="1"/>
          <w:numId w:val="1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QC 执行：下载指定 SVN/Git 版本，执行完整测试用例（功能、回归、性能、兼容性）</w:t>
      </w:r>
    </w:p>
    <w:p>
      <w:pPr>
        <w:numPr>
          <w:ilvl w:val="1"/>
          <w:numId w:val="1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输出：QC 测试报告，缺陷清单</w:t>
      </w:r>
    </w:p>
    <w:p>
      <w:pPr>
        <w:numPr>
          <w:ilvl w:val="1"/>
          <w:numId w:val="1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决策：QC 通过 -&gt; 发布正式版本给客户；QC 未通过 -&gt; 修复并重测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阶段 B（如需）：发布测试版给客户</w:t>
      </w:r>
    </w:p>
    <w:p>
      <w:pPr>
        <w:numPr>
          <w:ilvl w:val="1"/>
          <w:numId w:val="1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用途：让客户在真实环境/场景中验证</w:t>
      </w:r>
    </w:p>
    <w:p>
      <w:pPr>
        <w:numPr>
          <w:ilvl w:val="1"/>
          <w:numId w:val="1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输出：客户测试反馈、变更请求</w:t>
      </w:r>
    </w:p>
    <w:p>
      <w:pPr>
        <w:numPr>
          <w:ilvl w:val="1"/>
          <w:numId w:val="1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决策：客户测试通过 -&gt; 进入正式发布；未通过 -&gt; 处理反馈并回到开发/测试循环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测试交付注意：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明确提供给 QC 和客户的版本号、编译说明、安装包、Release Notes、回滚方案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8) 发布正式版本并交付客户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目标：把通过 QC 验证的正式版本发布并交付客户，做好发布通知与支持。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输出：发布记录（版本号、时间、发布人员）、交付物（安装包、文档、用户手册）、发布报告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后续：跟踪客户问题、发布补丁（若需）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版本控制与路径规范（示例）：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主干/Trunk 保持稳定，开发在 Feature 分支，发布分支用于交付与维护，发布时记录版本号与 SVn/Git 路径。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9) 结案与销售协助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目标：确认客户验收、完成财务/合同相关结案工作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输出：结案文档、客户验收签字、售后支持计划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决策门与验收准则（Gate Criteria）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需求固化门：需求文档签字或邮件确认，含验收标准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立项门：通过方案评估、预算与时间评估、资源可用性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自测门：工程师自测报告通过（无阻塞缺陷）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QC 门：QC 测试通过，关键用例通过率达到预设阈值（示例：100%关键、&gt;=95%功能）</w:t>
      </w:r>
    </w:p>
    <w:p>
      <w:pPr>
        <w:numPr>
          <w:ilvl w:val="0"/>
          <w:numId w:val="19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客户验收门：客户测试通过或签字确认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常用模板与交付物示例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需求收集表（字段）：需求ID、描述、来源、优先级、验收标准、提交者、版本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方案说明书（结构）：目的、范围、系统架构、模块设计、接口说明、数据结构、测试点、部署说明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测试计划/用例（字段）：用例ID、标题、步骤、预期结果、优先级、实际结果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发布单/Release Notes：版本号、变更摘要、已知问题、回滚步骤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质量保证与风险控制要点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每次发布必须包含回归测试覆盖关键功能。自动化用例比人工更稳定，建议覆盖核心流程。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关键路径（如生产设备控制、数据保存、用户登录）应有冗余验证与监控。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对外接口、兼容性、安装/卸载流程必须在发布前验证。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风险管理：列出风险项（技术、资源、依赖、客户延迟），为每项指定缓解措施与责任人。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推荐的度量指标（可选）</w:t>
      </w:r>
    </w:p>
    <w:p>
      <w:pPr>
        <w:numPr>
          <w:ilvl w:val="0"/>
          <w:numId w:val="2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需求变更率、开发缺陷密度、平均修复时间 (MTTR)、发布延迟率、客户验收通过率。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常见问题与建议</w:t>
      </w:r>
      <w:bookmarkStart w:id="0" w:name="_GoBack"/>
      <w:bookmarkEnd w:id="0"/>
    </w:p>
    <w:p>
      <w:pPr>
        <w:numPr>
          <w:ilvl w:val="0"/>
          <w:numId w:val="2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问：如何快速定位测试不通过的原因？</w:t>
      </w:r>
    </w:p>
    <w:p>
      <w:pPr>
        <w:numPr>
          <w:ilvl w:val="0"/>
          <w:numId w:val="2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问：何时需要发测试版给客户？</w:t>
      </w:r>
    </w:p>
    <w:p>
      <w:pPr>
        <w:numPr>
          <w:ilvl w:val="0"/>
          <w:numId w:val="2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其他问题可补充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附录：简单流程图文本版（便于复制）</w:t>
      </w:r>
    </w:p>
    <w:p>
      <w:pPr>
        <w:numPr>
          <w:ilvl w:val="0"/>
          <w:numId w:val="24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收集需求 -&gt; 2. 需求分析 -&gt; 3. 方案评估 -&gt; 4. 立项 -&gt; 5. 编写方案说明书 -&gt; 6. 方案评审 -&gt; 7. 方案固化 -&gt; 8. 开发编码 -&gt; 9. 工程师自测 -&gt; 10. 提交 QC -&gt; 11. QC 测试 -&gt; 12a. QC 通过 -&gt; 发布正式版本 -&gt; 结案； 12b. QC 未通过 -&gt; 修复并回到开发/测试循环。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9">
    <w:nsid w:val="0248C179"/>
    <w:multiLevelType w:val="multilevel"/>
    <w:tmpl w:val="0248C17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0">
    <w:nsid w:val="03D62ECE"/>
    <w:multiLevelType w:val="multilevel"/>
    <w:tmpl w:val="03D62EC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1">
    <w:nsid w:val="0E640482"/>
    <w:multiLevelType w:val="multilevel"/>
    <w:tmpl w:val="0E64048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5">
    <w:nsid w:val="46A08BB8"/>
    <w:multiLevelType w:val="multilevel"/>
    <w:tmpl w:val="46A08BB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7">
    <w:nsid w:val="4D4DC07F"/>
    <w:multiLevelType w:val="multilevel"/>
    <w:tmpl w:val="4D4DC07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18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19">
    <w:nsid w:val="5A241D34"/>
    <w:multiLevelType w:val="multilevel"/>
    <w:tmpl w:val="5A241D3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0">
    <w:nsid w:val="60382F6E"/>
    <w:multiLevelType w:val="multilevel"/>
    <w:tmpl w:val="60382F6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1">
    <w:nsid w:val="72183CF9"/>
    <w:multiLevelType w:val="multilevel"/>
    <w:tmpl w:val="72183CF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abstractNum w:abstractNumId="22">
    <w:nsid w:val="77ECEA79"/>
    <w:multiLevelType w:val="multilevel"/>
    <w:tmpl w:val="77ECEA79"/>
    <w:lvl w:ilvl="0" w:tentative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</w:abstractNum>
  <w:abstractNum w:abstractNumId="23">
    <w:nsid w:val="7C246926"/>
    <w:multiLevelType w:val="multilevel"/>
    <w:tmpl w:val="7C24692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2"/>
  </w:num>
  <w:num w:numId="5">
    <w:abstractNumId w:val="10"/>
  </w:num>
  <w:num w:numId="6">
    <w:abstractNumId w:val="13"/>
  </w:num>
  <w:num w:numId="7">
    <w:abstractNumId w:val="21"/>
  </w:num>
  <w:num w:numId="8">
    <w:abstractNumId w:val="9"/>
  </w:num>
  <w:num w:numId="9">
    <w:abstractNumId w:val="0"/>
  </w:num>
  <w:num w:numId="10">
    <w:abstractNumId w:val="14"/>
  </w:num>
  <w:num w:numId="11">
    <w:abstractNumId w:val="19"/>
  </w:num>
  <w:num w:numId="12">
    <w:abstractNumId w:val="4"/>
  </w:num>
  <w:num w:numId="13">
    <w:abstractNumId w:val="17"/>
  </w:num>
  <w:num w:numId="14">
    <w:abstractNumId w:val="7"/>
  </w:num>
  <w:num w:numId="15">
    <w:abstractNumId w:val="12"/>
  </w:num>
  <w:num w:numId="16">
    <w:abstractNumId w:val="6"/>
  </w:num>
  <w:num w:numId="17">
    <w:abstractNumId w:val="5"/>
  </w:num>
  <w:num w:numId="18">
    <w:abstractNumId w:val="1"/>
  </w:num>
  <w:num w:numId="19">
    <w:abstractNumId w:val="16"/>
  </w:num>
  <w:num w:numId="20">
    <w:abstractNumId w:val="20"/>
  </w:num>
  <w:num w:numId="21">
    <w:abstractNumId w:val="11"/>
  </w:num>
  <w:num w:numId="22">
    <w:abstractNumId w:val="15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WI3OWJjYmNmMTU5ZjRkNDYwOGI5Nzc1M2FhYmE3YWEifQ=="/>
    <w:docVar w:name="KSO_WPS_MARK_KEY" w:val="fd7a0e5e-c836-4db7-a0bb-442df69ebb45"/>
  </w:docVars>
  <w:rsids>
    <w:rsidRoot w:val="00000000"/>
    <w:rsid w:val="7A007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3924</Words>
  <Characters>4658</Characters>
  <TotalTime>24</TotalTime>
  <ScaleCrop>false</ScaleCrop>
  <LinksUpToDate>false</LinksUpToDate>
  <CharactersWithSpaces>5101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2025-08-22T01:42:00Z</dcterms:created>
  <dc:creator>html-to-docx</dc:creator>
  <cp:keywords>html-to-docx</cp:keywords>
  <cp:lastModifiedBy>哽与喉.</cp:lastModifiedBy>
  <dcterms:modified xsi:type="dcterms:W3CDTF">2025-08-22T02:58:04Z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12CEE497F2D6464CB161A20583A6740E</vt:lpwstr>
  </property>
</Properties>
</file>