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06.0" w:type="dxa"/>
        <w:jc w:val="left"/>
        <w:tblLayout w:type="fixed"/>
        <w:tblLook w:val="0400"/>
      </w:tblPr>
      <w:tblGrid>
        <w:gridCol w:w="4153"/>
        <w:gridCol w:w="4153"/>
        <w:tblGridChange w:id="0">
          <w:tblGrid>
            <w:gridCol w:w="4153"/>
            <w:gridCol w:w="41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Geraldine Adeniyi, Justina Edema and Kolawole Odubanjo.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Date of Submission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02/10/2026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81"/>
        <w:gridCol w:w="4115"/>
        <w:tblGridChange w:id="0">
          <w:tblGrid>
            <w:gridCol w:w="4181"/>
            <w:gridCol w:w="411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548dd4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Strengths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Weaknesses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• Clear MVP purpose and defined scope focused on customer accounts, hospital information, communication, support and health-related content.</w:t>
              <w:br w:type="textWrapping"/>
              <w:t xml:space="preserve">• Strong patient-experience focus: the platform is intended to reduce inconvenience, improve communication and make hospital information more accessible.</w:t>
              <w:br w:type="textWrapping"/>
              <w:t xml:space="preserve">• Secure account functionality is explicitly required, including sign-up, sign-in, password reset, profile management and secure access.</w:t>
              <w:br w:type="textWrapping"/>
              <w:t xml:space="preserve">• Defined governance and quality controls include requirements prioritisation, continuous QA, security/privacy/accessibility considerations, UAT and formal stakeholder approval.</w:t>
              <w:br w:type="textWrapping"/>
              <w:t xml:space="preserve">• Hospital subject-matter experts are identified to provide and review healthcare, operational, legal, policy and service information.</w:t>
              <w:br w:type="textWrapping"/>
              <w:t xml:space="preserve">• Clear success criteria provide measurable delivery outcomes, including completion within 8 weeks and within the £120,000 budget.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• An 8-week delivery window and £120,000 budget create significant pressure to deliver quality while covering requirements, design, development, testing, UAT and approval.</w:t>
              <w:br w:type="textWrapping"/>
              <w:t xml:space="preserve">• The MVP depends on timely stakeholder feedback, approvals and accurate hospital information; delays could directly affect delivery.</w:t>
              <w:br w:type="textWrapping"/>
              <w:t xml:space="preserve">• Requirements are assumed to remain reasonably stable, so significant late changes could create scope, schedule and cost pressure.</w:t>
              <w:br w:type="textWrapping"/>
              <w:t xml:space="preserve">• The project team controls only its allocated MVP features; dependencies on other teams may limit the end-to-end patient journey.</w:t>
              <w:br w:type="textWrapping"/>
              <w:t xml:space="preserve">• Some operational capabilities are outside this team's scope, including doctor booking, inventory management, prescription validation and online payment processing.</w:t>
              <w:br w:type="textWrapping"/>
              <w:t xml:space="preserve">• Live chat/customer support depends on authorised hospital personnel being available to manage enquiries.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548dd4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Opportunities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Threats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• Create a more convenient digital access point for patients by reducing reliance on in-person enquiries and improving access to hospital information.</w:t>
              <w:br w:type="textWrapping"/>
              <w:t xml:space="preserve">• Increase visibility and awareness of hospital services through clear About Us, service, mission and vision content.</w:t>
              <w:br w:type="textWrapping"/>
              <w:t xml:space="preserve">• Improve the quality and consistency of patient communication through structured Contact Us channels and routing to appropriate hospital contacts.</w:t>
              <w:br w:type="textWrapping"/>
              <w:t xml:space="preserve">• Use health-related content, blogs and communications subscriptions to support patient education and ongoing engagement.</w:t>
              <w:br w:type="textWrapping"/>
              <w:t xml:space="preserve">• Provide a foundation for the wider digital healthcare platform and future phases, including capabilities being delivered by other teams.</w:t>
              <w:br w:type="textWrapping"/>
              <w:t xml:space="preserve">• Support the wider programme's revenue-generation objectives as the broader platform develops, while recognising that this MVP has a limited direct commercial scope.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• UK healthcare, data protection, privacy, accessibility and other regulatory requirements may introduce compliance risks if not addressed throughout delivery.</w:t>
              <w:br w:type="textWrapping"/>
              <w:t xml:space="preserve">• Security or privacy weaknesses in customer accounts or contact information could undermine trust and create organisational risk.</w:t>
              <w:br w:type="textWrapping"/>
              <w:t xml:space="preserve">• Inaccurate or outdated hospital, policy or health-related content could reduce confidence and lead to poor patient experiences.</w:t>
              <w:br w:type="textWrapping"/>
              <w:t xml:space="preserve">• Limited stakeholder availability or delayed approvals could jeopardise the 8-week delivery timeframe.</w:t>
              <w:br w:type="textWrapping"/>
              <w:t xml:space="preserve">• Dependencies on other project teams for out-of-scope capabilities could delay or fragment the wider digital patient journey.</w:t>
              <w:br w:type="textWrapping"/>
              <w:t xml:space="preserve">• Scope changes during the short MVP window could increase delivery risk, particularly where they require additional development, testing or governance approval.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17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SWOT Analysis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The SWOT indicates that the Health Link MVP has a clear business purpose, defined scope, strong governance expectations and a direct focus on improving patient communication and access to information. Its main internal constraints are the eight-week timeframe, £120,000 budget, reliance on stakeholder input and the fact that several end-to-end digital healthcare capabilities sit outside this team's scope. Externally, the MVP can improve patient access, service visibility, communication and engagement and provide a foundation for later phases of the wider digital platform. The principal external risks are regulatory and data-protection obligations, security/privacy concerns, content accuracy, stakeholder availability and dependencies on other delivery teams. Delivery should therefore prioritise agreed MVP scope, early stakeholder decisions, SME review of content, security/privacy/accessibility, dependency management and timely UAT and approval.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276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  <w:t xml:space="preserve">Almond Careers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Georgia" w:cs="Georgia" w:eastAsia="Georgia" w:hAnsi="Georgia"/>
        <w:b w:val="1"/>
        <w:bCs w:val="1"/>
        <w:i w:val="0"/>
        <w:iCs w:val="0"/>
        <w:smallCaps w:val="0"/>
        <w:strike w:val="0"/>
        <w:color w:val="0000ff"/>
        <w:sz w:val="48"/>
        <w:szCs w:val="48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1"/>
        <w:bCs w:val="1"/>
        <w:i w:val="0"/>
        <w:iCs w:val="0"/>
        <w:smallCaps w:val="0"/>
        <w:strike w:val="0"/>
        <w:color w:val="0000ff"/>
        <w:sz w:val="48"/>
        <w:szCs w:val="48"/>
        <w:u w:val="none"/>
        <w:shd w:fill="auto" w:val="clear"/>
        <w:vertAlign w:val="baseline"/>
        <w:rtl w:val="0"/>
      </w:rPr>
      <w:t xml:space="preserve">         SWOT Analysis Document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-323849</wp:posOffset>
          </wp:positionV>
          <wp:extent cx="1013460" cy="622300"/>
          <wp:effectExtent b="0" l="0" r="0" t="0"/>
          <wp:wrapNone/>
          <wp:docPr descr="Untitled:Users:Jess:Desktop:Almond Careers Promo:Artwork:Logo:AC_logo_high res 9360x5746pixels.jpg" id="4098" name="image1.png"/>
          <a:graphic>
            <a:graphicData uri="http://schemas.openxmlformats.org/drawingml/2006/picture">
              <pic:pic>
                <pic:nvPicPr>
                  <pic:cNvPr descr="Untitled:Users:Jess:Desktop:Almond Careers Promo:Artwork:Logo:AC_logo_high res 9360x5746pixels.jp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3460" cy="6223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pPr>
      <w:spacing w:after="100" w:afterAutospacing="1" w:before="100" w:beforeAutospacing="1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ListParagraph">
    <w:name w:val="List Paragraph"/>
    <w:basedOn w:val="Normal"/>
    <w:uiPriority w:val="34"/>
    <w:qFormat w:val="1"/>
    <w:rsid w:val="00024EC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vYPM8dWUiM7Qd/1jyQBW8ND/dA==">CgMxLjA4AHIhMXFOTkY5WHoyc0tuOExDRi11aEMxbXFKMGhSenRlRHQy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2026-09-29T15:03:00Z</dcterms:created>
  <dc:creator>Ian Pratt</dc:creator>
</cp:coreProperties>
</file>