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1440" w:after="120"/>
      </w:pPr>
      <w:r>
        <w:t>ShiftReadiness</w:t>
      </w:r>
    </w:p>
    <w:p>
      <w:pPr>
        <w:pStyle w:val="Subtitle"/>
        <w:spacing w:before="0" w:after="120"/>
      </w:pPr>
      <w:r>
        <w:t>Executive Summary - Current State</w:t>
      </w:r>
    </w:p>
    <w:p>
      <w:pPr>
        <w:pStyle w:val="Subtitle"/>
        <w:spacing w:before="0" w:after="120"/>
      </w:pPr>
      <w:r>
        <w:t>VMware -&gt; Proxmox Readiness Assessment</w:t>
      </w:r>
    </w:p>
    <w:p>
      <w:pPr>
        <w:jc w:val="center"/>
        <w:spacing w:before="0" w:after="120"/>
      </w:pPr>
      <w:r>
        <w:rPr>
          <w:b/>
          <w:color w:val="1F4E79"/>
        </w:rPr>
        <w:t>Version v1</w:t>
      </w:r>
    </w:p>
    <w:p>
      <w:pPr>
        <w:jc w:val="center"/>
        <w:spacing w:before="0" w:after="120"/>
      </w:pPr>
      <w:r>
        <w:t>Generated: 2026-05-29</w:t>
      </w:r>
    </w:p>
    <w:p>
      <w:pPr>
        <w:jc w:val="center"/>
        <w:spacing w:before="0" w:after="120"/>
      </w:pPr>
      <w:r>
        <w:rPr>
          <w:b/>
          <w:color w:val="12355B"/>
        </w:rPr>
        <w:t>Controlled Production Release Closed</w:t>
      </w:r>
    </w:p>
    <w:p>
      <w:pPr>
        <w:jc w:val="center"/>
        <w:spacing w:before="0" w:after="120"/>
      </w:pPr>
      <w:r>
        <w:rPr>
          <w:b/>
          <w:color w:val="8A3B12"/>
        </w:rPr>
        <w:t>Full Public Launch Not Declared</w:t>
      </w:r>
    </w:p>
    <w:tbl>
      <w:tblPr>
        <w:tblBorders>
          <w:top w:val="single" w:sz="8" w:color="1F4E79"/>
          <w:left w:val="single" w:sz="8" w:color="1F4E79"/>
          <w:bottom w:val="single" w:sz="8" w:color="1F4E79"/>
          <w:right w:val="single" w:sz="8" w:color="1F4E79"/>
        </w:tblBorders>
      </w:tblPr>
      <w:tblGrid>
        <w:gridCol w:w="9360"/>
      </w:tblGrid>
      <w:tr>
        <w:tc>
          <w:tcPr>
            <w:tcW w:w="9360" w:type="dxa"/>
            <w:shd w:fill="F5F8FC"/>
            <w:tcMar>
              <w:top w:w="160" w:type="dxa"/>
              <w:left w:w="160" w:type="dxa"/>
              <w:bottom w:w="120" w:type="dxa"/>
              <w:right w:w="160" w:type="dxa"/>
            </w:tcMar>
          </w:tcPr>
          <w:p>
            <w:pPr>
              <w:pStyle w:val="Heading3"/>
              <w:spacing w:before="0" w:after="60"/>
            </w:pPr>
            <w:r>
              <w:t>Purpose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t>Internal onboarding and product alignment.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t>Review material for Antigravity, UX, Gemini, partners or consultants.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t>Reference for technical architecture, operations, release status and roadmap.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t>Shareable current-state summary for partners, UX reviewers and consultants.</w:t>
            </w:r>
          </w:p>
        </w:tc>
      </w:tr>
    </w:tbl>
    <w:p>
      <w:pPr>
        <w:spacing w:before="0" w:after="120"/>
      </w:pPr>
      <w:r>
        <w:t/>
      </w:r>
    </w:p>
    <w:p>
      <w:r>
        <w:br w:type="page"/>
      </w:r>
    </w:p>
    <w:p>
      <w:pPr>
        <w:pStyle w:val="Heading1"/>
        <w:spacing w:before="280" w:after="120"/>
      </w:pPr>
      <w:r>
        <w:t>Executive Summary</w:t>
      </w:r>
    </w:p>
    <w:p>
      <w:pPr>
        <w:spacing w:before="0" w:after="120"/>
      </w:pPr>
      <w:r>
        <w:t>ShiftReadiness is an evidence-based VMware to Proxmox readiness assessment platform. It turns RVTools inventory, structured questions, optional client context, licensing cost exposure and report/PDF output into a professional migration-readiness package.</w:t>
      </w:r>
    </w:p>
    <w:p>
      <w:pPr>
        <w:spacing w:before="0" w:after="120"/>
      </w:pPr>
      <w:r>
        <w:t>The platform helps teams know what can break before migration. It does not execute migrations, promise zero downtime or treat incomplete evidence as certainty.</w:t>
      </w:r>
    </w:p>
    <w:p>
      <w:pPr>
        <w:pStyle w:val="Heading1"/>
        <w:spacing w:before="280" w:after="120"/>
      </w:pPr>
      <w:r>
        <w:t>Current Status</w:t>
      </w:r>
    </w:p>
    <w:tbl>
      <w:tblPr>
        <w:tblW w:w="0" w:type="auto"/>
        <w:tblBorders>
          <w:top w:val="single" w:sz="4" w:color="C9D4E2"/>
          <w:left w:val="single" w:sz="4" w:color="C9D4E2"/>
          <w:bottom w:val="single" w:sz="4" w:color="C9D4E2"/>
          <w:right w:val="single" w:sz="4" w:color="C9D4E2"/>
          <w:insideH w:val="single" w:sz="4" w:color="C9D4E2"/>
          <w:insideV w:val="single" w:sz="4" w:color="C9D4E2"/>
        </w:tblBorders>
      </w:tblPr>
      <w:tblGrid>
        <w:gridCol w:w="3300"/>
        <w:gridCol w:w="6060"/>
      </w:tblGrid>
      <w:tr>
        <w:tc>
          <w:tcPr>
            <w:tcW w:w="3300" w:type="dxa"/>
            <w:shd w:fill="E8EEF5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rPr>
                <w:b/>
                <w:color w:val="1F4E79"/>
              </w:rPr>
              <w:t>Metric</w:t>
            </w:r>
          </w:p>
        </w:tc>
        <w:tc>
          <w:tcPr>
            <w:tcW w:w="6060" w:type="dxa"/>
            <w:shd w:fill="E8EEF5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rPr>
                <w:b/>
                <w:color w:val="1F4E79"/>
              </w:rPr>
              <w:t>Current State</w:t>
            </w:r>
          </w:p>
        </w:tc>
      </w:tr>
      <w:tr>
        <w:tc>
          <w:tcPr>
            <w:tcW w:w="3300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t>Product functional readiness</w:t>
            </w:r>
          </w:p>
        </w:tc>
        <w:tc>
          <w:tcPr>
            <w:tcW w:w="6060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t>99.8-99.9%</w:t>
            </w:r>
          </w:p>
        </w:tc>
      </w:tr>
      <w:tr>
        <w:tc>
          <w:tcPr>
            <w:tcW w:w="3300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t>Production readiness</w:t>
            </w:r>
          </w:p>
        </w:tc>
        <w:tc>
          <w:tcPr>
            <w:tcW w:w="6060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t>97-98%</w:t>
            </w:r>
          </w:p>
        </w:tc>
      </w:tr>
      <w:tr>
        <w:tc>
          <w:tcPr>
            <w:tcW w:w="3300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t>Release confidence</w:t>
            </w:r>
          </w:p>
        </w:tc>
        <w:tc>
          <w:tcPr>
            <w:tcW w:w="6060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t>97-98%</w:t>
            </w:r>
          </w:p>
        </w:tc>
      </w:tr>
      <w:tr>
        <w:tc>
          <w:tcPr>
            <w:tcW w:w="3300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t>Controlled production release</w:t>
            </w:r>
          </w:p>
        </w:tc>
        <w:tc>
          <w:tcPr>
            <w:tcW w:w="6060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t>Closed operationally</w:t>
            </w:r>
          </w:p>
        </w:tc>
      </w:tr>
      <w:tr>
        <w:tc>
          <w:tcPr>
            <w:tcW w:w="3300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t>Full public launch</w:t>
            </w:r>
          </w:p>
        </w:tc>
        <w:tc>
          <w:tcPr>
            <w:tcW w:w="6060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TableText"/>
              <w:spacing w:before="0" w:after="0"/>
            </w:pPr>
            <w:r>
              <w:t>Not declared</w:t>
            </w:r>
          </w:p>
        </w:tc>
      </w:tr>
    </w:tbl>
    <w:p>
      <w:pPr>
        <w:spacing w:before="0" w:after="120"/>
      </w:pPr>
      <w:r>
        <w:t/>
      </w:r>
    </w:p>
    <w:p>
      <w:pPr>
        <w:pStyle w:val="Heading1"/>
        <w:spacing w:before="280" w:after="120"/>
      </w:pPr>
      <w:r>
        <w:t>Implemented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t>Core assessment, dashboard, completion center and report generation.</w:t>
      </w:r>
    </w:p>
    <w:p>
      <w:pPr>
        <w:pStyle w:val="ListParagraph"/>
        <w:numPr>
          <w:ilvl w:val="0"/>
          <w:numId w:val="1"/>
        </w:numPr>
        <w:spacing w:after="80"/>
      </w:pPr>
      <w:r>
        <w:t>RVTools upload/parsing and parsed inventory model.</w:t>
      </w:r>
    </w:p>
    <w:p>
      <w:pPr>
        <w:pStyle w:val="ListParagraph"/>
        <w:numPr>
          <w:ilvl w:val="0"/>
          <w:numId w:val="1"/>
        </w:numPr>
        <w:spacing w:after="80"/>
      </w:pPr>
      <w:r>
        <w:t>Licensing &amp; Cost Exposure Analysis with admin pricing intelligence and PDF/report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t>Client Context &amp; Additional Evidence with free-text narrative, plan limits and evidence classification.</w:t>
      </w:r>
    </w:p>
    <w:p>
      <w:pPr>
        <w:pStyle w:val="ListParagraph"/>
        <w:numPr>
          <w:ilvl w:val="0"/>
          <w:numId w:val="1"/>
        </w:numPr>
        <w:spacing w:after="80"/>
      </w:pPr>
      <w:r>
        <w:t>Customer Context Intelligence AI layer with structured output, safety flags and report/PDF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t>Admin dashboard, pricing admin, audit events, AI usage/budget safeguards and release documentation.</w:t>
      </w:r>
    </w:p>
    <w:p>
      <w:pPr>
        <w:pStyle w:val="Heading1"/>
        <w:spacing w:before="280" w:after="120"/>
      </w:pPr>
      <w:r>
        <w:t>What Is Ready</w:t>
      </w:r>
    </w:p>
    <w:p>
      <w:pPr>
        <w:pStyle w:val="ListParagraph"/>
        <w:numPr>
          <w:ilvl w:val="0"/>
          <w:numId w:val="1"/>
        </w:numPr>
        <w:spacing w:after="80"/>
      </w:pPr>
      <w:r>
        <w:t>Demo and controlled beta usage.</w:t>
      </w:r>
    </w:p>
    <w:p>
      <w:pPr>
        <w:pStyle w:val="ListParagraph"/>
        <w:numPr>
          <w:ilvl w:val="0"/>
          <w:numId w:val="1"/>
        </w:numPr>
        <w:spacing w:after="80"/>
      </w:pPr>
      <w:r>
        <w:t>Public routes and controlled production release baseline.</w:t>
      </w:r>
    </w:p>
    <w:p>
      <w:pPr>
        <w:pStyle w:val="ListParagraph"/>
        <w:numPr>
          <w:ilvl w:val="0"/>
          <w:numId w:val="1"/>
        </w:numPr>
        <w:spacing w:after="80"/>
      </w:pPr>
      <w:r>
        <w:t>Professional report preview and PDF flow with conservative disclaimers.</w:t>
      </w:r>
    </w:p>
    <w:p>
      <w:pPr>
        <w:pStyle w:val="ListParagraph"/>
        <w:numPr>
          <w:ilvl w:val="0"/>
          <w:numId w:val="1"/>
        </w:numPr>
        <w:spacing w:after="80"/>
      </w:pPr>
      <w:r>
        <w:t>Operational documentation for release, smoke, rollback and onboarding.</w:t>
      </w:r>
    </w:p>
    <w:p>
      <w:pPr>
        <w:pStyle w:val="Heading1"/>
        <w:spacing w:before="280" w:after="120"/>
      </w:pPr>
      <w:r>
        <w:t>Remaining Risks</w:t>
      </w:r>
    </w:p>
    <w:p>
      <w:pPr>
        <w:pStyle w:val="ListParagraph"/>
        <w:numPr>
          <w:ilvl w:val="0"/>
          <w:numId w:val="1"/>
        </w:numPr>
        <w:spacing w:after="80"/>
      </w:pPr>
      <w:r>
        <w:t>Real pricing approval/population remains pending.</w:t>
      </w:r>
    </w:p>
    <w:p>
      <w:pPr>
        <w:pStyle w:val="ListParagraph"/>
        <w:numPr>
          <w:ilvl w:val="0"/>
          <w:numId w:val="1"/>
        </w:numPr>
        <w:spacing w:after="80"/>
      </w:pPr>
      <w:r>
        <w:t>Deeper QA with real customer datasets remains future work.</w:t>
      </w:r>
    </w:p>
    <w:p>
      <w:pPr>
        <w:pStyle w:val="ListParagraph"/>
        <w:numPr>
          <w:ilvl w:val="0"/>
          <w:numId w:val="1"/>
        </w:numPr>
        <w:spacing w:after="80"/>
      </w:pPr>
      <w:r>
        <w:t>Prompt tuning with real cases remains future work.</w:t>
      </w:r>
    </w:p>
    <w:p>
      <w:pPr>
        <w:pStyle w:val="ListParagraph"/>
        <w:numPr>
          <w:ilvl w:val="0"/>
          <w:numId w:val="1"/>
        </w:numPr>
        <w:spacing w:after="80"/>
      </w:pPr>
      <w:r>
        <w:t>PDF visual refinement may be needed after real customer usage.</w:t>
      </w:r>
    </w:p>
    <w:p>
      <w:pPr>
        <w:pStyle w:val="ListParagraph"/>
        <w:numPr>
          <w:ilvl w:val="0"/>
          <w:numId w:val="1"/>
        </w:numPr>
        <w:spacing w:after="80"/>
      </w:pPr>
      <w:r>
        <w:t>Full public launch requires explicit business decision.</w:t>
      </w:r>
    </w:p>
    <w:p>
      <w:pPr>
        <w:pStyle w:val="Heading1"/>
        <w:spacing w:before="280" w:after="120"/>
      </w:pPr>
      <w:r>
        <w:t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>Use the master manual for onboarding, UX/Antigravity review and partner alignment.</w:t>
      </w:r>
    </w:p>
    <w:p>
      <w:pPr>
        <w:pStyle w:val="ListParagraph"/>
        <w:numPr>
          <w:ilvl w:val="0"/>
          <w:numId w:val="2"/>
        </w:numPr>
        <w:spacing w:after="80"/>
      </w:pPr>
      <w:r>
        <w:t>Prepare a controlled beta/demo package with approved sample data.</w:t>
      </w:r>
    </w:p>
    <w:p>
      <w:pPr>
        <w:pStyle w:val="ListParagraph"/>
        <w:numPr>
          <w:ilvl w:val="0"/>
          <w:numId w:val="2"/>
        </w:numPr>
        <w:spacing w:after="80"/>
      </w:pPr>
      <w:r>
        <w:t>Approve or populate real pricing data before relying on financial analysis in customer-facing sales motions.</w:t>
      </w:r>
    </w:p>
    <w:p>
      <w:pPr>
        <w:pStyle w:val="ListParagraph"/>
        <w:numPr>
          <w:ilvl w:val="0"/>
          <w:numId w:val="2"/>
        </w:numPr>
        <w:spacing w:after="80"/>
      </w:pPr>
      <w:r>
        <w:t>Schedule real-report visual QA and prompt tuning after the first controlled customer cases.</w:t>
      </w:r>
    </w:p>
    <w:sectPr>
      <w:headerReference w:type="default" r:id="rIdHeader1"/>
      <w:footerReference w:type="default" r:id="rIdFooter1"/>
      <w:pgSz w:w="12240" w:h="15840"/>
      <w:pgMar w:top="1080" w:right="1080" w:bottom="1080" w:left="1080" w:header="540" w:footer="54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before="0" w:after="0"/>
    </w:pPr>
    <w:r>
      <w:t>ShiftReadiness Master Manual v1 - Controlled Release Closed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Footer"/>
      <w:spacing w:before="0" w:after="0"/>
    </w:pPr>
    <w:r>
      <w:t>ShiftReadiness - VMware -&gt; Proxmox Readiness Assessment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720" w:hanging="360"/>
      </w:pPr>
    </w:lvl>
  </w:abstractNum>
  <w:num w:numId="1">
    <w:abstractNumId w:val="0"/>
  </w: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222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240" w:after="160"/>
    </w:pPr>
    <w:rPr>
      <w:b/>
      <w:color w:val="12355B"/>
      <w:sz w:val="48"/>
      <w:szCs w:val="48"/>
    </w:rPr>
  </w:style>
  <w:style w:type="paragraph" w:styleId="Subtitle">
    <w:name w:val="Subtitle"/>
    <w:basedOn w:val="Normal"/>
    <w:qFormat/>
    <w:pPr>
      <w:jc w:val="center"/>
      <w:spacing w:after="160"/>
    </w:pPr>
    <w:rPr>
      <w:color w:val="4B5F73"/>
      <w:sz w:val="26"/>
      <w:szCs w:val="26"/>
    </w:rPr>
  </w:style>
  <w:style w:type="paragraph" w:styleId="Heading1">
    <w:name w:val="heading 1"/>
    <w:basedOn w:val="Normal"/>
    <w:qFormat/>
    <w:pPr>
      <w:keepNext/>
      <w:spacing w:before="320" w:after="140"/>
      <w:outlineLvl w:val="0"/>
    </w:pPr>
    <w:rPr>
      <w:b/>
      <w:color w:val="12355B"/>
      <w:sz w:val="30"/>
      <w:szCs w:val="30"/>
    </w:rPr>
  </w:style>
  <w:style w:type="paragraph" w:styleId="Heading2">
    <w:name w:val="heading 2"/>
    <w:basedOn w:val="Normal"/>
    <w:qFormat/>
    <w:pPr>
      <w:keepNext/>
      <w:spacing w:before="220" w:after="100"/>
      <w:outlineLvl w:val="1"/>
    </w:pPr>
    <w:rPr>
      <w:b/>
      <w:color w:val="1F4E79"/>
      <w:sz w:val="24"/>
      <w:szCs w:val="24"/>
    </w:rPr>
  </w:style>
  <w:style w:type="paragraph" w:styleId="Heading3">
    <w:name w:val="heading 3"/>
    <w:basedOn w:val="Normal"/>
    <w:qFormat/>
    <w:pPr>
      <w:keepNext/>
      <w:spacing w:before="160" w:after="80"/>
      <w:outlineLvl w:val="2"/>
    </w:pPr>
    <w:rPr>
      <w:b/>
      <w:color w:val="2F5F8F"/>
      <w:sz w:val="22"/>
      <w:szCs w:val="22"/>
    </w:rPr>
  </w:style>
  <w:style w:type="paragraph" w:styleId="ListParagraph">
    <w:name w:val="List Paragraph"/>
    <w:basedOn w:val="Normal"/>
    <w:pPr>
      <w:ind w:left="720" w:hanging="360"/>
    </w:pPr>
  </w:style>
  <w:style w:type="paragraph" w:styleId="TableText">
    <w:name w:val="Table Text"/>
    <w:basedOn w:val="Normal"/>
    <w:pPr>
      <w:spacing w:after="0" w:line="240" w:lineRule="auto"/>
    </w:pPr>
    <w:rPr>
      <w:sz w:val="19"/>
      <w:szCs w:val="19"/>
    </w:rPr>
  </w:style>
  <w:style w:type="paragraph" w:styleId="Footer">
    <w:name w:val="Footer"/>
    <w:basedOn w:val="Normal"/>
    <w:pPr>
      <w:jc w:val="center"/>
    </w:pPr>
    <w:rPr>
      <w:color w:val="687686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OpenAI Codex OOXML Exporter</Application>
  <Company>Infrashift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ShiftReadiness Executive Summary Current State v1</dc:title>
  <dc:subject>ShiftReadiness documentation export</dc:subject>
  <dc:creator>OpenAI Codex</dc:creator>
  <cp:lastModifiedBy>OpenAI Codex</cp:lastModifiedBy>
  <dcterms:created xsi:type="dcterms:W3CDTF">2026-05-29T22:12:38Z</dcterms:created>
  <dcterms:modified xsi:type="dcterms:W3CDTF">2026-05-29T22:12:38Z</dcterms:modified>
</cp:coreProperties>
</file>