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before="1440" w:after="120"/>
      </w:pPr>
      <w:r>
        <w:t>ShiftReadiness</w:t>
      </w:r>
    </w:p>
    <w:p>
      <w:pPr>
        <w:pStyle w:val="Subtitle"/>
        <w:spacing w:before="0" w:after="120"/>
      </w:pPr>
      <w:r>
        <w:t>Master Product &amp; Technical Manual</w:t>
      </w:r>
    </w:p>
    <w:p>
      <w:pPr>
        <w:pStyle w:val="Subtitle"/>
        <w:spacing w:before="0" w:after="120"/>
      </w:pPr>
      <w:r>
        <w:t>VMware -&gt; Proxmox Readiness Assessment</w:t>
      </w:r>
    </w:p>
    <w:p>
      <w:pPr>
        <w:jc w:val="center"/>
        <w:spacing w:before="0" w:after="120"/>
      </w:pPr>
      <w:r>
        <w:rPr>
          <w:b/>
          <w:color w:val="1F4E79"/>
        </w:rPr>
        <w:t>Version v1</w:t>
      </w:r>
    </w:p>
    <w:p>
      <w:pPr>
        <w:jc w:val="center"/>
        <w:spacing w:before="0" w:after="120"/>
      </w:pPr>
      <w:r>
        <w:t>Generated: 2026-05-29</w:t>
      </w:r>
    </w:p>
    <w:p>
      <w:pPr>
        <w:jc w:val="center"/>
        <w:spacing w:before="0" w:after="120"/>
      </w:pPr>
      <w:r>
        <w:rPr>
          <w:b/>
          <w:color w:val="12355B"/>
        </w:rPr>
        <w:t>Controlled Production Release Closed</w:t>
      </w:r>
    </w:p>
    <w:p>
      <w:pPr>
        <w:jc w:val="center"/>
        <w:spacing w:before="0" w:after="120"/>
      </w:pPr>
      <w:r>
        <w:rPr>
          <w:b/>
          <w:color w:val="8A3B12"/>
        </w:rPr>
        <w:t>Full Public Launch Not Declared</w:t>
      </w:r>
    </w:p>
    <w:tbl>
      <w:tblPr>
        <w:tblBorders>
          <w:top w:val="single" w:sz="8" w:color="1F4E79"/>
          <w:left w:val="single" w:sz="8" w:color="1F4E79"/>
          <w:bottom w:val="single" w:sz="8" w:color="1F4E79"/>
          <w:right w:val="single" w:sz="8" w:color="1F4E79"/>
        </w:tblBorders>
      </w:tblPr>
      <w:tblGrid>
        <w:gridCol w:w="9360"/>
      </w:tblGrid>
      <w:tr>
        <w:tc>
          <w:tcPr>
            <w:tcW w:w="9360" w:type="dxa"/>
            <w:shd w:fill="F5F8FC"/>
            <w:tcMar>
              <w:top w:w="160" w:type="dxa"/>
              <w:left w:w="160" w:type="dxa"/>
              <w:bottom w:w="120" w:type="dxa"/>
              <w:right w:w="160" w:type="dxa"/>
            </w:tcMar>
          </w:tcPr>
          <w:p>
            <w:pPr>
              <w:pStyle w:val="Heading3"/>
              <w:spacing w:before="0" w:after="60"/>
            </w:pPr>
            <w:r>
              <w:t>Purpose</w:t>
            </w:r>
          </w:p>
          <w:p>
            <w:pPr>
              <w:pStyle w:val="ListParagraph"/>
              <w:numPr>
                <w:ilvl w:val="0"/>
                <w:numId w:val="1"/>
              </w:numPr>
              <w:spacing w:after="80"/>
            </w:pPr>
            <w:r>
              <w:t>Internal onboarding and product alignment.</w:t>
            </w:r>
          </w:p>
          <w:p>
            <w:pPr>
              <w:pStyle w:val="ListParagraph"/>
              <w:numPr>
                <w:ilvl w:val="0"/>
                <w:numId w:val="1"/>
              </w:numPr>
              <w:spacing w:after="80"/>
            </w:pPr>
            <w:r>
              <w:t>Review material for Antigravity, UX, Gemini, partners or consultants.</w:t>
            </w:r>
          </w:p>
          <w:p>
            <w:pPr>
              <w:pStyle w:val="ListParagraph"/>
              <w:numPr>
                <w:ilvl w:val="0"/>
                <w:numId w:val="1"/>
              </w:numPr>
              <w:spacing w:after="80"/>
            </w:pPr>
            <w:r>
              <w:t>Reference for technical architecture, operations, release status and roadmap.</w:t>
            </w:r>
          </w:p>
          <w:p>
            <w:pPr>
              <w:pStyle w:val="ListParagraph"/>
              <w:numPr>
                <w:ilvl w:val="0"/>
                <w:numId w:val="1"/>
              </w:numPr>
              <w:spacing w:after="80"/>
            </w:pPr>
            <w:r>
              <w:t>Base for future professional PDF and external editions.</w:t>
            </w:r>
          </w:p>
        </w:tc>
      </w:tr>
    </w:tbl>
    <w:p>
      <w:pPr>
        <w:spacing w:before="0" w:after="120"/>
      </w:pPr>
      <w:r>
        <w:t/>
      </w:r>
    </w:p>
    <w:p>
      <w:r>
        <w:br w:type="page"/>
      </w:r>
    </w:p>
    <w:p>
      <w:pPr>
        <w:pStyle w:val="Heading1"/>
        <w:spacing w:before="280" w:after="120"/>
      </w:pPr>
      <w:r>
        <w:t>Table of Contents</w:t>
      </w:r>
    </w:p>
    <w:p>
      <w:pPr>
        <w:pStyle w:val="ListParagraph"/>
        <w:numPr>
          <w:ilvl w:val="0"/>
          <w:numId w:val="1"/>
        </w:numPr>
        <w:spacing w:after="80"/>
      </w:pPr>
      <w:r>
        <w:t>Executive Summary</w:t>
      </w:r>
    </w:p>
    <w:p>
      <w:pPr>
        <w:pStyle w:val="ListParagraph"/>
        <w:numPr>
          <w:ilvl w:val="0"/>
          <w:numId w:val="1"/>
        </w:numPr>
        <w:spacing w:after="80"/>
      </w:pPr>
      <w:r>
        <w:t>Product Positioning</w:t>
      </w:r>
    </w:p>
    <w:p>
      <w:pPr>
        <w:pStyle w:val="ListParagraph"/>
        <w:numPr>
          <w:ilvl w:val="0"/>
          <w:numId w:val="1"/>
        </w:numPr>
        <w:spacing w:after="80"/>
      </w:pPr>
      <w:r>
        <w:t>Product Principles</w:t>
      </w:r>
    </w:p>
    <w:p>
      <w:pPr>
        <w:pStyle w:val="ListParagraph"/>
        <w:numPr>
          <w:ilvl w:val="0"/>
          <w:numId w:val="1"/>
        </w:numPr>
        <w:spacing w:after="80"/>
      </w:pPr>
      <w:r>
        <w:t>Functional Architecture</w:t>
      </w:r>
    </w:p>
    <w:p>
      <w:pPr>
        <w:pStyle w:val="ListParagraph"/>
        <w:numPr>
          <w:ilvl w:val="0"/>
          <w:numId w:val="1"/>
        </w:numPr>
        <w:spacing w:after="80"/>
      </w:pPr>
      <w:r>
        <w:t>Technical Architecture</w:t>
      </w:r>
    </w:p>
    <w:p>
      <w:pPr>
        <w:pStyle w:val="ListParagraph"/>
        <w:numPr>
          <w:ilvl w:val="0"/>
          <w:numId w:val="1"/>
        </w:numPr>
        <w:spacing w:after="80"/>
      </w:pPr>
      <w:r>
        <w:t>Module Status Table</w:t>
      </w:r>
    </w:p>
    <w:p>
      <w:pPr>
        <w:pStyle w:val="ListParagraph"/>
        <w:numPr>
          <w:ilvl w:val="0"/>
          <w:numId w:val="1"/>
        </w:numPr>
        <w:spacing w:after="80"/>
      </w:pPr>
      <w:r>
        <w:t>Licensing &amp; Cost Exposure Analysis</w:t>
      </w:r>
    </w:p>
    <w:p>
      <w:pPr>
        <w:pStyle w:val="ListParagraph"/>
        <w:numPr>
          <w:ilvl w:val="0"/>
          <w:numId w:val="1"/>
        </w:numPr>
        <w:spacing w:after="80"/>
      </w:pPr>
      <w:r>
        <w:t>Client Context &amp; Additional Evidence</w:t>
      </w:r>
    </w:p>
    <w:p>
      <w:pPr>
        <w:pStyle w:val="ListParagraph"/>
        <w:numPr>
          <w:ilvl w:val="0"/>
          <w:numId w:val="1"/>
        </w:numPr>
        <w:spacing w:after="80"/>
      </w:pPr>
      <w:r>
        <w:t>Customer Context Intelligence</w:t>
      </w:r>
    </w:p>
    <w:p>
      <w:pPr>
        <w:pStyle w:val="ListParagraph"/>
        <w:numPr>
          <w:ilvl w:val="0"/>
          <w:numId w:val="1"/>
        </w:numPr>
        <w:spacing w:after="80"/>
      </w:pPr>
      <w:r>
        <w:t>Reports &amp; PDF</w:t>
      </w:r>
    </w:p>
    <w:p>
      <w:pPr>
        <w:pStyle w:val="ListParagraph"/>
        <w:numPr>
          <w:ilvl w:val="0"/>
          <w:numId w:val="1"/>
        </w:numPr>
        <w:spacing w:after="80"/>
      </w:pPr>
      <w:r>
        <w:t>Production &amp; Release Status</w:t>
      </w:r>
    </w:p>
    <w:p>
      <w:pPr>
        <w:pStyle w:val="ListParagraph"/>
        <w:numPr>
          <w:ilvl w:val="0"/>
          <w:numId w:val="1"/>
        </w:numPr>
        <w:spacing w:after="80"/>
      </w:pPr>
      <w:r>
        <w:t>Roadmap</w:t>
      </w:r>
    </w:p>
    <w:p>
      <w:pPr>
        <w:pStyle w:val="ListParagraph"/>
        <w:numPr>
          <w:ilvl w:val="0"/>
          <w:numId w:val="1"/>
        </w:numPr>
        <w:spacing w:after="80"/>
      </w:pPr>
      <w:r>
        <w:t>Operational Runbook</w:t>
      </w:r>
    </w:p>
    <w:p>
      <w:pPr>
        <w:pStyle w:val="ListParagraph"/>
        <w:numPr>
          <w:ilvl w:val="0"/>
          <w:numId w:val="1"/>
        </w:numPr>
        <w:spacing w:after="80"/>
      </w:pPr>
      <w:r>
        <w:t>Glossary</w:t>
      </w:r>
    </w:p>
    <w:p>
      <w:pPr>
        <w:pStyle w:val="ListParagraph"/>
        <w:numPr>
          <w:ilvl w:val="0"/>
          <w:numId w:val="1"/>
        </w:numPr>
        <w:spacing w:after="80"/>
      </w:pPr>
      <w:r>
        <w:t>Source Documents and Export Notes</w:t>
      </w:r>
    </w:p>
    <w:p>
      <w:r>
        <w:br w:type="page"/>
      </w:r>
    </w:p>
    <w:p>
      <w:pPr>
        <w:pStyle w:val="Heading1"/>
        <w:spacing w:before="280" w:after="120"/>
      </w:pPr>
      <w:r>
        <w:t>1. Executive Summary</w:t>
      </w:r>
    </w:p>
    <w:p>
      <w:pPr>
        <w:spacing w:before="0" w:after="120"/>
      </w:pPr>
      <w:r>
        <w:t>ShiftReadiness is an evidence-based VMware to Proxmox readiness assessment platform. It helps teams understand migration risk before execution by converting RVTools inventory, structured assessment inputs, optional business context, licensing cost exposure and report generation into a professional planning package.</w:t>
      </w:r>
    </w:p>
    <w:p>
      <w:pPr>
        <w:spacing w:before="0" w:after="120"/>
      </w:pPr>
      <w:r>
        <w:t>The product is not a migration automation tool and does not promise zero downtime. Its value is to reveal what can break, what evidence is missing, where confidence is strong or limited, and what questions must be answered before a production migration.</w:t>
      </w:r>
    </w:p>
    <w:tbl>
      <w:tblPr>
        <w:tblBorders>
          <w:top w:val="single" w:sz="8" w:color="1F4E79"/>
          <w:left w:val="single" w:sz="8" w:color="1F4E79"/>
          <w:bottom w:val="single" w:sz="8" w:color="1F4E79"/>
          <w:right w:val="single" w:sz="8" w:color="1F4E79"/>
        </w:tblBorders>
      </w:tblPr>
      <w:tblGrid>
        <w:gridCol w:w="9360"/>
      </w:tblGrid>
      <w:tr>
        <w:tc>
          <w:tcPr>
            <w:tcW w:w="9360" w:type="dxa"/>
            <w:shd w:fill="F5F8FC"/>
            <w:tcMar>
              <w:top w:w="160" w:type="dxa"/>
              <w:left w:w="160" w:type="dxa"/>
              <w:bottom w:w="120" w:type="dxa"/>
              <w:right w:w="160" w:type="dxa"/>
            </w:tcMar>
          </w:tcPr>
          <w:p>
            <w:pPr>
              <w:pStyle w:val="Heading3"/>
              <w:spacing w:before="0" w:after="60"/>
            </w:pPr>
            <w:r>
              <w:t>Current Product State</w:t>
            </w:r>
          </w:p>
          <w:p>
            <w:pPr>
              <w:pStyle w:val="ListParagraph"/>
              <w:numPr>
                <w:ilvl w:val="0"/>
                <w:numId w:val="1"/>
              </w:numPr>
              <w:spacing w:after="80"/>
            </w:pPr>
            <w:r>
              <w:t>Functional readiness: approximately 99.8-99.9%.</w:t>
            </w:r>
          </w:p>
          <w:p>
            <w:pPr>
              <w:pStyle w:val="ListParagraph"/>
              <w:numPr>
                <w:ilvl w:val="0"/>
                <w:numId w:val="1"/>
              </w:numPr>
              <w:spacing w:after="80"/>
            </w:pPr>
            <w:r>
              <w:t>Production readiness: approximately 97-98%.</w:t>
            </w:r>
          </w:p>
          <w:p>
            <w:pPr>
              <w:pStyle w:val="ListParagraph"/>
              <w:numPr>
                <w:ilvl w:val="0"/>
                <w:numId w:val="1"/>
              </w:numPr>
              <w:spacing w:after="80"/>
            </w:pPr>
            <w:r>
              <w:t>Controlled production release: closed operationally.</w:t>
            </w:r>
          </w:p>
          <w:p>
            <w:pPr>
              <w:pStyle w:val="ListParagraph"/>
              <w:numPr>
                <w:ilvl w:val="0"/>
                <w:numId w:val="1"/>
              </w:numPr>
              <w:spacing w:after="80"/>
            </w:pPr>
            <w:r>
              <w:t>Full public launch: not declared.</w:t>
            </w:r>
          </w:p>
        </w:tc>
      </w:tr>
    </w:tbl>
    <w:p>
      <w:pPr>
        <w:spacing w:before="0" w:after="120"/>
      </w:pPr>
      <w:r>
        <w:t/>
      </w:r>
    </w:p>
    <w:p>
      <w:pPr>
        <w:pStyle w:val="Heading1"/>
        <w:spacing w:before="280" w:after="120"/>
      </w:pPr>
      <w:r>
        <w:t>2. Product Positioning</w:t>
      </w:r>
    </w:p>
    <w:p>
      <w:pPr>
        <w:spacing w:before="0" w:after="120"/>
      </w:pPr>
      <w:r>
        <w:t>Primary positioning: "Before migrating VMware to Proxmox, know what can break."</w:t>
      </w:r>
    </w:p>
    <w:p>
      <w:pPr>
        <w:pStyle w:val="ListParagraph"/>
        <w:numPr>
          <w:ilvl w:val="0"/>
          <w:numId w:val="1"/>
        </w:numPr>
        <w:spacing w:after="80"/>
      </w:pPr>
      <w:r>
        <w:t>Evidence-based: RVTools is the primary technical evidence source, supported by optional files and structured inputs.</w:t>
      </w:r>
    </w:p>
    <w:p>
      <w:pPr>
        <w:pStyle w:val="ListParagraph"/>
        <w:numPr>
          <w:ilvl w:val="0"/>
          <w:numId w:val="1"/>
        </w:numPr>
        <w:spacing w:after="80"/>
      </w:pPr>
      <w:r>
        <w:t>No agents required and no mandatory production access.</w:t>
      </w:r>
    </w:p>
    <w:p>
      <w:pPr>
        <w:pStyle w:val="ListParagraph"/>
        <w:numPr>
          <w:ilvl w:val="0"/>
          <w:numId w:val="1"/>
        </w:numPr>
        <w:spacing w:after="80"/>
      </w:pPr>
      <w:r>
        <w:t>No migration execution: the system assesses readiness and produces recommendations; it does not move workloads.</w:t>
      </w:r>
    </w:p>
    <w:p>
      <w:pPr>
        <w:pStyle w:val="ListParagraph"/>
        <w:numPr>
          <w:ilvl w:val="0"/>
          <w:numId w:val="1"/>
        </w:numPr>
        <w:spacing w:after="80"/>
      </w:pPr>
      <w:r>
        <w:t>Missing evidence lowers confidence and becomes an explicit finding instead of a hidden weakness.</w:t>
      </w:r>
    </w:p>
    <w:p>
      <w:pPr>
        <w:pStyle w:val="Heading1"/>
        <w:spacing w:before="280" w:after="120"/>
      </w:pPr>
      <w:r>
        <w:t>3. Product Principles</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2700"/>
        <w:gridCol w:w="6660"/>
      </w:tblGrid>
      <w:tr>
        <w:tc>
          <w:tcPr>
            <w:tcW w:w="2700" w:type="dxa"/>
            <w:shd w:fill="E8EEF5"/>
            <w:vAlign w:val="top"/>
            <w:tcMar>
              <w:top w:w="90" w:type="dxa"/>
              <w:left w:w="90" w:type="dxa"/>
              <w:bottom w:w="90" w:type="dxa"/>
              <w:right w:w="90" w:type="dxa"/>
            </w:tcMar>
          </w:tcPr>
          <w:p>
            <w:pPr>
              <w:pStyle w:val="TableText"/>
              <w:spacing w:before="0" w:after="0"/>
            </w:pPr>
            <w:r>
              <w:rPr>
                <w:b/>
                <w:color w:val="1F4E79"/>
              </w:rPr>
              <w:t>Principle</w:t>
            </w:r>
          </w:p>
        </w:tc>
        <w:tc>
          <w:tcPr>
            <w:tcW w:w="6660" w:type="dxa"/>
            <w:shd w:fill="E8EEF5"/>
            <w:vAlign w:val="top"/>
            <w:tcMar>
              <w:top w:w="90" w:type="dxa"/>
              <w:left w:w="90" w:type="dxa"/>
              <w:bottom w:w="90" w:type="dxa"/>
              <w:right w:w="90" w:type="dxa"/>
            </w:tcMar>
          </w:tcPr>
          <w:p>
            <w:pPr>
              <w:pStyle w:val="TableText"/>
              <w:spacing w:before="0" w:after="0"/>
            </w:pPr>
            <w:r>
              <w:rPr>
                <w:b/>
                <w:color w:val="1F4E79"/>
              </w:rPr>
              <w:t>Meaning</w:t>
            </w:r>
          </w:p>
        </w:tc>
      </w:tr>
      <w:tr>
        <w:tc>
          <w:tcPr>
            <w:tcW w:w="2700" w:type="dxa"/>
            <w:vAlign w:val="top"/>
            <w:tcMar>
              <w:top w:w="90" w:type="dxa"/>
              <w:left w:w="90" w:type="dxa"/>
              <w:bottom w:w="90" w:type="dxa"/>
              <w:right w:w="90" w:type="dxa"/>
            </w:tcMar>
          </w:tcPr>
          <w:p>
            <w:pPr>
              <w:pStyle w:val="TableText"/>
              <w:spacing w:before="0" w:after="0"/>
            </w:pPr>
            <w:r>
              <w:t>Readiness vs Evidence Confidence</w:t>
            </w:r>
          </w:p>
        </w:tc>
        <w:tc>
          <w:tcPr>
            <w:tcW w:w="6660" w:type="dxa"/>
            <w:vAlign w:val="top"/>
            <w:tcMar>
              <w:top w:w="90" w:type="dxa"/>
              <w:left w:w="90" w:type="dxa"/>
              <w:bottom w:w="90" w:type="dxa"/>
              <w:right w:w="90" w:type="dxa"/>
            </w:tcMar>
          </w:tcPr>
          <w:p>
            <w:pPr>
              <w:pStyle w:val="TableText"/>
              <w:spacing w:before="0" w:after="0"/>
            </w:pPr>
            <w:r>
              <w:t>Migration Readiness Score and Evidence Confidence are separate signals.</w:t>
            </w:r>
          </w:p>
        </w:tc>
      </w:tr>
      <w:tr>
        <w:tc>
          <w:tcPr>
            <w:tcW w:w="2700" w:type="dxa"/>
            <w:vAlign w:val="top"/>
            <w:tcMar>
              <w:top w:w="90" w:type="dxa"/>
              <w:left w:w="90" w:type="dxa"/>
              <w:bottom w:w="90" w:type="dxa"/>
              <w:right w:w="90" w:type="dxa"/>
            </w:tcMar>
          </w:tcPr>
          <w:p>
            <w:pPr>
              <w:pStyle w:val="TableText"/>
              <w:spacing w:before="0" w:after="0"/>
            </w:pPr>
            <w:r>
              <w:t>Financial Confidence</w:t>
            </w:r>
          </w:p>
        </w:tc>
        <w:tc>
          <w:tcPr>
            <w:tcW w:w="6660" w:type="dxa"/>
            <w:vAlign w:val="top"/>
            <w:tcMar>
              <w:top w:w="90" w:type="dxa"/>
              <w:left w:w="90" w:type="dxa"/>
              <w:bottom w:w="90" w:type="dxa"/>
              <w:right w:w="90" w:type="dxa"/>
            </w:tcMar>
          </w:tcPr>
          <w:p>
            <w:pPr>
              <w:pStyle w:val="TableText"/>
              <w:spacing w:before="0" w:after="0"/>
            </w:pPr>
            <w:r>
              <w:t>Licensing and cost exposure confidence is separate from technical evidence confidence.</w:t>
            </w:r>
          </w:p>
        </w:tc>
      </w:tr>
      <w:tr>
        <w:tc>
          <w:tcPr>
            <w:tcW w:w="2700" w:type="dxa"/>
            <w:vAlign w:val="top"/>
            <w:tcMar>
              <w:top w:w="90" w:type="dxa"/>
              <w:left w:w="90" w:type="dxa"/>
              <w:bottom w:w="90" w:type="dxa"/>
              <w:right w:w="90" w:type="dxa"/>
            </w:tcMar>
          </w:tcPr>
          <w:p>
            <w:pPr>
              <w:pStyle w:val="TableText"/>
              <w:spacing w:before="0" w:after="0"/>
            </w:pPr>
            <w:r>
              <w:t>Business Context Confidence</w:t>
            </w:r>
          </w:p>
        </w:tc>
        <w:tc>
          <w:tcPr>
            <w:tcW w:w="6660" w:type="dxa"/>
            <w:vAlign w:val="top"/>
            <w:tcMar>
              <w:top w:w="90" w:type="dxa"/>
              <w:left w:w="90" w:type="dxa"/>
              <w:bottom w:w="90" w:type="dxa"/>
              <w:right w:w="90" w:type="dxa"/>
            </w:tcMar>
          </w:tcPr>
          <w:p>
            <w:pPr>
              <w:pStyle w:val="TableText"/>
              <w:spacing w:before="0" w:after="0"/>
            </w:pPr>
            <w:r>
              <w:t>Customer-provided narrative improves business context but does not automatically raise technical readiness.</w:t>
            </w:r>
          </w:p>
        </w:tc>
      </w:tr>
      <w:tr>
        <w:tc>
          <w:tcPr>
            <w:tcW w:w="2700" w:type="dxa"/>
            <w:vAlign w:val="top"/>
            <w:tcMar>
              <w:top w:w="90" w:type="dxa"/>
              <w:left w:w="90" w:type="dxa"/>
              <w:bottom w:w="90" w:type="dxa"/>
              <w:right w:w="90" w:type="dxa"/>
            </w:tcMar>
          </w:tcPr>
          <w:p>
            <w:pPr>
              <w:pStyle w:val="TableText"/>
              <w:spacing w:before="0" w:after="0"/>
            </w:pPr>
            <w:r>
              <w:t>Customer-reported vs Confirmed</w:t>
            </w:r>
          </w:p>
        </w:tc>
        <w:tc>
          <w:tcPr>
            <w:tcW w:w="6660" w:type="dxa"/>
            <w:vAlign w:val="top"/>
            <w:tcMar>
              <w:top w:w="90" w:type="dxa"/>
              <w:left w:w="90" w:type="dxa"/>
              <w:bottom w:w="90" w:type="dxa"/>
              <w:right w:w="90" w:type="dxa"/>
            </w:tcMar>
          </w:tcPr>
          <w:p>
            <w:pPr>
              <w:pStyle w:val="TableText"/>
              <w:spacing w:before="0" w:after="0"/>
            </w:pPr>
            <w:r>
              <w:t>Narrative and uploaded context are advisory until validated against structured technical evidence.</w:t>
            </w:r>
          </w:p>
        </w:tc>
      </w:tr>
      <w:tr>
        <w:tc>
          <w:tcPr>
            <w:tcW w:w="2700" w:type="dxa"/>
            <w:vAlign w:val="top"/>
            <w:tcMar>
              <w:top w:w="90" w:type="dxa"/>
              <w:left w:w="90" w:type="dxa"/>
              <w:bottom w:w="90" w:type="dxa"/>
              <w:right w:w="90" w:type="dxa"/>
            </w:tcMar>
          </w:tcPr>
          <w:p>
            <w:pPr>
              <w:pStyle w:val="TableText"/>
              <w:spacing w:before="0" w:after="0"/>
            </w:pPr>
            <w:r>
              <w:t>Raw context never printed</w:t>
            </w:r>
          </w:p>
        </w:tc>
        <w:tc>
          <w:tcPr>
            <w:tcW w:w="6660" w:type="dxa"/>
            <w:vAlign w:val="top"/>
            <w:tcMar>
              <w:top w:w="90" w:type="dxa"/>
              <w:left w:w="90" w:type="dxa"/>
              <w:bottom w:w="90" w:type="dxa"/>
              <w:right w:w="90" w:type="dxa"/>
            </w:tcMar>
          </w:tcPr>
          <w:p>
            <w:pPr>
              <w:pStyle w:val="TableText"/>
              <w:spacing w:before="0" w:after="0"/>
            </w:pPr>
            <w:r>
              <w:t>The full client narrative is stored as assessment context but is not reproduced in report preview or PDF.</w:t>
            </w:r>
          </w:p>
        </w:tc>
      </w:tr>
      <w:tr>
        <w:tc>
          <w:tcPr>
            <w:tcW w:w="2700" w:type="dxa"/>
            <w:vAlign w:val="top"/>
            <w:tcMar>
              <w:top w:w="90" w:type="dxa"/>
              <w:left w:w="90" w:type="dxa"/>
              <w:bottom w:w="90" w:type="dxa"/>
              <w:right w:w="90" w:type="dxa"/>
            </w:tcMar>
          </w:tcPr>
          <w:p>
            <w:pPr>
              <w:pStyle w:val="TableText"/>
              <w:spacing w:before="0" w:after="0"/>
            </w:pPr>
            <w:r>
              <w:t>AI is advisory</w:t>
            </w:r>
          </w:p>
        </w:tc>
        <w:tc>
          <w:tcPr>
            <w:tcW w:w="6660" w:type="dxa"/>
            <w:vAlign w:val="top"/>
            <w:tcMar>
              <w:top w:w="90" w:type="dxa"/>
              <w:left w:w="90" w:type="dxa"/>
              <w:bottom w:w="90" w:type="dxa"/>
              <w:right w:w="90" w:type="dxa"/>
            </w:tcMar>
          </w:tcPr>
          <w:p>
            <w:pPr>
              <w:pStyle w:val="TableText"/>
              <w:spacing w:before="0" w:after="0"/>
            </w:pPr>
            <w:r>
              <w:t>AI analysis structures and summarizes context; it is not treated as absolute truth.</w:t>
            </w:r>
          </w:p>
        </w:tc>
      </w:tr>
    </w:tbl>
    <w:p>
      <w:pPr>
        <w:spacing w:before="0" w:after="120"/>
      </w:pPr>
      <w:r>
        <w:t/>
      </w:r>
    </w:p>
    <w:p>
      <w:pPr>
        <w:pStyle w:val="Heading1"/>
        <w:spacing w:before="280" w:after="120"/>
      </w:pPr>
      <w:r>
        <w:t>4. Functional Architecture</w:t>
      </w:r>
    </w:p>
    <w:p>
      <w:pPr>
        <w:spacing w:before="0" w:after="120"/>
      </w:pPr>
      <w:r>
        <w:t>The functional architecture follows an assessment lifecycle: create assessment, collect evidence, complete required and optional modules, compute completion and confidence, run analyses, preview report and generate PDF.</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2500"/>
        <w:gridCol w:w="6860"/>
      </w:tblGrid>
      <w:tr>
        <w:tc>
          <w:tcPr>
            <w:tcW w:w="2500" w:type="dxa"/>
            <w:shd w:fill="E8EEF5"/>
            <w:vAlign w:val="top"/>
            <w:tcMar>
              <w:top w:w="90" w:type="dxa"/>
              <w:left w:w="90" w:type="dxa"/>
              <w:bottom w:w="90" w:type="dxa"/>
              <w:right w:w="90" w:type="dxa"/>
            </w:tcMar>
          </w:tcPr>
          <w:p>
            <w:pPr>
              <w:pStyle w:val="TableText"/>
              <w:spacing w:before="0" w:after="0"/>
            </w:pPr>
            <w:r>
              <w:rPr>
                <w:b/>
                <w:color w:val="1F4E79"/>
              </w:rPr>
              <w:t>Functional Area</w:t>
            </w:r>
          </w:p>
        </w:tc>
        <w:tc>
          <w:tcPr>
            <w:tcW w:w="6860" w:type="dxa"/>
            <w:shd w:fill="E8EEF5"/>
            <w:vAlign w:val="top"/>
            <w:tcMar>
              <w:top w:w="90" w:type="dxa"/>
              <w:left w:w="90" w:type="dxa"/>
              <w:bottom w:w="90" w:type="dxa"/>
              <w:right w:w="90" w:type="dxa"/>
            </w:tcMar>
          </w:tcPr>
          <w:p>
            <w:pPr>
              <w:pStyle w:val="TableText"/>
              <w:spacing w:before="0" w:after="0"/>
            </w:pPr>
            <w:r>
              <w:rPr>
                <w:b/>
                <w:color w:val="1F4E79"/>
              </w:rPr>
              <w:t>Role</w:t>
            </w:r>
          </w:p>
        </w:tc>
      </w:tr>
      <w:tr>
        <w:tc>
          <w:tcPr>
            <w:tcW w:w="2500" w:type="dxa"/>
            <w:vAlign w:val="top"/>
            <w:tcMar>
              <w:top w:w="90" w:type="dxa"/>
              <w:left w:w="90" w:type="dxa"/>
              <w:bottom w:w="90" w:type="dxa"/>
              <w:right w:w="90" w:type="dxa"/>
            </w:tcMar>
          </w:tcPr>
          <w:p>
            <w:pPr>
              <w:pStyle w:val="TableText"/>
              <w:spacing w:before="0" w:after="0"/>
            </w:pPr>
            <w:r>
              <w:t>Core Assessment</w:t>
            </w:r>
          </w:p>
        </w:tc>
        <w:tc>
          <w:tcPr>
            <w:tcW w:w="6860" w:type="dxa"/>
            <w:vAlign w:val="top"/>
            <w:tcMar>
              <w:top w:w="90" w:type="dxa"/>
              <w:left w:w="90" w:type="dxa"/>
              <w:bottom w:w="90" w:type="dxa"/>
              <w:right w:w="90" w:type="dxa"/>
            </w:tcMar>
          </w:tcPr>
          <w:p>
            <w:pPr>
              <w:pStyle w:val="TableText"/>
              <w:spacing w:before="0" w:after="0"/>
            </w:pPr>
            <w:r>
              <w:t>Assessment creation, dashboard access, lifecycle state and report readiness.</w:t>
            </w:r>
          </w:p>
        </w:tc>
      </w:tr>
      <w:tr>
        <w:tc>
          <w:tcPr>
            <w:tcW w:w="2500" w:type="dxa"/>
            <w:vAlign w:val="top"/>
            <w:tcMar>
              <w:top w:w="90" w:type="dxa"/>
              <w:left w:w="90" w:type="dxa"/>
              <w:bottom w:w="90" w:type="dxa"/>
              <w:right w:w="90" w:type="dxa"/>
            </w:tcMar>
          </w:tcPr>
          <w:p>
            <w:pPr>
              <w:pStyle w:val="TableText"/>
              <w:spacing w:before="0" w:after="0"/>
            </w:pPr>
            <w:r>
              <w:t>RVTools / Inventory</w:t>
            </w:r>
          </w:p>
        </w:tc>
        <w:tc>
          <w:tcPr>
            <w:tcW w:w="6860" w:type="dxa"/>
            <w:vAlign w:val="top"/>
            <w:tcMar>
              <w:top w:w="90" w:type="dxa"/>
              <w:left w:w="90" w:type="dxa"/>
              <w:bottom w:w="90" w:type="dxa"/>
              <w:right w:w="90" w:type="dxa"/>
            </w:tcMar>
          </w:tcPr>
          <w:p>
            <w:pPr>
              <w:pStyle w:val="TableText"/>
              <w:spacing w:before="0" w:after="0"/>
            </w:pPr>
            <w:r>
              <w:t>Required inventory evidence for hosts, VMs, datastores, networks, snapshots and readiness signals.</w:t>
            </w:r>
          </w:p>
        </w:tc>
      </w:tr>
      <w:tr>
        <w:tc>
          <w:tcPr>
            <w:tcW w:w="2500" w:type="dxa"/>
            <w:vAlign w:val="top"/>
            <w:tcMar>
              <w:top w:w="90" w:type="dxa"/>
              <w:left w:w="90" w:type="dxa"/>
              <w:bottom w:w="90" w:type="dxa"/>
              <w:right w:w="90" w:type="dxa"/>
            </w:tcMar>
          </w:tcPr>
          <w:p>
            <w:pPr>
              <w:pStyle w:val="TableText"/>
              <w:spacing w:before="0" w:after="0"/>
            </w:pPr>
            <w:r>
              <w:t>Evidence</w:t>
            </w:r>
          </w:p>
        </w:tc>
        <w:tc>
          <w:tcPr>
            <w:tcW w:w="6860" w:type="dxa"/>
            <w:vAlign w:val="top"/>
            <w:tcMar>
              <w:top w:w="90" w:type="dxa"/>
              <w:left w:w="90" w:type="dxa"/>
              <w:bottom w:w="90" w:type="dxa"/>
              <w:right w:w="90" w:type="dxa"/>
            </w:tcMar>
          </w:tcPr>
          <w:p>
            <w:pPr>
              <w:pStyle w:val="TableText"/>
              <w:spacing w:before="0" w:after="0"/>
            </w:pPr>
            <w:r>
              <w:t>Upload, storage, metadata and optional additional evidence classification.</w:t>
            </w:r>
          </w:p>
        </w:tc>
      </w:tr>
      <w:tr>
        <w:tc>
          <w:tcPr>
            <w:tcW w:w="2500" w:type="dxa"/>
            <w:vAlign w:val="top"/>
            <w:tcMar>
              <w:top w:w="90" w:type="dxa"/>
              <w:left w:w="90" w:type="dxa"/>
              <w:bottom w:w="90" w:type="dxa"/>
              <w:right w:w="90" w:type="dxa"/>
            </w:tcMar>
          </w:tcPr>
          <w:p>
            <w:pPr>
              <w:pStyle w:val="TableText"/>
              <w:spacing w:before="0" w:after="0"/>
            </w:pPr>
            <w:r>
              <w:t>Completion Center</w:t>
            </w:r>
          </w:p>
        </w:tc>
        <w:tc>
          <w:tcPr>
            <w:tcW w:w="6860" w:type="dxa"/>
            <w:vAlign w:val="top"/>
            <w:tcMar>
              <w:top w:w="90" w:type="dxa"/>
              <w:left w:w="90" w:type="dxa"/>
              <w:bottom w:w="90" w:type="dxa"/>
              <w:right w:w="90" w:type="dxa"/>
            </w:tcMar>
          </w:tcPr>
          <w:p>
            <w:pPr>
              <w:pStyle w:val="TableText"/>
              <w:spacing w:before="0" w:after="0"/>
            </w:pPr>
            <w:r>
              <w:t>Required vs optional modules, report precision and canGenerateReport state.</w:t>
            </w:r>
          </w:p>
        </w:tc>
      </w:tr>
      <w:tr>
        <w:tc>
          <w:tcPr>
            <w:tcW w:w="2500" w:type="dxa"/>
            <w:vAlign w:val="top"/>
            <w:tcMar>
              <w:top w:w="90" w:type="dxa"/>
              <w:left w:w="90" w:type="dxa"/>
              <w:bottom w:w="90" w:type="dxa"/>
              <w:right w:w="90" w:type="dxa"/>
            </w:tcMar>
          </w:tcPr>
          <w:p>
            <w:pPr>
              <w:pStyle w:val="TableText"/>
              <w:spacing w:before="0" w:after="0"/>
            </w:pPr>
            <w:r>
              <w:t>Licensing &amp; Cost Exposure</w:t>
            </w:r>
          </w:p>
        </w:tc>
        <w:tc>
          <w:tcPr>
            <w:tcW w:w="6860" w:type="dxa"/>
            <w:vAlign w:val="top"/>
            <w:tcMar>
              <w:top w:w="90" w:type="dxa"/>
              <w:left w:w="90" w:type="dxa"/>
              <w:bottom w:w="90" w:type="dxa"/>
              <w:right w:w="90" w:type="dxa"/>
            </w:tcMar>
          </w:tcPr>
          <w:p>
            <w:pPr>
              <w:pStyle w:val="TableText"/>
              <w:spacing w:before="0" w:after="0"/>
            </w:pPr>
            <w:r>
              <w:t>VMware/Broadcom vs Proxmox cost exposure, confidence, savings quality and timing risk.</w:t>
            </w:r>
          </w:p>
        </w:tc>
      </w:tr>
      <w:tr>
        <w:tc>
          <w:tcPr>
            <w:tcW w:w="2500" w:type="dxa"/>
            <w:vAlign w:val="top"/>
            <w:tcMar>
              <w:top w:w="90" w:type="dxa"/>
              <w:left w:w="90" w:type="dxa"/>
              <w:bottom w:w="90" w:type="dxa"/>
              <w:right w:w="90" w:type="dxa"/>
            </w:tcMar>
          </w:tcPr>
          <w:p>
            <w:pPr>
              <w:pStyle w:val="TableText"/>
              <w:spacing w:before="0" w:after="0"/>
            </w:pPr>
            <w:r>
              <w:t>Client Context</w:t>
            </w:r>
          </w:p>
        </w:tc>
        <w:tc>
          <w:tcPr>
            <w:tcW w:w="6860" w:type="dxa"/>
            <w:vAlign w:val="top"/>
            <w:tcMar>
              <w:top w:w="90" w:type="dxa"/>
              <w:left w:w="90" w:type="dxa"/>
              <w:bottom w:w="90" w:type="dxa"/>
              <w:right w:w="90" w:type="dxa"/>
            </w:tcMar>
          </w:tcPr>
          <w:p>
            <w:pPr>
              <w:pStyle w:val="TableText"/>
              <w:spacing w:before="0" w:after="0"/>
            </w:pPr>
            <w:r>
              <w:t>Free-text narrative and additional evidence without treating it as confirmed technical evidence.</w:t>
            </w:r>
          </w:p>
        </w:tc>
      </w:tr>
      <w:tr>
        <w:tc>
          <w:tcPr>
            <w:tcW w:w="2500" w:type="dxa"/>
            <w:vAlign w:val="top"/>
            <w:tcMar>
              <w:top w:w="90" w:type="dxa"/>
              <w:left w:w="90" w:type="dxa"/>
              <w:bottom w:w="90" w:type="dxa"/>
              <w:right w:w="90" w:type="dxa"/>
            </w:tcMar>
          </w:tcPr>
          <w:p>
            <w:pPr>
              <w:pStyle w:val="TableText"/>
              <w:spacing w:before="0" w:after="0"/>
            </w:pPr>
            <w:r>
              <w:t>Customer Context Intelligence</w:t>
            </w:r>
          </w:p>
        </w:tc>
        <w:tc>
          <w:tcPr>
            <w:tcW w:w="6860" w:type="dxa"/>
            <w:vAlign w:val="top"/>
            <w:tcMar>
              <w:top w:w="90" w:type="dxa"/>
              <w:left w:w="90" w:type="dxa"/>
              <w:bottom w:w="90" w:type="dxa"/>
              <w:right w:w="90" w:type="dxa"/>
            </w:tcMar>
          </w:tcPr>
          <w:p>
            <w:pPr>
              <w:pStyle w:val="TableText"/>
              <w:spacing w:before="0" w:after="0"/>
            </w:pPr>
            <w:r>
              <w:t>AI-structured interpretation of context with summary, priorities, risks and validation questions.</w:t>
            </w:r>
          </w:p>
        </w:tc>
      </w:tr>
      <w:tr>
        <w:tc>
          <w:tcPr>
            <w:tcW w:w="2500" w:type="dxa"/>
            <w:vAlign w:val="top"/>
            <w:tcMar>
              <w:top w:w="90" w:type="dxa"/>
              <w:left w:w="90" w:type="dxa"/>
              <w:bottom w:w="90" w:type="dxa"/>
              <w:right w:w="90" w:type="dxa"/>
            </w:tcMar>
          </w:tcPr>
          <w:p>
            <w:pPr>
              <w:pStyle w:val="TableText"/>
              <w:spacing w:before="0" w:after="0"/>
            </w:pPr>
            <w:r>
              <w:t>Reports/PDF</w:t>
            </w:r>
          </w:p>
        </w:tc>
        <w:tc>
          <w:tcPr>
            <w:tcW w:w="6860" w:type="dxa"/>
            <w:vAlign w:val="top"/>
            <w:tcMar>
              <w:top w:w="90" w:type="dxa"/>
              <w:left w:w="90" w:type="dxa"/>
              <w:bottom w:w="90" w:type="dxa"/>
              <w:right w:w="90" w:type="dxa"/>
            </w:tcMar>
          </w:tcPr>
          <w:p>
            <w:pPr>
              <w:pStyle w:val="TableText"/>
              <w:spacing w:before="0" w:after="0"/>
            </w:pPr>
            <w:r>
              <w:t>Professional preview and PDF output.</w:t>
            </w:r>
          </w:p>
        </w:tc>
      </w:tr>
      <w:tr>
        <w:tc>
          <w:tcPr>
            <w:tcW w:w="2500" w:type="dxa"/>
            <w:vAlign w:val="top"/>
            <w:tcMar>
              <w:top w:w="90" w:type="dxa"/>
              <w:left w:w="90" w:type="dxa"/>
              <w:bottom w:w="90" w:type="dxa"/>
              <w:right w:w="90" w:type="dxa"/>
            </w:tcMar>
          </w:tcPr>
          <w:p>
            <w:pPr>
              <w:pStyle w:val="TableText"/>
              <w:spacing w:before="0" w:after="0"/>
            </w:pPr>
            <w:r>
              <w:t>Admin</w:t>
            </w:r>
          </w:p>
        </w:tc>
        <w:tc>
          <w:tcPr>
            <w:tcW w:w="6860" w:type="dxa"/>
            <w:vAlign w:val="top"/>
            <w:tcMar>
              <w:top w:w="90" w:type="dxa"/>
              <w:left w:w="90" w:type="dxa"/>
              <w:bottom w:w="90" w:type="dxa"/>
              <w:right w:w="90" w:type="dxa"/>
            </w:tcMar>
          </w:tcPr>
          <w:p>
            <w:pPr>
              <w:pStyle w:val="TableText"/>
              <w:spacing w:before="0" w:after="0"/>
            </w:pPr>
            <w:r>
              <w:t>Internal admin console, pricing intelligence and operational controls.</w:t>
            </w:r>
          </w:p>
        </w:tc>
      </w:tr>
    </w:tbl>
    <w:p>
      <w:pPr>
        <w:spacing w:before="0" w:after="120"/>
      </w:pPr>
      <w:r>
        <w:t/>
      </w:r>
    </w:p>
    <w:p>
      <w:pPr>
        <w:pStyle w:val="Heading1"/>
        <w:spacing w:before="280" w:after="120"/>
      </w:pPr>
      <w:r>
        <w:t>5. Technical Architecture</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2500"/>
        <w:gridCol w:w="6860"/>
      </w:tblGrid>
      <w:tr>
        <w:tc>
          <w:tcPr>
            <w:tcW w:w="2500" w:type="dxa"/>
            <w:shd w:fill="E8EEF5"/>
            <w:vAlign w:val="top"/>
            <w:tcMar>
              <w:top w:w="90" w:type="dxa"/>
              <w:left w:w="90" w:type="dxa"/>
              <w:bottom w:w="90" w:type="dxa"/>
              <w:right w:w="90" w:type="dxa"/>
            </w:tcMar>
          </w:tcPr>
          <w:p>
            <w:pPr>
              <w:pStyle w:val="TableText"/>
              <w:spacing w:before="0" w:after="0"/>
            </w:pPr>
            <w:r>
              <w:rPr>
                <w:b/>
                <w:color w:val="1F4E79"/>
              </w:rPr>
              <w:t>Layer</w:t>
            </w:r>
          </w:p>
        </w:tc>
        <w:tc>
          <w:tcPr>
            <w:tcW w:w="6860" w:type="dxa"/>
            <w:shd w:fill="E8EEF5"/>
            <w:vAlign w:val="top"/>
            <w:tcMar>
              <w:top w:w="90" w:type="dxa"/>
              <w:left w:w="90" w:type="dxa"/>
              <w:bottom w:w="90" w:type="dxa"/>
              <w:right w:w="90" w:type="dxa"/>
            </w:tcMar>
          </w:tcPr>
          <w:p>
            <w:pPr>
              <w:pStyle w:val="TableText"/>
              <w:spacing w:before="0" w:after="0"/>
            </w:pPr>
            <w:r>
              <w:rPr>
                <w:b/>
                <w:color w:val="1F4E79"/>
              </w:rPr>
              <w:t>Implementation</w:t>
            </w:r>
          </w:p>
        </w:tc>
      </w:tr>
      <w:tr>
        <w:tc>
          <w:tcPr>
            <w:tcW w:w="2500" w:type="dxa"/>
            <w:vAlign w:val="top"/>
            <w:tcMar>
              <w:top w:w="90" w:type="dxa"/>
              <w:left w:w="90" w:type="dxa"/>
              <w:bottom w:w="90" w:type="dxa"/>
              <w:right w:w="90" w:type="dxa"/>
            </w:tcMar>
          </w:tcPr>
          <w:p>
            <w:pPr>
              <w:pStyle w:val="TableText"/>
              <w:spacing w:before="0" w:after="0"/>
            </w:pPr>
            <w:r>
              <w:t>Web application</w:t>
            </w:r>
          </w:p>
        </w:tc>
        <w:tc>
          <w:tcPr>
            <w:tcW w:w="6860" w:type="dxa"/>
            <w:vAlign w:val="top"/>
            <w:tcMar>
              <w:top w:w="90" w:type="dxa"/>
              <w:left w:w="90" w:type="dxa"/>
              <w:bottom w:w="90" w:type="dxa"/>
              <w:right w:w="90" w:type="dxa"/>
            </w:tcMar>
          </w:tcPr>
          <w:p>
            <w:pPr>
              <w:pStyle w:val="TableText"/>
              <w:spacing w:before="0" w:after="0"/>
            </w:pPr>
            <w:r>
              <w:t>Next.js App Router with server actions and dashboard/admin routes.</w:t>
            </w:r>
          </w:p>
        </w:tc>
      </w:tr>
      <w:tr>
        <w:tc>
          <w:tcPr>
            <w:tcW w:w="2500" w:type="dxa"/>
            <w:vAlign w:val="top"/>
            <w:tcMar>
              <w:top w:w="90" w:type="dxa"/>
              <w:left w:w="90" w:type="dxa"/>
              <w:bottom w:w="90" w:type="dxa"/>
              <w:right w:w="90" w:type="dxa"/>
            </w:tcMar>
          </w:tcPr>
          <w:p>
            <w:pPr>
              <w:pStyle w:val="TableText"/>
              <w:spacing w:before="0" w:after="0"/>
            </w:pPr>
            <w:r>
              <w:t>Database</w:t>
            </w:r>
          </w:p>
        </w:tc>
        <w:tc>
          <w:tcPr>
            <w:tcW w:w="6860" w:type="dxa"/>
            <w:vAlign w:val="top"/>
            <w:tcMar>
              <w:top w:w="90" w:type="dxa"/>
              <w:left w:w="90" w:type="dxa"/>
              <w:bottom w:w="90" w:type="dxa"/>
              <w:right w:w="90" w:type="dxa"/>
            </w:tcMar>
          </w:tcPr>
          <w:p>
            <w:pPr>
              <w:pStyle w:val="TableText"/>
              <w:spacing w:before="0" w:after="0"/>
            </w:pPr>
            <w:r>
              <w:t>Prisma with PostgreSQL; recent production migrations were applied and status was up to date.</w:t>
            </w:r>
          </w:p>
        </w:tc>
      </w:tr>
      <w:tr>
        <w:tc>
          <w:tcPr>
            <w:tcW w:w="2500" w:type="dxa"/>
            <w:vAlign w:val="top"/>
            <w:tcMar>
              <w:top w:w="90" w:type="dxa"/>
              <w:left w:w="90" w:type="dxa"/>
              <w:bottom w:w="90" w:type="dxa"/>
              <w:right w:w="90" w:type="dxa"/>
            </w:tcMar>
          </w:tcPr>
          <w:p>
            <w:pPr>
              <w:pStyle w:val="TableText"/>
              <w:spacing w:before="0" w:after="0"/>
            </w:pPr>
            <w:r>
              <w:t>Authentication</w:t>
            </w:r>
          </w:p>
        </w:tc>
        <w:tc>
          <w:tcPr>
            <w:tcW w:w="6860" w:type="dxa"/>
            <w:vAlign w:val="top"/>
            <w:tcMar>
              <w:top w:w="90" w:type="dxa"/>
              <w:left w:w="90" w:type="dxa"/>
              <w:bottom w:w="90" w:type="dxa"/>
              <w:right w:w="90" w:type="dxa"/>
            </w:tcMar>
          </w:tcPr>
          <w:p>
            <w:pPr>
              <w:pStyle w:val="TableText"/>
              <w:spacing w:before="0" w:after="0"/>
            </w:pPr>
            <w:r>
              <w:t>Better Auth with dashboard and admin route protection.</w:t>
            </w:r>
          </w:p>
        </w:tc>
      </w:tr>
      <w:tr>
        <w:tc>
          <w:tcPr>
            <w:tcW w:w="2500" w:type="dxa"/>
            <w:vAlign w:val="top"/>
            <w:tcMar>
              <w:top w:w="90" w:type="dxa"/>
              <w:left w:w="90" w:type="dxa"/>
              <w:bottom w:w="90" w:type="dxa"/>
              <w:right w:w="90" w:type="dxa"/>
            </w:tcMar>
          </w:tcPr>
          <w:p>
            <w:pPr>
              <w:pStyle w:val="TableText"/>
              <w:spacing w:before="0" w:after="0"/>
            </w:pPr>
            <w:r>
              <w:t>Reports</w:t>
            </w:r>
          </w:p>
        </w:tc>
        <w:tc>
          <w:tcPr>
            <w:tcW w:w="6860" w:type="dxa"/>
            <w:vAlign w:val="top"/>
            <w:tcMar>
              <w:top w:w="90" w:type="dxa"/>
              <w:left w:w="90" w:type="dxa"/>
              <w:bottom w:w="90" w:type="dxa"/>
              <w:right w:w="90" w:type="dxa"/>
            </w:tcMar>
          </w:tcPr>
          <w:p>
            <w:pPr>
              <w:pStyle w:val="TableText"/>
              <w:spacing w:before="0" w:after="0"/>
            </w:pPr>
            <w:r>
              <w:t>Report preview services and PDFKit-based rendering.</w:t>
            </w:r>
          </w:p>
        </w:tc>
      </w:tr>
      <w:tr>
        <w:tc>
          <w:tcPr>
            <w:tcW w:w="2500" w:type="dxa"/>
            <w:vAlign w:val="top"/>
            <w:tcMar>
              <w:top w:w="90" w:type="dxa"/>
              <w:left w:w="90" w:type="dxa"/>
              <w:bottom w:w="90" w:type="dxa"/>
              <w:right w:w="90" w:type="dxa"/>
            </w:tcMar>
          </w:tcPr>
          <w:p>
            <w:pPr>
              <w:pStyle w:val="TableText"/>
              <w:spacing w:before="0" w:after="0"/>
            </w:pPr>
            <w:r>
              <w:t>Storage</w:t>
            </w:r>
          </w:p>
        </w:tc>
        <w:tc>
          <w:tcPr>
            <w:tcW w:w="6860" w:type="dxa"/>
            <w:vAlign w:val="top"/>
            <w:tcMar>
              <w:top w:w="90" w:type="dxa"/>
              <w:left w:w="90" w:type="dxa"/>
              <w:bottom w:w="90" w:type="dxa"/>
              <w:right w:w="90" w:type="dxa"/>
            </w:tcMar>
          </w:tcPr>
          <w:p>
            <w:pPr>
              <w:pStyle w:val="TableText"/>
              <w:spacing w:before="0" w:after="0"/>
            </w:pPr>
            <w:r>
              <w:t>Private evidence storage with Hostinger storage root, upload limits and path containment safeguards.</w:t>
            </w:r>
          </w:p>
        </w:tc>
      </w:tr>
      <w:tr>
        <w:tc>
          <w:tcPr>
            <w:tcW w:w="2500" w:type="dxa"/>
            <w:vAlign w:val="top"/>
            <w:tcMar>
              <w:top w:w="90" w:type="dxa"/>
              <w:left w:w="90" w:type="dxa"/>
              <w:bottom w:w="90" w:type="dxa"/>
              <w:right w:w="90" w:type="dxa"/>
            </w:tcMar>
          </w:tcPr>
          <w:p>
            <w:pPr>
              <w:pStyle w:val="TableText"/>
              <w:spacing w:before="0" w:after="0"/>
            </w:pPr>
            <w:r>
              <w:t>AI</w:t>
            </w:r>
          </w:p>
        </w:tc>
        <w:tc>
          <w:tcPr>
            <w:tcW w:w="6860" w:type="dxa"/>
            <w:vAlign w:val="top"/>
            <w:tcMar>
              <w:top w:w="90" w:type="dxa"/>
              <w:left w:w="90" w:type="dxa"/>
              <w:bottom w:w="90" w:type="dxa"/>
              <w:right w:w="90" w:type="dxa"/>
            </w:tcMar>
          </w:tcPr>
          <w:p>
            <w:pPr>
              <w:pStyle w:val="TableText"/>
              <w:spacing w:before="0" w:after="0"/>
            </w:pPr>
            <w:r>
              <w:t>Provider abstraction with disabled/mock/provider fallbacks, usage events and budget/entitlement guards.</w:t>
            </w:r>
          </w:p>
        </w:tc>
      </w:tr>
      <w:tr>
        <w:tc>
          <w:tcPr>
            <w:tcW w:w="2500" w:type="dxa"/>
            <w:vAlign w:val="top"/>
            <w:tcMar>
              <w:top w:w="90" w:type="dxa"/>
              <w:left w:w="90" w:type="dxa"/>
              <w:bottom w:w="90" w:type="dxa"/>
              <w:right w:w="90" w:type="dxa"/>
            </w:tcMar>
          </w:tcPr>
          <w:p>
            <w:pPr>
              <w:pStyle w:val="TableText"/>
              <w:spacing w:before="0" w:after="0"/>
            </w:pPr>
            <w:r>
              <w:t>Operations</w:t>
            </w:r>
          </w:p>
        </w:tc>
        <w:tc>
          <w:tcPr>
            <w:tcW w:w="6860" w:type="dxa"/>
            <w:vAlign w:val="top"/>
            <w:tcMar>
              <w:top w:w="90" w:type="dxa"/>
              <w:left w:w="90" w:type="dxa"/>
              <w:bottom w:w="90" w:type="dxa"/>
              <w:right w:w="90" w:type="dxa"/>
            </w:tcMar>
          </w:tcPr>
          <w:p>
            <w:pPr>
              <w:pStyle w:val="TableText"/>
              <w:spacing w:before="0" w:after="0"/>
            </w:pPr>
            <w:r>
              <w:t>Hostinger runtime, deploy readiness docs, smoke plans and rollback runbooks.</w:t>
            </w:r>
          </w:p>
        </w:tc>
      </w:tr>
      <w:tr>
        <w:tc>
          <w:tcPr>
            <w:tcW w:w="2500" w:type="dxa"/>
            <w:vAlign w:val="top"/>
            <w:tcMar>
              <w:top w:w="90" w:type="dxa"/>
              <w:left w:w="90" w:type="dxa"/>
              <w:bottom w:w="90" w:type="dxa"/>
              <w:right w:w="90" w:type="dxa"/>
            </w:tcMar>
          </w:tcPr>
          <w:p>
            <w:pPr>
              <w:pStyle w:val="TableText"/>
              <w:spacing w:before="0" w:after="0"/>
            </w:pPr>
            <w:r>
              <w:t>Audit</w:t>
            </w:r>
          </w:p>
        </w:tc>
        <w:tc>
          <w:tcPr>
            <w:tcW w:w="6860" w:type="dxa"/>
            <w:vAlign w:val="top"/>
            <w:tcMar>
              <w:top w:w="90" w:type="dxa"/>
              <w:left w:w="90" w:type="dxa"/>
              <w:bottom w:w="90" w:type="dxa"/>
              <w:right w:w="90" w:type="dxa"/>
            </w:tcMar>
          </w:tcPr>
          <w:p>
            <w:pPr>
              <w:pStyle w:val="TableText"/>
              <w:spacing w:before="0" w:after="0"/>
            </w:pPr>
            <w:r>
              <w:t>Audit events for sensitive workflows without logging raw client context.</w:t>
            </w:r>
          </w:p>
        </w:tc>
      </w:tr>
    </w:tbl>
    <w:p>
      <w:pPr>
        <w:spacing w:before="0" w:after="120"/>
      </w:pPr>
      <w:r>
        <w:t/>
      </w:r>
    </w:p>
    <w:p>
      <w:pPr>
        <w:pStyle w:val="Heading1"/>
        <w:spacing w:before="280" w:after="120"/>
      </w:pPr>
      <w:r>
        <w:t>6. Module Status Table</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1900"/>
        <w:gridCol w:w="1700"/>
        <w:gridCol w:w="1100"/>
        <w:gridCol w:w="1200"/>
        <w:gridCol w:w="3460"/>
      </w:tblGrid>
      <w:tr>
        <w:tc>
          <w:tcPr>
            <w:tcW w:w="1900" w:type="dxa"/>
            <w:shd w:fill="E8EEF5"/>
            <w:vAlign w:val="top"/>
            <w:tcMar>
              <w:top w:w="90" w:type="dxa"/>
              <w:left w:w="90" w:type="dxa"/>
              <w:bottom w:w="90" w:type="dxa"/>
              <w:right w:w="90" w:type="dxa"/>
            </w:tcMar>
          </w:tcPr>
          <w:p>
            <w:pPr>
              <w:pStyle w:val="TableText"/>
              <w:spacing w:before="0" w:after="0"/>
            </w:pPr>
            <w:r>
              <w:rPr>
                <w:b/>
                <w:color w:val="1F4E79"/>
              </w:rPr>
              <w:t>Module</w:t>
            </w:r>
          </w:p>
        </w:tc>
        <w:tc>
          <w:tcPr>
            <w:tcW w:w="1700" w:type="dxa"/>
            <w:shd w:fill="E8EEF5"/>
            <w:vAlign w:val="top"/>
            <w:tcMar>
              <w:top w:w="90" w:type="dxa"/>
              <w:left w:w="90" w:type="dxa"/>
              <w:bottom w:w="90" w:type="dxa"/>
              <w:right w:w="90" w:type="dxa"/>
            </w:tcMar>
          </w:tcPr>
          <w:p>
            <w:pPr>
              <w:pStyle w:val="TableText"/>
              <w:spacing w:before="0" w:after="0"/>
            </w:pPr>
            <w:r>
              <w:rPr>
                <w:b/>
                <w:color w:val="1F4E79"/>
              </w:rPr>
              <w:t>State</w:t>
            </w:r>
          </w:p>
        </w:tc>
        <w:tc>
          <w:tcPr>
            <w:tcW w:w="1100" w:type="dxa"/>
            <w:shd w:fill="E8EEF5"/>
            <w:vAlign w:val="top"/>
            <w:tcMar>
              <w:top w:w="90" w:type="dxa"/>
              <w:left w:w="90" w:type="dxa"/>
              <w:bottom w:w="90" w:type="dxa"/>
              <w:right w:w="90" w:type="dxa"/>
            </w:tcMar>
          </w:tcPr>
          <w:p>
            <w:pPr>
              <w:pStyle w:val="TableText"/>
              <w:spacing w:before="0" w:after="0"/>
            </w:pPr>
            <w:r>
              <w:rPr>
                <w:b/>
                <w:color w:val="1F4E79"/>
              </w:rPr>
              <w:t>Estimate</w:t>
            </w:r>
          </w:p>
        </w:tc>
        <w:tc>
          <w:tcPr>
            <w:tcW w:w="1200" w:type="dxa"/>
            <w:shd w:fill="E8EEF5"/>
            <w:vAlign w:val="top"/>
            <w:tcMar>
              <w:top w:w="90" w:type="dxa"/>
              <w:left w:w="90" w:type="dxa"/>
              <w:bottom w:w="90" w:type="dxa"/>
              <w:right w:w="90" w:type="dxa"/>
            </w:tcMar>
          </w:tcPr>
          <w:p>
            <w:pPr>
              <w:pStyle w:val="TableText"/>
              <w:spacing w:before="0" w:after="0"/>
            </w:pPr>
            <w:r>
              <w:rPr>
                <w:b/>
                <w:color w:val="1F4E79"/>
              </w:rPr>
              <w:t>Demo-ready</w:t>
            </w:r>
          </w:p>
        </w:tc>
        <w:tc>
          <w:tcPr>
            <w:tcW w:w="3460" w:type="dxa"/>
            <w:shd w:fill="E8EEF5"/>
            <w:vAlign w:val="top"/>
            <w:tcMar>
              <w:top w:w="90" w:type="dxa"/>
              <w:left w:w="90" w:type="dxa"/>
              <w:bottom w:w="90" w:type="dxa"/>
              <w:right w:w="90" w:type="dxa"/>
            </w:tcMar>
          </w:tcPr>
          <w:p>
            <w:pPr>
              <w:pStyle w:val="TableText"/>
              <w:spacing w:before="0" w:after="0"/>
            </w:pPr>
            <w:r>
              <w:rPr>
                <w:b/>
                <w:color w:val="1F4E79"/>
              </w:rPr>
              <w:t>Pending</w:t>
            </w:r>
          </w:p>
        </w:tc>
      </w:tr>
      <w:tr>
        <w:tc>
          <w:tcPr>
            <w:tcW w:w="1900" w:type="dxa"/>
            <w:vAlign w:val="top"/>
            <w:tcMar>
              <w:top w:w="90" w:type="dxa"/>
              <w:left w:w="90" w:type="dxa"/>
              <w:bottom w:w="90" w:type="dxa"/>
              <w:right w:w="90" w:type="dxa"/>
            </w:tcMar>
          </w:tcPr>
          <w:p>
            <w:pPr>
              <w:pStyle w:val="TableText"/>
              <w:spacing w:before="0" w:after="0"/>
            </w:pPr>
            <w:r>
              <w:t>Core assessment</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99%</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Deeper real customer QA.</w:t>
            </w:r>
          </w:p>
        </w:tc>
      </w:tr>
      <w:tr>
        <w:tc>
          <w:tcPr>
            <w:tcW w:w="1900" w:type="dxa"/>
            <w:vAlign w:val="top"/>
            <w:tcMar>
              <w:top w:w="90" w:type="dxa"/>
              <w:left w:w="90" w:type="dxa"/>
              <w:bottom w:w="90" w:type="dxa"/>
              <w:right w:w="90" w:type="dxa"/>
            </w:tcMar>
          </w:tcPr>
          <w:p>
            <w:pPr>
              <w:pStyle w:val="TableText"/>
              <w:spacing w:before="0" w:after="0"/>
            </w:pPr>
            <w:r>
              <w:t>RVTools / inventory</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98%</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Future performance/network enrichment.</w:t>
            </w:r>
          </w:p>
        </w:tc>
      </w:tr>
      <w:tr>
        <w:tc>
          <w:tcPr>
            <w:tcW w:w="1900" w:type="dxa"/>
            <w:vAlign w:val="top"/>
            <w:tcMar>
              <w:top w:w="90" w:type="dxa"/>
              <w:left w:w="90" w:type="dxa"/>
              <w:bottom w:w="90" w:type="dxa"/>
              <w:right w:w="90" w:type="dxa"/>
            </w:tcMar>
          </w:tcPr>
          <w:p>
            <w:pPr>
              <w:pStyle w:val="TableText"/>
              <w:spacing w:before="0" w:after="0"/>
            </w:pPr>
            <w:r>
              <w:t>Completion Center</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97%</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Minor label tuning if needed.</w:t>
            </w:r>
          </w:p>
        </w:tc>
      </w:tr>
      <w:tr>
        <w:tc>
          <w:tcPr>
            <w:tcW w:w="1900" w:type="dxa"/>
            <w:vAlign w:val="top"/>
            <w:tcMar>
              <w:top w:w="90" w:type="dxa"/>
              <w:left w:w="90" w:type="dxa"/>
              <w:bottom w:w="90" w:type="dxa"/>
              <w:right w:w="90" w:type="dxa"/>
            </w:tcMar>
          </w:tcPr>
          <w:p>
            <w:pPr>
              <w:pStyle w:val="TableText"/>
              <w:spacing w:before="0" w:after="0"/>
            </w:pPr>
            <w:r>
              <w:t>Licensing &amp; Cost Exposure</w:t>
            </w:r>
          </w:p>
        </w:tc>
        <w:tc>
          <w:tcPr>
            <w:tcW w:w="1700" w:type="dxa"/>
            <w:vAlign w:val="top"/>
            <w:tcMar>
              <w:top w:w="90" w:type="dxa"/>
              <w:left w:w="90" w:type="dxa"/>
              <w:bottom w:w="90" w:type="dxa"/>
              <w:right w:w="90" w:type="dxa"/>
            </w:tcMar>
          </w:tcPr>
          <w:p>
            <w:pPr>
              <w:pStyle w:val="TableText"/>
              <w:spacing w:before="0" w:after="0"/>
            </w:pPr>
            <w:r>
              <w:t>Operationally accepted</w:t>
            </w:r>
          </w:p>
        </w:tc>
        <w:tc>
          <w:tcPr>
            <w:tcW w:w="1100" w:type="dxa"/>
            <w:vAlign w:val="top"/>
            <w:tcMar>
              <w:top w:w="90" w:type="dxa"/>
              <w:left w:w="90" w:type="dxa"/>
              <w:bottom w:w="90" w:type="dxa"/>
              <w:right w:w="90" w:type="dxa"/>
            </w:tcMar>
          </w:tcPr>
          <w:p>
            <w:pPr>
              <w:pStyle w:val="TableText"/>
              <w:spacing w:before="0" w:after="0"/>
            </w:pPr>
            <w:r>
              <w:t>95-97%</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Real approved pricing population.</w:t>
            </w:r>
          </w:p>
        </w:tc>
      </w:tr>
      <w:tr>
        <w:tc>
          <w:tcPr>
            <w:tcW w:w="1900" w:type="dxa"/>
            <w:vAlign w:val="top"/>
            <w:tcMar>
              <w:top w:w="90" w:type="dxa"/>
              <w:left w:w="90" w:type="dxa"/>
              <w:bottom w:w="90" w:type="dxa"/>
              <w:right w:w="90" w:type="dxa"/>
            </w:tcMar>
          </w:tcPr>
          <w:p>
            <w:pPr>
              <w:pStyle w:val="TableText"/>
              <w:spacing w:before="0" w:after="0"/>
            </w:pPr>
            <w:r>
              <w:t>Pricing Intelligence Admin</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90-95%</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Production pricing governance.</w:t>
            </w:r>
          </w:p>
        </w:tc>
      </w:tr>
      <w:tr>
        <w:tc>
          <w:tcPr>
            <w:tcW w:w="1900" w:type="dxa"/>
            <w:vAlign w:val="top"/>
            <w:tcMar>
              <w:top w:w="90" w:type="dxa"/>
              <w:left w:w="90" w:type="dxa"/>
              <w:bottom w:w="90" w:type="dxa"/>
              <w:right w:w="90" w:type="dxa"/>
            </w:tcMar>
          </w:tcPr>
          <w:p>
            <w:pPr>
              <w:pStyle w:val="TableText"/>
              <w:spacing w:before="0" w:after="0"/>
            </w:pPr>
            <w:r>
              <w:t>Client Context &amp; Additional Evidence</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90-95%</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Deep file extraction and real-data QA.</w:t>
            </w:r>
          </w:p>
        </w:tc>
      </w:tr>
      <w:tr>
        <w:tc>
          <w:tcPr>
            <w:tcW w:w="1900" w:type="dxa"/>
            <w:vAlign w:val="top"/>
            <w:tcMar>
              <w:top w:w="90" w:type="dxa"/>
              <w:left w:w="90" w:type="dxa"/>
              <w:bottom w:w="90" w:type="dxa"/>
              <w:right w:w="90" w:type="dxa"/>
            </w:tcMar>
          </w:tcPr>
          <w:p>
            <w:pPr>
              <w:pStyle w:val="TableText"/>
              <w:spacing w:before="0" w:after="0"/>
            </w:pPr>
            <w:r>
              <w:t>Customer Context Intelligence</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90-95%</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Prompt tuning with real cases.</w:t>
            </w:r>
          </w:p>
        </w:tc>
      </w:tr>
      <w:tr>
        <w:tc>
          <w:tcPr>
            <w:tcW w:w="1900" w:type="dxa"/>
            <w:vAlign w:val="top"/>
            <w:tcMar>
              <w:top w:w="90" w:type="dxa"/>
              <w:left w:w="90" w:type="dxa"/>
              <w:bottom w:w="90" w:type="dxa"/>
              <w:right w:w="90" w:type="dxa"/>
            </w:tcMar>
          </w:tcPr>
          <w:p>
            <w:pPr>
              <w:pStyle w:val="TableText"/>
              <w:spacing w:before="0" w:after="0"/>
            </w:pPr>
            <w:r>
              <w:t>Report preview</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95-97%</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QA across plan variants.</w:t>
            </w:r>
          </w:p>
        </w:tc>
      </w:tr>
      <w:tr>
        <w:tc>
          <w:tcPr>
            <w:tcW w:w="1900" w:type="dxa"/>
            <w:vAlign w:val="top"/>
            <w:tcMar>
              <w:top w:w="90" w:type="dxa"/>
              <w:left w:w="90" w:type="dxa"/>
              <w:bottom w:w="90" w:type="dxa"/>
              <w:right w:w="90" w:type="dxa"/>
            </w:tcMar>
          </w:tcPr>
          <w:p>
            <w:pPr>
              <w:pStyle w:val="TableText"/>
              <w:spacing w:before="0" w:after="0"/>
            </w:pPr>
            <w:r>
              <w:t>PDF generation</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94-97%</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Visual QA on real customer PDFs.</w:t>
            </w:r>
          </w:p>
        </w:tc>
      </w:tr>
      <w:tr>
        <w:tc>
          <w:tcPr>
            <w:tcW w:w="1900" w:type="dxa"/>
            <w:vAlign w:val="top"/>
            <w:tcMar>
              <w:top w:w="90" w:type="dxa"/>
              <w:left w:w="90" w:type="dxa"/>
              <w:bottom w:w="90" w:type="dxa"/>
              <w:right w:w="90" w:type="dxa"/>
            </w:tcMar>
          </w:tcPr>
          <w:p>
            <w:pPr>
              <w:pStyle w:val="TableText"/>
              <w:spacing w:before="0" w:after="0"/>
            </w:pPr>
            <w:r>
              <w:t>Admin dashboard</w:t>
            </w:r>
          </w:p>
        </w:tc>
        <w:tc>
          <w:tcPr>
            <w:tcW w:w="1700" w:type="dxa"/>
            <w:vAlign w:val="top"/>
            <w:tcMar>
              <w:top w:w="90" w:type="dxa"/>
              <w:left w:w="90" w:type="dxa"/>
              <w:bottom w:w="90" w:type="dxa"/>
              <w:right w:w="90" w:type="dxa"/>
            </w:tcMar>
          </w:tcPr>
          <w:p>
            <w:pPr>
              <w:pStyle w:val="TableText"/>
              <w:spacing w:before="0" w:after="0"/>
            </w:pPr>
            <w:r>
              <w:t>Ready</w:t>
            </w:r>
          </w:p>
        </w:tc>
        <w:tc>
          <w:tcPr>
            <w:tcW w:w="1100" w:type="dxa"/>
            <w:vAlign w:val="top"/>
            <w:tcMar>
              <w:top w:w="90" w:type="dxa"/>
              <w:left w:w="90" w:type="dxa"/>
              <w:bottom w:w="90" w:type="dxa"/>
              <w:right w:w="90" w:type="dxa"/>
            </w:tcMar>
          </w:tcPr>
          <w:p>
            <w:pPr>
              <w:pStyle w:val="TableText"/>
              <w:spacing w:before="0" w:after="0"/>
            </w:pPr>
            <w:r>
              <w:t>90-95%</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Live operational hardening.</w:t>
            </w:r>
          </w:p>
        </w:tc>
      </w:tr>
      <w:tr>
        <w:tc>
          <w:tcPr>
            <w:tcW w:w="1900" w:type="dxa"/>
            <w:vAlign w:val="top"/>
            <w:tcMar>
              <w:top w:w="90" w:type="dxa"/>
              <w:left w:w="90" w:type="dxa"/>
              <w:bottom w:w="90" w:type="dxa"/>
              <w:right w:w="90" w:type="dxa"/>
            </w:tcMar>
          </w:tcPr>
          <w:p>
            <w:pPr>
              <w:pStyle w:val="TableText"/>
              <w:spacing w:before="0" w:after="0"/>
            </w:pPr>
            <w:r>
              <w:t>Production release</w:t>
            </w:r>
          </w:p>
        </w:tc>
        <w:tc>
          <w:tcPr>
            <w:tcW w:w="1700" w:type="dxa"/>
            <w:vAlign w:val="top"/>
            <w:tcMar>
              <w:top w:w="90" w:type="dxa"/>
              <w:left w:w="90" w:type="dxa"/>
              <w:bottom w:w="90" w:type="dxa"/>
              <w:right w:w="90" w:type="dxa"/>
            </w:tcMar>
          </w:tcPr>
          <w:p>
            <w:pPr>
              <w:pStyle w:val="TableText"/>
              <w:spacing w:before="0" w:after="0"/>
            </w:pPr>
            <w:r>
              <w:t>Controlled release closed</w:t>
            </w:r>
          </w:p>
        </w:tc>
        <w:tc>
          <w:tcPr>
            <w:tcW w:w="1100" w:type="dxa"/>
            <w:vAlign w:val="top"/>
            <w:tcMar>
              <w:top w:w="90" w:type="dxa"/>
              <w:left w:w="90" w:type="dxa"/>
              <w:bottom w:w="90" w:type="dxa"/>
              <w:right w:w="90" w:type="dxa"/>
            </w:tcMar>
          </w:tcPr>
          <w:p>
            <w:pPr>
              <w:pStyle w:val="TableText"/>
              <w:spacing w:before="0" w:after="0"/>
            </w:pPr>
            <w:r>
              <w:t>97-98%</w:t>
            </w:r>
          </w:p>
        </w:tc>
        <w:tc>
          <w:tcPr>
            <w:tcW w:w="1200" w:type="dxa"/>
            <w:vAlign w:val="top"/>
            <w:tcMar>
              <w:top w:w="90" w:type="dxa"/>
              <w:left w:w="90" w:type="dxa"/>
              <w:bottom w:w="90" w:type="dxa"/>
              <w:right w:w="90" w:type="dxa"/>
            </w:tcMar>
          </w:tcPr>
          <w:p>
            <w:pPr>
              <w:pStyle w:val="TableText"/>
              <w:spacing w:before="0" w:after="0"/>
            </w:pPr>
            <w:r>
              <w:t>Yes</w:t>
            </w:r>
          </w:p>
        </w:tc>
        <w:tc>
          <w:tcPr>
            <w:tcW w:w="3460" w:type="dxa"/>
            <w:vAlign w:val="top"/>
            <w:tcMar>
              <w:top w:w="90" w:type="dxa"/>
              <w:left w:w="90" w:type="dxa"/>
              <w:bottom w:w="90" w:type="dxa"/>
              <w:right w:w="90" w:type="dxa"/>
            </w:tcMar>
          </w:tcPr>
          <w:p>
            <w:pPr>
              <w:pStyle w:val="TableText"/>
              <w:spacing w:before="0" w:after="0"/>
            </w:pPr>
            <w:r>
              <w:t>Full public launch decision pending.</w:t>
            </w:r>
          </w:p>
        </w:tc>
      </w:tr>
    </w:tbl>
    <w:p>
      <w:pPr>
        <w:spacing w:before="0" w:after="120"/>
      </w:pPr>
      <w:r>
        <w:t/>
      </w:r>
    </w:p>
    <w:p>
      <w:pPr>
        <w:pStyle w:val="Heading1"/>
        <w:spacing w:before="280" w:after="120"/>
      </w:pPr>
      <w:r>
        <w:t>7. Licensing &amp; Cost Exposure Analysis</w:t>
      </w:r>
    </w:p>
    <w:p>
      <w:pPr>
        <w:spacing w:before="0" w:after="120"/>
      </w:pPr>
      <w:r>
        <w:t>This module evaluates licensing and cost exposure for VMware/Broadcom to Proxmox planning. It provides conservative planning signals, not vendor quotes or procurement commitments.</w:t>
      </w:r>
    </w:p>
    <w:p>
      <w:pPr>
        <w:pStyle w:val="ListParagraph"/>
        <w:numPr>
          <w:ilvl w:val="0"/>
          <w:numId w:val="1"/>
        </w:numPr>
        <w:spacing w:after="80"/>
      </w:pPr>
      <w:r>
        <w:t>Pricing Intelligence admin manages snapshots, snapshot items, refresh runs and approval/rejection/archive workflows.</w:t>
      </w:r>
    </w:p>
    <w:p>
      <w:pPr>
        <w:pStyle w:val="ListParagraph"/>
        <w:numPr>
          <w:ilvl w:val="0"/>
          <w:numId w:val="1"/>
        </w:numPr>
        <w:spacing w:after="80"/>
      </w:pPr>
      <w:r>
        <w:t>Only approved snapshots are usable by the assessment engine.</w:t>
      </w:r>
    </w:p>
    <w:p>
      <w:pPr>
        <w:pStyle w:val="ListParagraph"/>
        <w:numPr>
          <w:ilvl w:val="0"/>
          <w:numId w:val="1"/>
        </w:numPr>
        <w:spacing w:after="80"/>
      </w:pPr>
      <w:r>
        <w:t>Outputs include Financial Confidence, Savings Quality, Cost of Staying, Contract Timing Risk, Licensing Traps, Missing Financial Evidence and Executive Recommendation.</w:t>
      </w:r>
    </w:p>
    <w:p>
      <w:pPr>
        <w:pStyle w:val="ListParagraph"/>
        <w:numPr>
          <w:ilvl w:val="0"/>
          <w:numId w:val="1"/>
        </w:numPr>
        <w:spacing w:after="80"/>
      </w:pPr>
      <w:r>
        <w:t>All financial values are USD-only. Third-party licensing, storage cost modeling and official vendor quote representation are out of scope.</w:t>
      </w:r>
    </w:p>
    <w:p>
      <w:pPr>
        <w:pStyle w:val="Heading1"/>
        <w:spacing w:before="280" w:after="120"/>
      </w:pPr>
      <w:r>
        <w:t>8. Client Context &amp; Additional Evidence</w:t>
      </w:r>
    </w:p>
    <w:p>
      <w:pPr>
        <w:spacing w:before="0" w:after="120"/>
      </w:pPr>
      <w:r>
        <w:t>This module lets customers describe business pressure, deadlines, constraints, critical workloads, unknowns and concerns that do not fit structured forms.</w:t>
      </w:r>
    </w:p>
    <w:p>
      <w:pPr>
        <w:pStyle w:val="ListParagraph"/>
        <w:numPr>
          <w:ilvl w:val="0"/>
          <w:numId w:val="1"/>
        </w:numPr>
        <w:spacing w:after="80"/>
      </w:pPr>
      <w:r>
        <w:t>Raw free-text is stored with the assessment but is not printed directly in preview or PDF.</w:t>
      </w:r>
    </w:p>
    <w:p>
      <w:pPr>
        <w:pStyle w:val="ListParagraph"/>
        <w:numPr>
          <w:ilvl w:val="0"/>
          <w:numId w:val="1"/>
        </w:numPr>
        <w:spacing w:after="80"/>
      </w:pPr>
      <w:r>
        <w:t>The UI supports draft, submit, skip, word/character counts, plan limits and safety disclaimers.</w:t>
      </w:r>
    </w:p>
    <w:p>
      <w:pPr>
        <w:pStyle w:val="ListParagraph"/>
        <w:numPr>
          <w:ilvl w:val="0"/>
          <w:numId w:val="1"/>
        </w:numPr>
        <w:spacing w:after="80"/>
      </w:pPr>
      <w:r>
        <w:t>Additional evidence is linked to EvidenceFile and classified as business context, technical evidence, financial evidence, architecture diagram, contract/renewal evidence or unknown/needs review.</w:t>
      </w:r>
    </w:p>
    <w:p>
      <w:pPr>
        <w:pStyle w:val="ListParagraph"/>
        <w:numPr>
          <w:ilvl w:val="0"/>
          <w:numId w:val="1"/>
        </w:numPr>
        <w:spacing w:after="80"/>
      </w:pPr>
      <w:r>
        <w:t>Files are received/classified; deep extraction, OCR and diagram interpretation remain future work.</w:t>
      </w:r>
    </w:p>
    <w:p>
      <w:pPr>
        <w:pStyle w:val="Heading1"/>
        <w:spacing w:before="280" w:after="120"/>
      </w:pPr>
      <w:r>
        <w:t>9. Customer Context Intelligence</w:t>
      </w:r>
    </w:p>
    <w:p>
      <w:pPr>
        <w:spacing w:before="0" w:after="120"/>
      </w:pPr>
      <w:r>
        <w:t>Customer Context Intelligence is the AI-derived structured interpretation of submitted client context. It summarizes and organizes customer-provided narrative without treating it as confirmed technical evidence.</w:t>
      </w:r>
    </w:p>
    <w:p>
      <w:pPr>
        <w:pStyle w:val="ListParagraph"/>
        <w:numPr>
          <w:ilvl w:val="0"/>
          <w:numId w:val="1"/>
        </w:numPr>
        <w:spacing w:after="80"/>
      </w:pPr>
      <w:r>
        <w:t>Chunking avoids sending very long narratives as a single prompt.</w:t>
      </w:r>
    </w:p>
    <w:p>
      <w:pPr>
        <w:pStyle w:val="ListParagraph"/>
        <w:numPr>
          <w:ilvl w:val="0"/>
          <w:numId w:val="1"/>
        </w:numPr>
        <w:spacing w:after="80"/>
      </w:pPr>
      <w:r>
        <w:t>Sanitization and safety detection reduce secret leakage and flag prompt-injection-like instructions.</w:t>
      </w:r>
    </w:p>
    <w:p>
      <w:pPr>
        <w:pStyle w:val="ListParagraph"/>
        <w:numPr>
          <w:ilvl w:val="0"/>
          <w:numId w:val="1"/>
        </w:numPr>
        <w:spacing w:after="80"/>
      </w:pPr>
      <w:r>
        <w:t>The prompt contract tells the model to treat client content as data, never as instructions.</w:t>
      </w:r>
    </w:p>
    <w:p>
      <w:pPr>
        <w:pStyle w:val="ListParagraph"/>
        <w:numPr>
          <w:ilvl w:val="0"/>
          <w:numId w:val="1"/>
        </w:numPr>
        <w:spacing w:after="80"/>
      </w:pPr>
      <w:r>
        <w:t>Structured output includes interpreted summary, business priorities, migration constraints, critical workloads, customer-reported risks, insights, contradictions, validation items, report impact, next questions, Context Completeness Score, Business Context Confidence and safety flags.</w:t>
      </w:r>
    </w:p>
    <w:p>
      <w:pPr>
        <w:pStyle w:val="ListParagraph"/>
        <w:numPr>
          <w:ilvl w:val="0"/>
          <w:numId w:val="1"/>
        </w:numPr>
        <w:spacing w:after="80"/>
      </w:pPr>
      <w:r>
        <w:t>Fallbacks cover AI disabled, budget blocked, plan restricted, failed and stale analyses.</w:t>
      </w:r>
    </w:p>
    <w:p>
      <w:pPr>
        <w:pStyle w:val="Heading1"/>
        <w:spacing w:before="280" w:after="120"/>
      </w:pPr>
      <w:r>
        <w:t>10. Reports &amp; PDF</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2600"/>
        <w:gridCol w:w="6760"/>
      </w:tblGrid>
      <w:tr>
        <w:tc>
          <w:tcPr>
            <w:tcW w:w="2600" w:type="dxa"/>
            <w:shd w:fill="E8EEF5"/>
            <w:vAlign w:val="top"/>
            <w:tcMar>
              <w:top w:w="90" w:type="dxa"/>
              <w:left w:w="90" w:type="dxa"/>
              <w:bottom w:w="90" w:type="dxa"/>
              <w:right w:w="90" w:type="dxa"/>
            </w:tcMar>
          </w:tcPr>
          <w:p>
            <w:pPr>
              <w:pStyle w:val="TableText"/>
              <w:spacing w:before="0" w:after="0"/>
            </w:pPr>
            <w:r>
              <w:rPr>
                <w:b/>
                <w:color w:val="1F4E79"/>
              </w:rPr>
              <w:t>Area</w:t>
            </w:r>
          </w:p>
        </w:tc>
        <w:tc>
          <w:tcPr>
            <w:tcW w:w="6760" w:type="dxa"/>
            <w:shd w:fill="E8EEF5"/>
            <w:vAlign w:val="top"/>
            <w:tcMar>
              <w:top w:w="90" w:type="dxa"/>
              <w:left w:w="90" w:type="dxa"/>
              <w:bottom w:w="90" w:type="dxa"/>
              <w:right w:w="90" w:type="dxa"/>
            </w:tcMar>
          </w:tcPr>
          <w:p>
            <w:pPr>
              <w:pStyle w:val="TableText"/>
              <w:spacing w:before="0" w:after="0"/>
            </w:pPr>
            <w:r>
              <w:rPr>
                <w:b/>
                <w:color w:val="1F4E79"/>
              </w:rPr>
              <w:t>Current Behavior</w:t>
            </w:r>
          </w:p>
        </w:tc>
      </w:tr>
      <w:tr>
        <w:tc>
          <w:tcPr>
            <w:tcW w:w="2600" w:type="dxa"/>
            <w:vAlign w:val="top"/>
            <w:tcMar>
              <w:top w:w="90" w:type="dxa"/>
              <w:left w:w="90" w:type="dxa"/>
              <w:bottom w:w="90" w:type="dxa"/>
              <w:right w:w="90" w:type="dxa"/>
            </w:tcMar>
          </w:tcPr>
          <w:p>
            <w:pPr>
              <w:pStyle w:val="TableText"/>
              <w:spacing w:before="0" w:after="0"/>
            </w:pPr>
            <w:r>
              <w:t>Preview</w:t>
            </w:r>
          </w:p>
        </w:tc>
        <w:tc>
          <w:tcPr>
            <w:tcW w:w="6760" w:type="dxa"/>
            <w:vAlign w:val="top"/>
            <w:tcMar>
              <w:top w:w="90" w:type="dxa"/>
              <w:left w:w="90" w:type="dxa"/>
              <w:bottom w:w="90" w:type="dxa"/>
              <w:right w:w="90" w:type="dxa"/>
            </w:tcMar>
          </w:tcPr>
          <w:p>
            <w:pPr>
              <w:pStyle w:val="TableText"/>
              <w:spacing w:before="0" w:after="0"/>
            </w:pPr>
            <w:r>
              <w:t>Includes readiness, coverage/assumptions, licensing payload and customer context intelligence payload where available.</w:t>
            </w:r>
          </w:p>
        </w:tc>
      </w:tr>
      <w:tr>
        <w:tc>
          <w:tcPr>
            <w:tcW w:w="2600" w:type="dxa"/>
            <w:vAlign w:val="top"/>
            <w:tcMar>
              <w:top w:w="90" w:type="dxa"/>
              <w:left w:w="90" w:type="dxa"/>
              <w:bottom w:w="90" w:type="dxa"/>
              <w:right w:w="90" w:type="dxa"/>
            </w:tcMar>
          </w:tcPr>
          <w:p>
            <w:pPr>
              <w:pStyle w:val="TableText"/>
              <w:spacing w:before="0" w:after="0"/>
            </w:pPr>
            <w:r>
              <w:t>PDF sections</w:t>
            </w:r>
          </w:p>
        </w:tc>
        <w:tc>
          <w:tcPr>
            <w:tcW w:w="6760" w:type="dxa"/>
            <w:vAlign w:val="top"/>
            <w:tcMar>
              <w:top w:w="90" w:type="dxa"/>
              <w:left w:w="90" w:type="dxa"/>
              <w:bottom w:w="90" w:type="dxa"/>
              <w:right w:w="90" w:type="dxa"/>
            </w:tcMar>
          </w:tcPr>
          <w:p>
            <w:pPr>
              <w:pStyle w:val="TableText"/>
              <w:spacing w:before="0" w:after="0"/>
            </w:pPr>
            <w:r>
              <w:t>Executive Summary, Coverage/Assumptions, readiness/confidence sections, Licensing &amp; Cost Exposure and Customer Context Intelligence where applicable.</w:t>
            </w:r>
          </w:p>
        </w:tc>
      </w:tr>
      <w:tr>
        <w:tc>
          <w:tcPr>
            <w:tcW w:w="2600" w:type="dxa"/>
            <w:vAlign w:val="top"/>
            <w:tcMar>
              <w:top w:w="90" w:type="dxa"/>
              <w:left w:w="90" w:type="dxa"/>
              <w:bottom w:w="90" w:type="dxa"/>
              <w:right w:w="90" w:type="dxa"/>
            </w:tcMar>
          </w:tcPr>
          <w:p>
            <w:pPr>
              <w:pStyle w:val="TableText"/>
              <w:spacing w:before="0" w:after="0"/>
            </w:pPr>
            <w:r>
              <w:t>Disclaimers</w:t>
            </w:r>
          </w:p>
        </w:tc>
        <w:tc>
          <w:tcPr>
            <w:tcW w:w="6760" w:type="dxa"/>
            <w:vAlign w:val="top"/>
            <w:tcMar>
              <w:top w:w="90" w:type="dxa"/>
              <w:left w:w="90" w:type="dxa"/>
              <w:bottom w:w="90" w:type="dxa"/>
              <w:right w:w="90" w:type="dxa"/>
            </w:tcMar>
          </w:tcPr>
          <w:p>
            <w:pPr>
              <w:pStyle w:val="TableText"/>
              <w:spacing w:before="0" w:after="0"/>
            </w:pPr>
            <w:r>
              <w:t>Distinguish planning estimates from vendor quotes and customer-reported context from confirmed evidence.</w:t>
            </w:r>
          </w:p>
        </w:tc>
      </w:tr>
      <w:tr>
        <w:tc>
          <w:tcPr>
            <w:tcW w:w="2600" w:type="dxa"/>
            <w:vAlign w:val="top"/>
            <w:tcMar>
              <w:top w:w="90" w:type="dxa"/>
              <w:left w:w="90" w:type="dxa"/>
              <w:bottom w:w="90" w:type="dxa"/>
              <w:right w:w="90" w:type="dxa"/>
            </w:tcMar>
          </w:tcPr>
          <w:p>
            <w:pPr>
              <w:pStyle w:val="TableText"/>
              <w:spacing w:before="0" w:after="0"/>
            </w:pPr>
            <w:r>
              <w:t>Data safety</w:t>
            </w:r>
          </w:p>
        </w:tc>
        <w:tc>
          <w:tcPr>
            <w:tcW w:w="6760" w:type="dxa"/>
            <w:vAlign w:val="top"/>
            <w:tcMar>
              <w:top w:w="90" w:type="dxa"/>
              <w:left w:w="90" w:type="dxa"/>
              <w:bottom w:w="90" w:type="dxa"/>
              <w:right w:w="90" w:type="dxa"/>
            </w:tcMar>
          </w:tcPr>
          <w:p>
            <w:pPr>
              <w:pStyle w:val="TableText"/>
              <w:spacing w:before="0" w:after="0"/>
            </w:pPr>
            <w:r>
              <w:t>No raw client context and no file contents are printed in report/PDF.</w:t>
            </w:r>
          </w:p>
        </w:tc>
      </w:tr>
      <w:tr>
        <w:tc>
          <w:tcPr>
            <w:tcW w:w="2600" w:type="dxa"/>
            <w:vAlign w:val="top"/>
            <w:tcMar>
              <w:top w:w="90" w:type="dxa"/>
              <w:left w:w="90" w:type="dxa"/>
              <w:bottom w:w="90" w:type="dxa"/>
              <w:right w:w="90" w:type="dxa"/>
            </w:tcMar>
          </w:tcPr>
          <w:p>
            <w:pPr>
              <w:pStyle w:val="TableText"/>
              <w:spacing w:before="0" w:after="0"/>
            </w:pPr>
            <w:r>
              <w:t>Smoke tests</w:t>
            </w:r>
          </w:p>
        </w:tc>
        <w:tc>
          <w:tcPr>
            <w:tcW w:w="6760" w:type="dxa"/>
            <w:vAlign w:val="top"/>
            <w:tcMar>
              <w:top w:w="90" w:type="dxa"/>
              <w:left w:w="90" w:type="dxa"/>
              <w:bottom w:w="90" w:type="dxa"/>
              <w:right w:w="90" w:type="dxa"/>
            </w:tcMar>
          </w:tcPr>
          <w:p>
            <w:pPr>
              <w:pStyle w:val="TableText"/>
              <w:spacing w:before="0" w:after="0"/>
            </w:pPr>
            <w:r>
              <w:t>Synthetic PDF smoke tests passed; real customer visual QA remains recommended.</w:t>
            </w:r>
          </w:p>
        </w:tc>
      </w:tr>
    </w:tbl>
    <w:p>
      <w:pPr>
        <w:spacing w:before="0" w:after="120"/>
      </w:pPr>
      <w:r>
        <w:t/>
      </w:r>
    </w:p>
    <w:p>
      <w:pPr>
        <w:pStyle w:val="Heading1"/>
        <w:spacing w:before="280" w:after="120"/>
      </w:pPr>
      <w:r>
        <w:t>11. Production &amp; Release Status</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2600"/>
        <w:gridCol w:w="6760"/>
      </w:tblGrid>
      <w:tr>
        <w:tc>
          <w:tcPr>
            <w:tcW w:w="2600" w:type="dxa"/>
            <w:shd w:fill="E8EEF5"/>
            <w:vAlign w:val="top"/>
            <w:tcMar>
              <w:top w:w="90" w:type="dxa"/>
              <w:left w:w="90" w:type="dxa"/>
              <w:bottom w:w="90" w:type="dxa"/>
              <w:right w:w="90" w:type="dxa"/>
            </w:tcMar>
          </w:tcPr>
          <w:p>
            <w:pPr>
              <w:pStyle w:val="TableText"/>
              <w:spacing w:before="0" w:after="0"/>
            </w:pPr>
            <w:r>
              <w:rPr>
                <w:b/>
                <w:color w:val="1F4E79"/>
              </w:rPr>
              <w:t>Area</w:t>
            </w:r>
          </w:p>
        </w:tc>
        <w:tc>
          <w:tcPr>
            <w:tcW w:w="6760" w:type="dxa"/>
            <w:shd w:fill="E8EEF5"/>
            <w:vAlign w:val="top"/>
            <w:tcMar>
              <w:top w:w="90" w:type="dxa"/>
              <w:left w:w="90" w:type="dxa"/>
              <w:bottom w:w="90" w:type="dxa"/>
              <w:right w:w="90" w:type="dxa"/>
            </w:tcMar>
          </w:tcPr>
          <w:p>
            <w:pPr>
              <w:pStyle w:val="TableText"/>
              <w:spacing w:before="0" w:after="0"/>
            </w:pPr>
            <w:r>
              <w:rPr>
                <w:b/>
                <w:color w:val="1F4E79"/>
              </w:rPr>
              <w:t>Status</w:t>
            </w:r>
          </w:p>
        </w:tc>
      </w:tr>
      <w:tr>
        <w:tc>
          <w:tcPr>
            <w:tcW w:w="2600" w:type="dxa"/>
            <w:vAlign w:val="top"/>
            <w:tcMar>
              <w:top w:w="90" w:type="dxa"/>
              <w:left w:w="90" w:type="dxa"/>
              <w:bottom w:w="90" w:type="dxa"/>
              <w:right w:w="90" w:type="dxa"/>
            </w:tcMar>
          </w:tcPr>
          <w:p>
            <w:pPr>
              <w:pStyle w:val="TableText"/>
              <w:spacing w:before="0" w:after="0"/>
            </w:pPr>
            <w:r>
              <w:t>Database migrations</w:t>
            </w:r>
          </w:p>
        </w:tc>
        <w:tc>
          <w:tcPr>
            <w:tcW w:w="6760" w:type="dxa"/>
            <w:vAlign w:val="top"/>
            <w:tcMar>
              <w:top w:w="90" w:type="dxa"/>
              <w:left w:w="90" w:type="dxa"/>
              <w:bottom w:w="90" w:type="dxa"/>
              <w:right w:w="90" w:type="dxa"/>
            </w:tcMar>
          </w:tcPr>
          <w:p>
            <w:pPr>
              <w:pStyle w:val="TableText"/>
              <w:spacing w:before="0" w:after="0"/>
            </w:pPr>
            <w:r>
              <w:t>Production schema was updated and Prisma migrate status was up to date after controlled release.</w:t>
            </w:r>
          </w:p>
        </w:tc>
      </w:tr>
      <w:tr>
        <w:tc>
          <w:tcPr>
            <w:tcW w:w="2600" w:type="dxa"/>
            <w:vAlign w:val="top"/>
            <w:tcMar>
              <w:top w:w="90" w:type="dxa"/>
              <w:left w:w="90" w:type="dxa"/>
              <w:bottom w:w="90" w:type="dxa"/>
              <w:right w:w="90" w:type="dxa"/>
            </w:tcMar>
          </w:tcPr>
          <w:p>
            <w:pPr>
              <w:pStyle w:val="TableText"/>
              <w:spacing w:before="0" w:after="0"/>
            </w:pPr>
            <w:r>
              <w:t>Public smoke</w:t>
            </w:r>
          </w:p>
        </w:tc>
        <w:tc>
          <w:tcPr>
            <w:tcW w:w="6760" w:type="dxa"/>
            <w:vAlign w:val="top"/>
            <w:tcMar>
              <w:top w:w="90" w:type="dxa"/>
              <w:left w:w="90" w:type="dxa"/>
              <w:bottom w:w="90" w:type="dxa"/>
              <w:right w:w="90" w:type="dxa"/>
            </w:tcMar>
          </w:tcPr>
          <w:p>
            <w:pPr>
              <w:pStyle w:val="TableText"/>
              <w:spacing w:before="0" w:after="0"/>
            </w:pPr>
            <w:r>
              <w:t>Public routes were validated as stable.</w:t>
            </w:r>
          </w:p>
        </w:tc>
      </w:tr>
      <w:tr>
        <w:tc>
          <w:tcPr>
            <w:tcW w:w="2600" w:type="dxa"/>
            <w:vAlign w:val="top"/>
            <w:tcMar>
              <w:top w:w="90" w:type="dxa"/>
              <w:left w:w="90" w:type="dxa"/>
              <w:bottom w:w="90" w:type="dxa"/>
              <w:right w:w="90" w:type="dxa"/>
            </w:tcMar>
          </w:tcPr>
          <w:p>
            <w:pPr>
              <w:pStyle w:val="TableText"/>
              <w:spacing w:before="0" w:after="0"/>
            </w:pPr>
            <w:r>
              <w:t>Authenticated smoke</w:t>
            </w:r>
          </w:p>
        </w:tc>
        <w:tc>
          <w:tcPr>
            <w:tcW w:w="6760" w:type="dxa"/>
            <w:vAlign w:val="top"/>
            <w:tcMar>
              <w:top w:w="90" w:type="dxa"/>
              <w:left w:w="90" w:type="dxa"/>
              <w:bottom w:w="90" w:type="dxa"/>
              <w:right w:w="90" w:type="dxa"/>
            </w:tcMar>
          </w:tcPr>
          <w:p>
            <w:pPr>
              <w:pStyle w:val="TableText"/>
              <w:spacing w:before="0" w:after="0"/>
            </w:pPr>
            <w:r>
              <w:t>Closed by user-attested production smoke.</w:t>
            </w:r>
          </w:p>
        </w:tc>
      </w:tr>
      <w:tr>
        <w:tc>
          <w:tcPr>
            <w:tcW w:w="2600" w:type="dxa"/>
            <w:vAlign w:val="top"/>
            <w:tcMar>
              <w:top w:w="90" w:type="dxa"/>
              <w:left w:w="90" w:type="dxa"/>
              <w:bottom w:w="90" w:type="dxa"/>
              <w:right w:w="90" w:type="dxa"/>
            </w:tcMar>
          </w:tcPr>
          <w:p>
            <w:pPr>
              <w:pStyle w:val="TableText"/>
              <w:spacing w:before="0" w:after="0"/>
            </w:pPr>
            <w:r>
              <w:t>Controlled production release</w:t>
            </w:r>
          </w:p>
        </w:tc>
        <w:tc>
          <w:tcPr>
            <w:tcW w:w="6760" w:type="dxa"/>
            <w:vAlign w:val="top"/>
            <w:tcMar>
              <w:top w:w="90" w:type="dxa"/>
              <w:left w:w="90" w:type="dxa"/>
              <w:bottom w:w="90" w:type="dxa"/>
              <w:right w:w="90" w:type="dxa"/>
            </w:tcMar>
          </w:tcPr>
          <w:p>
            <w:pPr>
              <w:pStyle w:val="TableText"/>
              <w:spacing w:before="0" w:after="0"/>
            </w:pPr>
            <w:r>
              <w:t>Operationally closed.</w:t>
            </w:r>
          </w:p>
        </w:tc>
      </w:tr>
      <w:tr>
        <w:tc>
          <w:tcPr>
            <w:tcW w:w="2600" w:type="dxa"/>
            <w:vAlign w:val="top"/>
            <w:tcMar>
              <w:top w:w="90" w:type="dxa"/>
              <w:left w:w="90" w:type="dxa"/>
              <w:bottom w:w="90" w:type="dxa"/>
              <w:right w:w="90" w:type="dxa"/>
            </w:tcMar>
          </w:tcPr>
          <w:p>
            <w:pPr>
              <w:pStyle w:val="TableText"/>
              <w:spacing w:before="0" w:after="0"/>
            </w:pPr>
            <w:r>
              <w:t>Full public launch</w:t>
            </w:r>
          </w:p>
        </w:tc>
        <w:tc>
          <w:tcPr>
            <w:tcW w:w="6760" w:type="dxa"/>
            <w:vAlign w:val="top"/>
            <w:tcMar>
              <w:top w:w="90" w:type="dxa"/>
              <w:left w:w="90" w:type="dxa"/>
              <w:bottom w:w="90" w:type="dxa"/>
              <w:right w:w="90" w:type="dxa"/>
            </w:tcMar>
          </w:tcPr>
          <w:p>
            <w:pPr>
              <w:pStyle w:val="TableText"/>
              <w:spacing w:before="0" w:after="0"/>
            </w:pPr>
            <w:r>
              <w:t>Not declared.</w:t>
            </w:r>
          </w:p>
        </w:tc>
      </w:tr>
      <w:tr>
        <w:tc>
          <w:tcPr>
            <w:tcW w:w="2600" w:type="dxa"/>
            <w:vAlign w:val="top"/>
            <w:tcMar>
              <w:top w:w="90" w:type="dxa"/>
              <w:left w:w="90" w:type="dxa"/>
              <w:bottom w:w="90" w:type="dxa"/>
              <w:right w:w="90" w:type="dxa"/>
            </w:tcMar>
          </w:tcPr>
          <w:p>
            <w:pPr>
              <w:pStyle w:val="TableText"/>
              <w:spacing w:before="0" w:after="0"/>
            </w:pPr>
            <w:r>
              <w:t>Remaining risks</w:t>
            </w:r>
          </w:p>
        </w:tc>
        <w:tc>
          <w:tcPr>
            <w:tcW w:w="6760" w:type="dxa"/>
            <w:vAlign w:val="top"/>
            <w:tcMar>
              <w:top w:w="90" w:type="dxa"/>
              <w:left w:w="90" w:type="dxa"/>
              <w:bottom w:w="90" w:type="dxa"/>
              <w:right w:w="90" w:type="dxa"/>
            </w:tcMar>
          </w:tcPr>
          <w:p>
            <w:pPr>
              <w:pStyle w:val="TableText"/>
              <w:spacing w:before="0" w:after="0"/>
            </w:pPr>
            <w:r>
              <w:t>Pricing approval, deeper QA with real datasets, prompt tuning and PDF visual refinements.</w:t>
            </w:r>
          </w:p>
        </w:tc>
      </w:tr>
    </w:tbl>
    <w:p>
      <w:pPr>
        <w:spacing w:before="0" w:after="120"/>
      </w:pPr>
      <w:r>
        <w:t/>
      </w:r>
    </w:p>
    <w:p>
      <w:pPr>
        <w:pStyle w:val="Heading1"/>
        <w:spacing w:before="280" w:after="120"/>
      </w:pPr>
      <w:r>
        <w:t>12. Roadmap</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1800"/>
        <w:gridCol w:w="7560"/>
      </w:tblGrid>
      <w:tr>
        <w:tc>
          <w:tcPr>
            <w:tcW w:w="1800" w:type="dxa"/>
            <w:shd w:fill="E8EEF5"/>
            <w:vAlign w:val="top"/>
            <w:tcMar>
              <w:top w:w="90" w:type="dxa"/>
              <w:left w:w="90" w:type="dxa"/>
              <w:bottom w:w="90" w:type="dxa"/>
              <w:right w:w="90" w:type="dxa"/>
            </w:tcMar>
          </w:tcPr>
          <w:p>
            <w:pPr>
              <w:pStyle w:val="TableText"/>
              <w:spacing w:before="0" w:after="0"/>
            </w:pPr>
            <w:r>
              <w:rPr>
                <w:b/>
                <w:color w:val="1F4E79"/>
              </w:rPr>
              <w:t>Horizon</w:t>
            </w:r>
          </w:p>
        </w:tc>
        <w:tc>
          <w:tcPr>
            <w:tcW w:w="7560" w:type="dxa"/>
            <w:shd w:fill="E8EEF5"/>
            <w:vAlign w:val="top"/>
            <w:tcMar>
              <w:top w:w="90" w:type="dxa"/>
              <w:left w:w="90" w:type="dxa"/>
              <w:bottom w:w="90" w:type="dxa"/>
              <w:right w:w="90" w:type="dxa"/>
            </w:tcMar>
          </w:tcPr>
          <w:p>
            <w:pPr>
              <w:pStyle w:val="TableText"/>
              <w:spacing w:before="0" w:after="0"/>
            </w:pPr>
            <w:r>
              <w:rPr>
                <w:b/>
                <w:color w:val="1F4E79"/>
              </w:rPr>
              <w:t>Recommended Work</w:t>
            </w:r>
          </w:p>
        </w:tc>
      </w:tr>
      <w:tr>
        <w:tc>
          <w:tcPr>
            <w:tcW w:w="1800" w:type="dxa"/>
            <w:vAlign w:val="top"/>
            <w:tcMar>
              <w:top w:w="90" w:type="dxa"/>
              <w:left w:w="90" w:type="dxa"/>
              <w:bottom w:w="90" w:type="dxa"/>
              <w:right w:w="90" w:type="dxa"/>
            </w:tcMar>
          </w:tcPr>
          <w:p>
            <w:pPr>
              <w:pStyle w:val="TableText"/>
              <w:spacing w:before="0" w:after="0"/>
            </w:pPr>
            <w:r>
              <w:t>Immediate</w:t>
            </w:r>
          </w:p>
        </w:tc>
        <w:tc>
          <w:tcPr>
            <w:tcW w:w="7560" w:type="dxa"/>
            <w:vAlign w:val="top"/>
            <w:tcMar>
              <w:top w:w="90" w:type="dxa"/>
              <w:left w:w="90" w:type="dxa"/>
              <w:bottom w:w="90" w:type="dxa"/>
              <w:right w:w="90" w:type="dxa"/>
            </w:tcMar>
          </w:tcPr>
          <w:p>
            <w:pPr>
              <w:pStyle w:val="TableText"/>
              <w:spacing w:before="0" w:after="0"/>
            </w:pPr>
            <w:r>
              <w:t>Controlled beta/demo usage, real pricing approval/population and real customer smoke with safe datasets.</w:t>
            </w:r>
          </w:p>
        </w:tc>
      </w:tr>
      <w:tr>
        <w:tc>
          <w:tcPr>
            <w:tcW w:w="1800" w:type="dxa"/>
            <w:vAlign w:val="top"/>
            <w:tcMar>
              <w:top w:w="90" w:type="dxa"/>
              <w:left w:w="90" w:type="dxa"/>
              <w:bottom w:w="90" w:type="dxa"/>
              <w:right w:w="90" w:type="dxa"/>
            </w:tcMar>
          </w:tcPr>
          <w:p>
            <w:pPr>
              <w:pStyle w:val="TableText"/>
              <w:spacing w:before="0" w:after="0"/>
            </w:pPr>
            <w:r>
              <w:t>Short term</w:t>
            </w:r>
          </w:p>
        </w:tc>
        <w:tc>
          <w:tcPr>
            <w:tcW w:w="7560" w:type="dxa"/>
            <w:vAlign w:val="top"/>
            <w:tcMar>
              <w:top w:w="90" w:type="dxa"/>
              <w:left w:w="90" w:type="dxa"/>
              <w:bottom w:w="90" w:type="dxa"/>
              <w:right w:w="90" w:type="dxa"/>
            </w:tcMar>
          </w:tcPr>
          <w:p>
            <w:pPr>
              <w:pStyle w:val="TableText"/>
              <w:spacing w:before="0" w:after="0"/>
            </w:pPr>
            <w:r>
              <w:t>Prompt tuning with real cases, PDF visual QA with real reports and plan/entitlement commercial tuning.</w:t>
            </w:r>
          </w:p>
        </w:tc>
      </w:tr>
      <w:tr>
        <w:tc>
          <w:tcPr>
            <w:tcW w:w="1800" w:type="dxa"/>
            <w:vAlign w:val="top"/>
            <w:tcMar>
              <w:top w:w="90" w:type="dxa"/>
              <w:left w:w="90" w:type="dxa"/>
              <w:bottom w:w="90" w:type="dxa"/>
              <w:right w:w="90" w:type="dxa"/>
            </w:tcMar>
          </w:tcPr>
          <w:p>
            <w:pPr>
              <w:pStyle w:val="TableText"/>
              <w:spacing w:before="0" w:after="0"/>
            </w:pPr>
            <w:r>
              <w:t>Medium term</w:t>
            </w:r>
          </w:p>
        </w:tc>
        <w:tc>
          <w:tcPr>
            <w:tcW w:w="7560" w:type="dxa"/>
            <w:vAlign w:val="top"/>
            <w:tcMar>
              <w:top w:w="90" w:type="dxa"/>
              <w:left w:w="90" w:type="dxa"/>
              <w:bottom w:w="90" w:type="dxa"/>
              <w:right w:w="90" w:type="dxa"/>
            </w:tcMar>
          </w:tcPr>
          <w:p>
            <w:pPr>
              <w:pStyle w:val="TableText"/>
              <w:spacing w:before="0" w:after="0"/>
            </w:pPr>
            <w:r>
              <w:t>Deep file extraction for TXT/PDF/DOCX, storage cost model, performance historical analysis and richer Proxmox target validation.</w:t>
            </w:r>
          </w:p>
        </w:tc>
      </w:tr>
      <w:tr>
        <w:tc>
          <w:tcPr>
            <w:tcW w:w="1800" w:type="dxa"/>
            <w:vAlign w:val="top"/>
            <w:tcMar>
              <w:top w:w="90" w:type="dxa"/>
              <w:left w:w="90" w:type="dxa"/>
              <w:bottom w:w="90" w:type="dxa"/>
              <w:right w:w="90" w:type="dxa"/>
            </w:tcMar>
          </w:tcPr>
          <w:p>
            <w:pPr>
              <w:pStyle w:val="TableText"/>
              <w:spacing w:before="0" w:after="0"/>
            </w:pPr>
            <w:r>
              <w:t>Future</w:t>
            </w:r>
          </w:p>
        </w:tc>
        <w:tc>
          <w:tcPr>
            <w:tcW w:w="7560" w:type="dxa"/>
            <w:vAlign w:val="top"/>
            <w:tcMar>
              <w:top w:w="90" w:type="dxa"/>
              <w:left w:w="90" w:type="dxa"/>
              <w:bottom w:w="90" w:type="dxa"/>
              <w:right w:w="90" w:type="dxa"/>
            </w:tcMar>
          </w:tcPr>
          <w:p>
            <w:pPr>
              <w:pStyle w:val="TableText"/>
              <w:spacing w:before="0" w:after="0"/>
            </w:pPr>
            <w:r>
              <w:t>Partner/MSP workspace configuration, white-label, advanced integrations and full public launch/GTM decision.</w:t>
            </w:r>
          </w:p>
        </w:tc>
      </w:tr>
    </w:tbl>
    <w:p>
      <w:pPr>
        <w:spacing w:before="0" w:after="120"/>
      </w:pPr>
      <w:r>
        <w:t/>
      </w:r>
    </w:p>
    <w:p>
      <w:pPr>
        <w:pStyle w:val="Heading1"/>
        <w:spacing w:before="280" w:after="120"/>
      </w:pPr>
      <w:r>
        <w:t>13. Operational Runbook</w:t>
      </w:r>
    </w:p>
    <w:p>
      <w:pPr>
        <w:pStyle w:val="ListParagraph"/>
        <w:numPr>
          <w:ilvl w:val="0"/>
          <w:numId w:val="2"/>
        </w:numPr>
        <w:spacing w:after="80"/>
      </w:pPr>
      <w:r>
        <w:t>Before deploy: confirm clean git, passing validations, DB backup/PITR, env vars, storage root and rollback path.</w:t>
      </w:r>
    </w:p>
    <w:p>
      <w:pPr>
        <w:pStyle w:val="ListParagraph"/>
        <w:numPr>
          <w:ilvl w:val="0"/>
          <w:numId w:val="2"/>
        </w:numPr>
        <w:spacing w:after="80"/>
      </w:pPr>
      <w:r>
        <w:t>Migrations: use prisma migrate deploy only after backup and migrate status checks; never use migrate reset or db push in production.</w:t>
      </w:r>
    </w:p>
    <w:p>
      <w:pPr>
        <w:pStyle w:val="ListParagraph"/>
        <w:numPr>
          <w:ilvl w:val="0"/>
          <w:numId w:val="2"/>
        </w:numPr>
        <w:spacing w:after="80"/>
      </w:pPr>
      <w:r>
        <w:t>Storage: validate Hostinger storage root is absolute, private, persistent, writable and outside public build/runtime folders.</w:t>
      </w:r>
    </w:p>
    <w:p>
      <w:pPr>
        <w:pStyle w:val="ListParagraph"/>
        <w:numPr>
          <w:ilvl w:val="0"/>
          <w:numId w:val="2"/>
        </w:numPr>
        <w:spacing w:after="80"/>
      </w:pPr>
      <w:r>
        <w:t>Smoke public: validate landing, ShiftReadiness page, sign-in, sign-up and sample report.</w:t>
      </w:r>
    </w:p>
    <w:p>
      <w:pPr>
        <w:pStyle w:val="ListParagraph"/>
        <w:numPr>
          <w:ilvl w:val="0"/>
          <w:numId w:val="2"/>
        </w:numPr>
        <w:spacing w:after="80"/>
      </w:pPr>
      <w:r>
        <w:t>Smoke authenticated: validate dashboard, assessments, completion center, evidence, licensing, client context, report preview and PDF.</w:t>
      </w:r>
    </w:p>
    <w:p>
      <w:pPr>
        <w:pStyle w:val="ListParagraph"/>
        <w:numPr>
          <w:ilvl w:val="0"/>
          <w:numId w:val="2"/>
        </w:numPr>
        <w:spacing w:after="80"/>
      </w:pPr>
      <w:r>
        <w:t>Admin smoke: validate admin dashboard and pricing intelligence without approving real pricing unless explicitly authorized.</w:t>
      </w:r>
    </w:p>
    <w:p>
      <w:pPr>
        <w:pStyle w:val="ListParagraph"/>
        <w:numPr>
          <w:ilvl w:val="0"/>
          <w:numId w:val="2"/>
        </w:numPr>
        <w:spacing w:after="80"/>
      </w:pPr>
      <w:r>
        <w:t>Rollback: rollback app first for runtime failures; use DB restore/forward fix only when migration impact requires it.</w:t>
      </w:r>
    </w:p>
    <w:p>
      <w:pPr>
        <w:pStyle w:val="Heading1"/>
        <w:spacing w:before="280" w:after="120"/>
      </w:pPr>
      <w:r>
        <w:t>14. Glossary</w:t>
      </w:r>
    </w:p>
    <w:tbl>
      <w:tblPr>
        <w:tblW w:w="0" w:type="auto"/>
        <w:tblBorders>
          <w:top w:val="single" w:sz="4" w:color="C9D4E2"/>
          <w:left w:val="single" w:sz="4" w:color="C9D4E2"/>
          <w:bottom w:val="single" w:sz="4" w:color="C9D4E2"/>
          <w:right w:val="single" w:sz="4" w:color="C9D4E2"/>
          <w:insideH w:val="single" w:sz="4" w:color="C9D4E2"/>
          <w:insideV w:val="single" w:sz="4" w:color="C9D4E2"/>
        </w:tblBorders>
      </w:tblPr>
      <w:tblGrid>
        <w:gridCol w:w="2500"/>
        <w:gridCol w:w="6860"/>
      </w:tblGrid>
      <w:tr>
        <w:tc>
          <w:tcPr>
            <w:tcW w:w="2500" w:type="dxa"/>
            <w:shd w:fill="E8EEF5"/>
            <w:vAlign w:val="top"/>
            <w:tcMar>
              <w:top w:w="90" w:type="dxa"/>
              <w:left w:w="90" w:type="dxa"/>
              <w:bottom w:w="90" w:type="dxa"/>
              <w:right w:w="90" w:type="dxa"/>
            </w:tcMar>
          </w:tcPr>
          <w:p>
            <w:pPr>
              <w:pStyle w:val="TableText"/>
              <w:spacing w:before="0" w:after="0"/>
            </w:pPr>
            <w:r>
              <w:rPr>
                <w:b/>
                <w:color w:val="1F4E79"/>
              </w:rPr>
              <w:t>Term</w:t>
            </w:r>
          </w:p>
        </w:tc>
        <w:tc>
          <w:tcPr>
            <w:tcW w:w="6860" w:type="dxa"/>
            <w:shd w:fill="E8EEF5"/>
            <w:vAlign w:val="top"/>
            <w:tcMar>
              <w:top w:w="90" w:type="dxa"/>
              <w:left w:w="90" w:type="dxa"/>
              <w:bottom w:w="90" w:type="dxa"/>
              <w:right w:w="90" w:type="dxa"/>
            </w:tcMar>
          </w:tcPr>
          <w:p>
            <w:pPr>
              <w:pStyle w:val="TableText"/>
              <w:spacing w:before="0" w:after="0"/>
            </w:pPr>
            <w:r>
              <w:rPr>
                <w:b/>
                <w:color w:val="1F4E79"/>
              </w:rPr>
              <w:t>Definition</w:t>
            </w:r>
          </w:p>
        </w:tc>
      </w:tr>
      <w:tr>
        <w:tc>
          <w:tcPr>
            <w:tcW w:w="2500" w:type="dxa"/>
            <w:vAlign w:val="top"/>
            <w:tcMar>
              <w:top w:w="90" w:type="dxa"/>
              <w:left w:w="90" w:type="dxa"/>
              <w:bottom w:w="90" w:type="dxa"/>
              <w:right w:w="90" w:type="dxa"/>
            </w:tcMar>
          </w:tcPr>
          <w:p>
            <w:pPr>
              <w:pStyle w:val="TableText"/>
              <w:spacing w:before="0" w:after="0"/>
            </w:pPr>
            <w:r>
              <w:t>Assessment</w:t>
            </w:r>
          </w:p>
        </w:tc>
        <w:tc>
          <w:tcPr>
            <w:tcW w:w="6860" w:type="dxa"/>
            <w:vAlign w:val="top"/>
            <w:tcMar>
              <w:top w:w="90" w:type="dxa"/>
              <w:left w:w="90" w:type="dxa"/>
              <w:bottom w:w="90" w:type="dxa"/>
              <w:right w:w="90" w:type="dxa"/>
            </w:tcMar>
          </w:tcPr>
          <w:p>
            <w:pPr>
              <w:pStyle w:val="TableText"/>
              <w:spacing w:before="0" w:after="0"/>
            </w:pPr>
            <w:r>
              <w:t>A scoped VMware to Proxmox readiness evaluation.</w:t>
            </w:r>
          </w:p>
        </w:tc>
      </w:tr>
      <w:tr>
        <w:tc>
          <w:tcPr>
            <w:tcW w:w="2500" w:type="dxa"/>
            <w:vAlign w:val="top"/>
            <w:tcMar>
              <w:top w:w="90" w:type="dxa"/>
              <w:left w:w="90" w:type="dxa"/>
              <w:bottom w:w="90" w:type="dxa"/>
              <w:right w:w="90" w:type="dxa"/>
            </w:tcMar>
          </w:tcPr>
          <w:p>
            <w:pPr>
              <w:pStyle w:val="TableText"/>
              <w:spacing w:before="0" w:after="0"/>
            </w:pPr>
            <w:r>
              <w:t>Readiness</w:t>
            </w:r>
          </w:p>
        </w:tc>
        <w:tc>
          <w:tcPr>
            <w:tcW w:w="6860" w:type="dxa"/>
            <w:vAlign w:val="top"/>
            <w:tcMar>
              <w:top w:w="90" w:type="dxa"/>
              <w:left w:w="90" w:type="dxa"/>
              <w:bottom w:w="90" w:type="dxa"/>
              <w:right w:w="90" w:type="dxa"/>
            </w:tcMar>
          </w:tcPr>
          <w:p>
            <w:pPr>
              <w:pStyle w:val="TableText"/>
              <w:spacing w:before="0" w:after="0"/>
            </w:pPr>
            <w:r>
              <w:t>Technical and operational preparedness for migration planning.</w:t>
            </w:r>
          </w:p>
        </w:tc>
      </w:tr>
      <w:tr>
        <w:tc>
          <w:tcPr>
            <w:tcW w:w="2500" w:type="dxa"/>
            <w:vAlign w:val="top"/>
            <w:tcMar>
              <w:top w:w="90" w:type="dxa"/>
              <w:left w:w="90" w:type="dxa"/>
              <w:bottom w:w="90" w:type="dxa"/>
              <w:right w:w="90" w:type="dxa"/>
            </w:tcMar>
          </w:tcPr>
          <w:p>
            <w:pPr>
              <w:pStyle w:val="TableText"/>
              <w:spacing w:before="0" w:after="0"/>
            </w:pPr>
            <w:r>
              <w:t>Evidence Confidence</w:t>
            </w:r>
          </w:p>
        </w:tc>
        <w:tc>
          <w:tcPr>
            <w:tcW w:w="6860" w:type="dxa"/>
            <w:vAlign w:val="top"/>
            <w:tcMar>
              <w:top w:w="90" w:type="dxa"/>
              <w:left w:w="90" w:type="dxa"/>
              <w:bottom w:w="90" w:type="dxa"/>
              <w:right w:w="90" w:type="dxa"/>
            </w:tcMar>
          </w:tcPr>
          <w:p>
            <w:pPr>
              <w:pStyle w:val="TableText"/>
              <w:spacing w:before="0" w:after="0"/>
            </w:pPr>
            <w:r>
              <w:t>Confidence in the completeness and quality of technical evidence.</w:t>
            </w:r>
          </w:p>
        </w:tc>
      </w:tr>
      <w:tr>
        <w:tc>
          <w:tcPr>
            <w:tcW w:w="2500" w:type="dxa"/>
            <w:vAlign w:val="top"/>
            <w:tcMar>
              <w:top w:w="90" w:type="dxa"/>
              <w:left w:w="90" w:type="dxa"/>
              <w:bottom w:w="90" w:type="dxa"/>
              <w:right w:w="90" w:type="dxa"/>
            </w:tcMar>
          </w:tcPr>
          <w:p>
            <w:pPr>
              <w:pStyle w:val="TableText"/>
              <w:spacing w:before="0" w:after="0"/>
            </w:pPr>
            <w:r>
              <w:t>Financial Confidence</w:t>
            </w:r>
          </w:p>
        </w:tc>
        <w:tc>
          <w:tcPr>
            <w:tcW w:w="6860" w:type="dxa"/>
            <w:vAlign w:val="top"/>
            <w:tcMar>
              <w:top w:w="90" w:type="dxa"/>
              <w:left w:w="90" w:type="dxa"/>
              <w:bottom w:w="90" w:type="dxa"/>
              <w:right w:w="90" w:type="dxa"/>
            </w:tcMar>
          </w:tcPr>
          <w:p>
            <w:pPr>
              <w:pStyle w:val="TableText"/>
              <w:spacing w:before="0" w:after="0"/>
            </w:pPr>
            <w:r>
              <w:t>Confidence in licensing/cost analysis based on customer costs and approved pricing snapshots.</w:t>
            </w:r>
          </w:p>
        </w:tc>
      </w:tr>
      <w:tr>
        <w:tc>
          <w:tcPr>
            <w:tcW w:w="2500" w:type="dxa"/>
            <w:vAlign w:val="top"/>
            <w:tcMar>
              <w:top w:w="90" w:type="dxa"/>
              <w:left w:w="90" w:type="dxa"/>
              <w:bottom w:w="90" w:type="dxa"/>
              <w:right w:w="90" w:type="dxa"/>
            </w:tcMar>
          </w:tcPr>
          <w:p>
            <w:pPr>
              <w:pStyle w:val="TableText"/>
              <w:spacing w:before="0" w:after="0"/>
            </w:pPr>
            <w:r>
              <w:t>Business Context Confidence</w:t>
            </w:r>
          </w:p>
        </w:tc>
        <w:tc>
          <w:tcPr>
            <w:tcW w:w="6860" w:type="dxa"/>
            <w:vAlign w:val="top"/>
            <w:tcMar>
              <w:top w:w="90" w:type="dxa"/>
              <w:left w:w="90" w:type="dxa"/>
              <w:bottom w:w="90" w:type="dxa"/>
              <w:right w:w="90" w:type="dxa"/>
            </w:tcMar>
          </w:tcPr>
          <w:p>
            <w:pPr>
              <w:pStyle w:val="TableText"/>
              <w:spacing w:before="0" w:after="0"/>
            </w:pPr>
            <w:r>
              <w:t>Confidence in customer-provided business and migration context.</w:t>
            </w:r>
          </w:p>
        </w:tc>
      </w:tr>
      <w:tr>
        <w:tc>
          <w:tcPr>
            <w:tcW w:w="2500" w:type="dxa"/>
            <w:vAlign w:val="top"/>
            <w:tcMar>
              <w:top w:w="90" w:type="dxa"/>
              <w:left w:w="90" w:type="dxa"/>
              <w:bottom w:w="90" w:type="dxa"/>
              <w:right w:w="90" w:type="dxa"/>
            </w:tcMar>
          </w:tcPr>
          <w:p>
            <w:pPr>
              <w:pStyle w:val="TableText"/>
              <w:spacing w:before="0" w:after="0"/>
            </w:pPr>
            <w:r>
              <w:t>Pricing Snapshot</w:t>
            </w:r>
          </w:p>
        </w:tc>
        <w:tc>
          <w:tcPr>
            <w:tcW w:w="6860" w:type="dxa"/>
            <w:vAlign w:val="top"/>
            <w:tcMar>
              <w:top w:w="90" w:type="dxa"/>
              <w:left w:w="90" w:type="dxa"/>
              <w:bottom w:w="90" w:type="dxa"/>
              <w:right w:w="90" w:type="dxa"/>
            </w:tcMar>
          </w:tcPr>
          <w:p>
            <w:pPr>
              <w:pStyle w:val="TableText"/>
              <w:spacing w:before="0" w:after="0"/>
            </w:pPr>
            <w:r>
              <w:t>Admin-managed pricing dataset used only after approval.</w:t>
            </w:r>
          </w:p>
        </w:tc>
      </w:tr>
      <w:tr>
        <w:tc>
          <w:tcPr>
            <w:tcW w:w="2500" w:type="dxa"/>
            <w:vAlign w:val="top"/>
            <w:tcMar>
              <w:top w:w="90" w:type="dxa"/>
              <w:left w:w="90" w:type="dxa"/>
              <w:bottom w:w="90" w:type="dxa"/>
              <w:right w:w="90" w:type="dxa"/>
            </w:tcMar>
          </w:tcPr>
          <w:p>
            <w:pPr>
              <w:pStyle w:val="TableText"/>
              <w:spacing w:before="0" w:after="0"/>
            </w:pPr>
            <w:r>
              <w:t>Customer Context</w:t>
            </w:r>
          </w:p>
        </w:tc>
        <w:tc>
          <w:tcPr>
            <w:tcW w:w="6860" w:type="dxa"/>
            <w:vAlign w:val="top"/>
            <w:tcMar>
              <w:top w:w="90" w:type="dxa"/>
              <w:left w:w="90" w:type="dxa"/>
              <w:bottom w:w="90" w:type="dxa"/>
              <w:right w:w="90" w:type="dxa"/>
            </w:tcMar>
          </w:tcPr>
          <w:p>
            <w:pPr>
              <w:pStyle w:val="TableText"/>
              <w:spacing w:before="0" w:after="0"/>
            </w:pPr>
            <w:r>
              <w:t>Free-text narrative and additional evidence provided by the customer.</w:t>
            </w:r>
          </w:p>
        </w:tc>
      </w:tr>
      <w:tr>
        <w:tc>
          <w:tcPr>
            <w:tcW w:w="2500" w:type="dxa"/>
            <w:vAlign w:val="top"/>
            <w:tcMar>
              <w:top w:w="90" w:type="dxa"/>
              <w:left w:w="90" w:type="dxa"/>
              <w:bottom w:w="90" w:type="dxa"/>
              <w:right w:w="90" w:type="dxa"/>
            </w:tcMar>
          </w:tcPr>
          <w:p>
            <w:pPr>
              <w:pStyle w:val="TableText"/>
              <w:spacing w:before="0" w:after="0"/>
            </w:pPr>
            <w:r>
              <w:t>Additional Evidence</w:t>
            </w:r>
          </w:p>
        </w:tc>
        <w:tc>
          <w:tcPr>
            <w:tcW w:w="6860" w:type="dxa"/>
            <w:vAlign w:val="top"/>
            <w:tcMar>
              <w:top w:w="90" w:type="dxa"/>
              <w:left w:w="90" w:type="dxa"/>
              <w:bottom w:w="90" w:type="dxa"/>
              <w:right w:w="90" w:type="dxa"/>
            </w:tcMar>
          </w:tcPr>
          <w:p>
            <w:pPr>
              <w:pStyle w:val="TableText"/>
              <w:spacing w:before="0" w:after="0"/>
            </w:pPr>
            <w:r>
              <w:t>Supplemental uploaded files or classifications that may inform analysis.</w:t>
            </w:r>
          </w:p>
        </w:tc>
      </w:tr>
      <w:tr>
        <w:tc>
          <w:tcPr>
            <w:tcW w:w="2500" w:type="dxa"/>
            <w:vAlign w:val="top"/>
            <w:tcMar>
              <w:top w:w="90" w:type="dxa"/>
              <w:left w:w="90" w:type="dxa"/>
              <w:bottom w:w="90" w:type="dxa"/>
              <w:right w:w="90" w:type="dxa"/>
            </w:tcMar>
          </w:tcPr>
          <w:p>
            <w:pPr>
              <w:pStyle w:val="TableText"/>
              <w:spacing w:before="0" w:after="0"/>
            </w:pPr>
            <w:r>
              <w:t>Report Precision</w:t>
            </w:r>
          </w:p>
        </w:tc>
        <w:tc>
          <w:tcPr>
            <w:tcW w:w="6860" w:type="dxa"/>
            <w:vAlign w:val="top"/>
            <w:tcMar>
              <w:top w:w="90" w:type="dxa"/>
              <w:left w:w="90" w:type="dxa"/>
              <w:bottom w:w="90" w:type="dxa"/>
              <w:right w:w="90" w:type="dxa"/>
            </w:tcMar>
          </w:tcPr>
          <w:p>
            <w:pPr>
              <w:pStyle w:val="TableText"/>
              <w:spacing w:before="0" w:after="0"/>
            </w:pPr>
            <w:r>
              <w:t>Signal of how complete and useful a report can be based on available inputs.</w:t>
            </w:r>
          </w:p>
        </w:tc>
      </w:tr>
    </w:tbl>
    <w:p>
      <w:pPr>
        <w:spacing w:before="0" w:after="120"/>
      </w:pPr>
      <w:r>
        <w:t/>
      </w:r>
    </w:p>
    <w:p>
      <w:pPr>
        <w:pStyle w:val="Heading1"/>
        <w:spacing w:before="280" w:after="120"/>
      </w:pPr>
      <w:r>
        <w:t>15. Source Documents and Export Notes</w:t>
      </w:r>
    </w:p>
    <w:p>
      <w:pPr>
        <w:pStyle w:val="ListParagraph"/>
        <w:numPr>
          <w:ilvl w:val="0"/>
          <w:numId w:val="1"/>
        </w:numPr>
        <w:spacing w:after="80"/>
      </w:pPr>
      <w:r>
        <w:t>Source: docs/shiftreadiness-master-product-technical-manual.md</w:t>
      </w:r>
    </w:p>
    <w:p>
      <w:pPr>
        <w:pStyle w:val="ListParagraph"/>
        <w:numPr>
          <w:ilvl w:val="0"/>
          <w:numId w:val="1"/>
        </w:numPr>
        <w:spacing w:after="80"/>
      </w:pPr>
      <w:r>
        <w:t>Source: docs/shiftreadiness-executive-summary-current-state.md</w:t>
      </w:r>
    </w:p>
    <w:p>
      <w:pPr>
        <w:pStyle w:val="ListParagraph"/>
        <w:numPr>
          <w:ilvl w:val="0"/>
          <w:numId w:val="1"/>
        </w:numPr>
        <w:spacing w:after="80"/>
      </w:pPr>
      <w:r>
        <w:t>Source: docs/README.md</w:t>
      </w:r>
    </w:p>
    <w:p>
      <w:pPr>
        <w:pStyle w:val="ListParagraph"/>
        <w:numPr>
          <w:ilvl w:val="0"/>
          <w:numId w:val="1"/>
        </w:numPr>
        <w:spacing w:after="80"/>
      </w:pPr>
      <w:r>
        <w:t>This Word export intentionally does not include secrets, raw client context, file contents or a declaration of full public launch.</w:t>
      </w:r>
    </w:p>
    <w:p>
      <w:pPr>
        <w:pStyle w:val="ListParagraph"/>
        <w:numPr>
          <w:ilvl w:val="0"/>
          <w:numId w:val="1"/>
        </w:numPr>
        <w:spacing w:after="80"/>
      </w:pPr>
      <w:r>
        <w:t>Visual render QA with LibreOffice was not available in this environment; structural DOCX validation was performed.</w:t>
      </w:r>
    </w:p>
    <w:sectPr>
      <w:headerReference w:type="default" r:id="rIdHeader1"/>
      <w:footerReference w:type="default" r:id="rIdFooter1"/>
      <w:pgSz w:w="12240" w:h="15840"/>
      <w:pgMar w:top="1080" w:right="1080" w:bottom="1080" w:left="1080" w:header="540" w:footer="540"/>
      <w:cols w:space="720"/>
    </w:sectPr>
  </w:body>
</w:document>
</file>

<file path=word/footer1.xml><?xml version="1.0" encoding="utf-8"?>
<w:ftr xmlns:w="http://schemas.openxmlformats.org/wordprocessingml/2006/main" xmlns:r="http://schemas.openxmlformats.org/officeDocument/2006/relationships">
  <w:p>
    <w:pPr>
      <w:pStyle w:val="Footer"/>
      <w:spacing w:before="0" w:after="0"/>
    </w:pPr>
    <w:r>
      <w:t>ShiftReadiness Master Manual v1 - Controlled Release Closed</w:t>
    </w:r>
  </w:p>
</w:ftr>
</file>

<file path=word/header1.xml><?xml version="1.0" encoding="utf-8"?>
<w:hdr xmlns:w="http://schemas.openxmlformats.org/wordprocessingml/2006/main" xmlns:r="http://schemas.openxmlformats.org/officeDocument/2006/relationships">
  <w:p>
    <w:pPr>
      <w:pStyle w:val="Footer"/>
      <w:spacing w:before="0" w:after="0"/>
    </w:pPr>
    <w:r>
      <w:t>ShiftReadiness - VMware -&gt; Proxmox Readiness Assessment</w:t>
    </w:r>
  </w:p>
</w:hdr>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abstractNum w:abstractNumId="1">
    <w:lvl w:ilvl="0">
      <w:start w:val="1"/>
      <w:numFmt w:val="decimal"/>
      <w:lvlText w:val="%1."/>
      <w:pPr>
        <w:ind w:left="720" w:hanging="360"/>
      </w:pPr>
    </w:lvl>
  </w:abstractNum>
  <w:num w:numId="2">
    <w:abstractNumId w:val="1"/>
  </w:num>
</w:numbering>
</file>

<file path=word/styles.xml><?xml version="1.0" encoding="utf-8"?>
<w:styles xmlns:w="http://schemas.openxmlformats.org/wordprocessingml/2006/main">
  <w:docDefaults>
    <w:rPrDefault>
      <w:rPr>
        <w:rFonts w:ascii="Calibri" w:hAnsi="Calibri" w:cs="Calibri"/>
        <w:sz w:val="22"/>
        <w:szCs w:val="22"/>
        <w:color w:val="222222"/>
      </w:rPr>
    </w:rPrDefault>
    <w:pPrDefault>
      <w:pPr>
        <w:spacing w:after="120" w:line="276" w:lineRule="auto"/>
      </w:pPr>
    </w:pPrDefault>
  </w:docDefaults>
  <w:style w:type="paragraph" w:default="1" w:styleId="Normal">
    <w:name w:val="Normal"/>
    <w:qFormat/>
  </w:style>
  <w:style w:type="paragraph" w:styleId="Title">
    <w:name w:val="Title"/>
    <w:basedOn w:val="Normal"/>
    <w:qFormat/>
    <w:pPr>
      <w:jc w:val="center"/>
      <w:spacing w:before="240" w:after="160"/>
    </w:pPr>
    <w:rPr>
      <w:b/>
      <w:color w:val="12355B"/>
      <w:sz w:val="48"/>
      <w:szCs w:val="48"/>
    </w:rPr>
  </w:style>
  <w:style w:type="paragraph" w:styleId="Subtitle">
    <w:name w:val="Subtitle"/>
    <w:basedOn w:val="Normal"/>
    <w:qFormat/>
    <w:pPr>
      <w:jc w:val="center"/>
      <w:spacing w:after="160"/>
    </w:pPr>
    <w:rPr>
      <w:color w:val="4B5F73"/>
      <w:sz w:val="26"/>
      <w:szCs w:val="26"/>
    </w:rPr>
  </w:style>
  <w:style w:type="paragraph" w:styleId="Heading1">
    <w:name w:val="heading 1"/>
    <w:basedOn w:val="Normal"/>
    <w:qFormat/>
    <w:pPr>
      <w:keepNext/>
      <w:spacing w:before="320" w:after="140"/>
      <w:outlineLvl w:val="0"/>
    </w:pPr>
    <w:rPr>
      <w:b/>
      <w:color w:val="12355B"/>
      <w:sz w:val="30"/>
      <w:szCs w:val="30"/>
    </w:rPr>
  </w:style>
  <w:style w:type="paragraph" w:styleId="Heading2">
    <w:name w:val="heading 2"/>
    <w:basedOn w:val="Normal"/>
    <w:qFormat/>
    <w:pPr>
      <w:keepNext/>
      <w:spacing w:before="220" w:after="100"/>
      <w:outlineLvl w:val="1"/>
    </w:pPr>
    <w:rPr>
      <w:b/>
      <w:color w:val="1F4E79"/>
      <w:sz w:val="24"/>
      <w:szCs w:val="24"/>
    </w:rPr>
  </w:style>
  <w:style w:type="paragraph" w:styleId="Heading3">
    <w:name w:val="heading 3"/>
    <w:basedOn w:val="Normal"/>
    <w:qFormat/>
    <w:pPr>
      <w:keepNext/>
      <w:spacing w:before="160" w:after="80"/>
      <w:outlineLvl w:val="2"/>
    </w:pPr>
    <w:rPr>
      <w:b/>
      <w:color w:val="2F5F8F"/>
      <w:sz w:val="22"/>
      <w:szCs w:val="22"/>
    </w:rPr>
  </w:style>
  <w:style w:type="paragraph" w:styleId="ListParagraph">
    <w:name w:val="List Paragraph"/>
    <w:basedOn w:val="Normal"/>
    <w:pPr>
      <w:ind w:left="720" w:hanging="360"/>
    </w:pPr>
  </w:style>
  <w:style w:type="paragraph" w:styleId="TableText">
    <w:name w:val="Table Text"/>
    <w:basedOn w:val="Normal"/>
    <w:pPr>
      <w:spacing w:after="0" w:line="240" w:lineRule="auto"/>
    </w:pPr>
    <w:rPr>
      <w:sz w:val="19"/>
      <w:szCs w:val="19"/>
    </w:rPr>
  </w:style>
  <w:style w:type="paragraph" w:styleId="Footer">
    <w:name w:val="Footer"/>
    <w:basedOn w:val="Normal"/>
    <w:pPr>
      <w:jc w:val="center"/>
    </w:pPr>
    <w:rPr>
      <w:color w:val="687686"/>
      <w:sz w:val="18"/>
      <w:szCs w:val="18"/>
    </w:rPr>
  </w:style>
</w:styles>
</file>

<file path=word/_rels/document.xml.rels><?xml version="1.0" encoding="UTF-8" standalone="yes"?><Relationships xmlns="http://schemas.openxmlformats.org/package/2006/relationships"><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Application>OpenAI Codex OOXML Exporter</Application>
  <Company>Infrashift</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ShiftReadiness Master Product &amp; Technical Manual v1</dc:title>
  <dc:subject>ShiftReadiness documentation export</dc:subject>
  <dc:creator>OpenAI Codex</dc:creator>
  <cp:lastModifiedBy>OpenAI Codex</cp:lastModifiedBy>
  <dcterms:created xsi:type="dcterms:W3CDTF">2026-05-29T22:12:38Z</dcterms:created>
  <dcterms:modified xsi:type="dcterms:W3CDTF">2026-05-29T22:12:38Z</dcterms:modified>
</cp:coreProperties>
</file>