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LabGuard AI 项目说明书</w:t>
      </w:r>
    </w:p>
    <w:p>
      <w:pPr>
        <w:jc w:val="center"/>
      </w:pPr>
      <w:r>
        <w:rPr>
          <w:sz w:val="24"/>
        </w:rPr>
        <w:t>Java 技术方案｜实验室安全巡检智能体</w:t>
      </w:r>
    </w:p>
    <w:p>
      <w:r>
        <w:t>项目名称：LabGuard AI（实验室安全巡检智能体）</w:t>
        <w:br/>
        <w:t>项目类型：智能体应用 / 创新原型</w:t>
        <w:br/>
        <w:t>主要开发语言：Java 17</w:t>
      </w:r>
    </w:p>
    <w:p>
      <w:pPr/>
      <w:r>
        <w:rPr>
          <w:color w:val="595959"/>
          <w:sz w:val="18"/>
        </w:rPr>
        <w:t>版本：v1.1｜更新日期：2026-10-22｜适用代码：main 分支提交 aa9ab12</w:t>
      </w:r>
    </w:p>
    <w:p>
      <w:pPr/>
      <w:r>
        <w:rPr>
          <w:color w:val="595959"/>
          <w:sz w:val="18"/>
        </w:rPr>
        <w:t>本次更新：补充整改前后 AI 对比核验、五表持久化、统一导航与上传缩略图，日期时间改为中文显示，并将自动化测试规模更新为 167 项。</w:t>
      </w:r>
    </w:p>
    <w:p>
      <w:pPr>
        <w:pStyle w:val="Heading1"/>
      </w:pPr>
      <w:r>
        <w:t>一、项目背景</w:t>
      </w:r>
    </w:p>
    <w:p>
      <w:r>
        <w:t>实验室日常运行涉及仪器设备、用电设施、实验通道及各类物品的规范管理。传统巡检通常依赖人工观察、纸面或表格记录以及线下通知，可能存在记录分散、隐患描述不统一、责任分配不及时、整改进度难以跟踪和复查结果不易追溯等问题。</w:t>
      </w:r>
    </w:p>
    <w:p>
      <w:r>
        <w:t>随着多模态视觉模型和智能体应用的发展，可以将图像理解能力与结构化业务流程结合，辅助工作人员发现图片中可见的潜在安全隐患，并把识别结果转化为可追踪的整改工单。因此，本项目拟开发 LabGuard AI，将图片巡检、风险审核、整改任务管理和复查闭环整合为一个可运行的原型系统。</w:t>
      </w:r>
    </w:p>
    <w:p>
      <w:pPr/>
      <w:r>
        <w:t>在整改复查阶段，系统进一步以原始隐患、原始证据和整改要求为核验清单，对比整改前后照片，输出逐点证据与整体建议，使 AI 从“识别风险”延伸到“辅助验收”。</w:t>
      </w:r>
    </w:p>
    <w:p>
      <w:r>
        <w:t>本项目定位为安全管理辅助工具。AI 输出仅用于提示和辅助判断，不能替代安全管理人员的现场检查、专业判断及既有安全制度。</w:t>
      </w:r>
    </w:p>
    <w:p>
      <w:pPr>
        <w:pStyle w:val="Heading1"/>
      </w:pPr>
      <w:r>
        <w:t>二、应用场景</w:t>
      </w:r>
    </w:p>
    <w:p>
      <w:pPr>
        <w:pStyle w:val="Heading2"/>
      </w:pPr>
      <w:r>
        <w:t>1. 实验室日常巡检</w:t>
      </w:r>
    </w:p>
    <w:p>
      <w:r>
        <w:t>巡检人员上传实验室现场照片，系统对图像中可见的潜在问题进行辅助分析，并生成结构化的风险提示，便于统一记录。</w:t>
      </w:r>
    </w:p>
    <w:p>
      <w:pPr>
        <w:pStyle w:val="Heading2"/>
      </w:pPr>
      <w:r>
        <w:t>2. 通道与消防通行区域检查</w:t>
      </w:r>
    </w:p>
    <w:p>
      <w:r>
        <w:t>针对图片中疑似被物品阻挡的通道或出入口，系统提供风险提示和建议核查措施；最终是否构成隐患由人员现场确认。</w:t>
      </w:r>
    </w:p>
    <w:p>
      <w:pPr>
        <w:pStyle w:val="Heading2"/>
      </w:pPr>
      <w:r>
        <w:t>3. 隐患整改任务分配</w:t>
      </w:r>
    </w:p>
    <w:p>
      <w:r>
        <w:t>经人工确认的风险可转换为整改工单，记录风险类别、位置、建议措施和责任人，减少口头通知造成的信息遗漏。</w:t>
      </w:r>
    </w:p>
    <w:p>
      <w:pPr>
        <w:pStyle w:val="Heading2"/>
      </w:pPr>
      <w:r>
        <w:t>4. 整改复查与闭环管理</w:t>
      </w:r>
    </w:p>
    <w:p>
      <w:r>
        <w:t>责任人提交整改说明和整改后照片后，工单进入待复查；系统基于原始隐患与前后照片生成 AI 对比核验建议，再由复查人员结合逐点证据决定通过或退回。</w:t>
      </w:r>
    </w:p>
    <w:p>
      <w:pPr>
        <w:pStyle w:val="Heading2"/>
      </w:pPr>
      <w:r>
        <w:t>5. 竞赛演示与原型验证</w:t>
      </w:r>
    </w:p>
    <w:p>
      <w:r>
        <w:t>通过一套可本地运行的 Web 应用展示从图片上传、风险确认、工单整改到 AI 对比核验与人工关闭的端到端流程，验证 AI 能力与业务流程的结合。</w:t>
      </w:r>
    </w:p>
    <w:p>
      <w:pPr>
        <w:pStyle w:val="Heading1"/>
      </w:pPr>
      <w:r>
        <w:t>三、核心功能</w:t>
      </w:r>
    </w:p>
    <w:p>
      <w:pPr>
        <w:pStyle w:val="Heading2"/>
      </w:pPr>
      <w:r>
        <w:t>1. 图片上传与巡检记录</w:t>
      </w:r>
    </w:p>
    <w:p>
      <w:r>
        <w:t>支持通过网页上传 JPG/PNG 实验室照片（单张不超过 5MB），记录文件名、巡检时间及分析模式；选择图片后立即显示本地缩略图，便于提交前核对。</w:t>
      </w:r>
    </w:p>
    <w:p>
      <w:pPr>
        <w:pStyle w:val="Heading2"/>
      </w:pPr>
      <w:r>
        <w:t>2. AI 辅助风险识别</w:t>
      </w:r>
    </w:p>
    <w:p>
      <w:r>
        <w:t>通过适配多模态视觉 API，对图片中可见的潜在安全风险进行分析。输出风险类别、等级、位置描述、可见证据、置信度、建议措施及是否需要人工复核，并明确标记结果来源为 REAL 或 DEMO。</w:t>
      </w:r>
    </w:p>
    <w:p>
      <w:pPr>
        <w:pStyle w:val="Heading2"/>
      </w:pPr>
      <w:r>
        <w:t>3. 人工确认与风险审核</w:t>
      </w:r>
    </w:p>
    <w:p>
      <w:r>
        <w:t>识别结果展示后由用户逐条确认、修改或驳回，再决定是否创建整改工单。对不确定、遮挡或无法从图像中验证的事项，系统明确提示人工现场核查。</w:t>
      </w:r>
    </w:p>
    <w:p>
      <w:pPr>
        <w:pStyle w:val="Heading2"/>
      </w:pPr>
      <w:r>
        <w:t>4. 整改工单创建与责任分配</w:t>
      </w:r>
    </w:p>
    <w:p>
      <w:r>
        <w:t>将确认后的风险转为工单，记录风险信息、责任人、当前状态、整改说明和复查意见；同一隐患只允许创建一张工单。</w:t>
      </w:r>
    </w:p>
    <w:p>
      <w:pPr>
        <w:pStyle w:val="Heading2"/>
      </w:pPr>
      <w:r>
        <w:t>5. 整改提交与复查</w:t>
      </w:r>
    </w:p>
    <w:p>
      <w:r>
        <w:t>责任人提交整改说明和整改后照片后，工单从待整改进入待复查；复查通过后关闭工单，未通过则返回待整改状态。</w:t>
      </w:r>
    </w:p>
    <w:p>
      <w:pPr>
        <w:pStyle w:val="Heading2"/>
      </w:pPr>
      <w:r>
        <w:t>6. 整改前后 AI 对比核验</w:t>
      </w:r>
    </w:p>
    <w:p>
      <w:pPr/>
      <w:r>
        <w:t>责任人提交整改后照片后，系统以原始隐患类别、位置、可见证据和整改要求为核验清单，对整改前后两张图片进行目标导向的对比分析，而不是只重新识别整改后图片。</w:t>
      </w:r>
    </w:p>
    <w:p>
      <w:pPr/>
      <w:r>
        <w:t>核验输出整体结论、可比性和逐点证据；结果写入 ai_review 表，仅作为人工复查建议，不直接修改工单状态，也不会自动关闭工单。</w:t>
      </w:r>
    </w:p>
    <w:p>
      <w:pPr/>
      <w:r>
        <w:rPr>
          <w:b/>
        </w:rPr>
        <w:t>核验结果字段说明：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取值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整体结论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PASSED / FAILED / INCONCLUSIVE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已解决 / 未解决 / 无法判断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逐点核验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RESOLVED / UNRESOLVED / INCONCLUSIVE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每个原始证据点能否从整改后照片中确认解决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可比性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COMPARABLE / PARTIAL / NOT_COMPARABLE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/>
                <w:sz w:val="19"/>
              </w:rPr>
              <w:t>前后照片的视角、范围与光照是否足以支持对比</w:t>
            </w:r>
          </w:p>
        </w:tc>
      </w:tr>
    </w:tbl>
    <w:p>
      <w:pPr>
        <w:pStyle w:val="Heading2"/>
      </w:pPr>
      <w:r>
        <w:t>7. 数据持久化</w:t>
      </w:r>
    </w:p>
    <w:p>
      <w:r>
        <w:t>使用 SQLite 保存巡检、隐患、整改工单、审计事件和 AI 核验记录共 5 张表，应用重启后仍可读取历史数据，降低原型部署复杂度。</w:t>
      </w:r>
    </w:p>
    <w:p>
      <w:pPr>
        <w:pStyle w:val="Heading2"/>
      </w:pPr>
      <w:r>
        <w:t>8. 异常处理与演示模式</w:t>
      </w:r>
    </w:p>
    <w:p>
      <w:r>
        <w:t>在真实 AI API 未配置、鉴权失败、超时或返回格式异常时显示明确错误，不回退到演示数据，也不伪造成功结果；演示模式数据固定标记为 DEMO，仅用于流程演示。</w:t>
      </w:r>
    </w:p>
    <w:p>
      <w:pPr>
        <w:pStyle w:val="Heading2"/>
      </w:pPr>
      <w:r>
        <w:t>9. 界面与交互优化</w:t>
      </w:r>
    </w:p>
    <w:p>
      <w:pPr/>
      <w:r>
        <w:t>统一品牌导航，Logo 置顶，新建巡检与整改工单以按钮形式排列在下方；上传图片后显示缩略图，截止日期和巡检时间以“年/月/日”“年/月/日 时:分”展示。页面在桌面端和移动端自适应，底层仍使用原生控件与 ISO 格式提交，保证显示优化不影响校验和数据。</w:t>
      </w:r>
    </w:p>
    <w:p>
      <w:pPr>
        <w:pStyle w:val="Heading1"/>
      </w:pPr>
      <w:r>
        <w:t>四、创新点</w:t>
      </w:r>
    </w:p>
    <w:p>
      <w:pPr>
        <w:pStyle w:val="Heading2"/>
      </w:pPr>
      <w:r>
        <w:t>1. 目标导向的整改前后对比核验</w:t>
      </w:r>
    </w:p>
    <w:p>
      <w:pPr/>
      <w:r>
        <w:t>AI 不再只是重新识别整改后图片，而是把原始隐患、原始证据和整改要求转化为核验清单，对前后两张图片逐点比对并给出可见证据。该机制把“是否整改到位”从主观描述变为可解释、可追溯的结构化结论，是项目区别于普通图片问答的核心亮点。</w:t>
      </w:r>
    </w:p>
    <w:p>
      <w:pPr>
        <w:pStyle w:val="Heading2"/>
      </w:pPr>
      <w:r>
        <w:t>2. 将视觉识别与整改工作流结合</w:t>
      </w:r>
    </w:p>
    <w:p>
      <w:r>
        <w:t>项目不止于图片问答或风险描述，而是把 AI 分析结果接入人工审核、工单创建、责任分配、整改提交、AI 对比核验和人工复查关闭流程，使结果真正进入管理环节。</w:t>
      </w:r>
    </w:p>
    <w:p>
      <w:pPr>
        <w:pStyle w:val="Heading2"/>
      </w:pPr>
      <w:r>
        <w:t>3. 人机协同的风险确认与复查机制</w:t>
      </w:r>
    </w:p>
    <w:p>
      <w:r>
        <w:t>AI 负责提供线索与核验建议，工作人员保留确认、分派和复查决策权；AI 核验即使返回 PASSED 也不会自动关闭工单，降低模型误判直接影响管理动作的风险。</w:t>
      </w:r>
    </w:p>
    <w:p>
      <w:pPr>
        <w:pStyle w:val="Heading2"/>
      </w:pPr>
      <w:r>
        <w:t>4. 面向闭环的工单状态管理与审计</w:t>
      </w:r>
    </w:p>
    <w:p>
      <w:r>
        <w:t>通过待整改、待复查、已关闭状态和复查失败回退机制，配合 audit_event 时间线，形成可展示、可测试、可追溯的业务闭环。</w:t>
      </w:r>
    </w:p>
    <w:p>
      <w:pPr>
        <w:pStyle w:val="Heading2"/>
      </w:pPr>
      <w:r>
        <w:t>5. 结构化风险信息与逐点证据</w:t>
      </w:r>
    </w:p>
    <w:p>
      <w:r>
        <w:t>将自然语言分析结果整理为类别、位置、证据、等级和建议措施等字段；整改核验进一步输出逐点状态、可比性和证据说明，便于查询、统计与系统扩展。</w:t>
      </w:r>
    </w:p>
    <w:p>
      <w:pPr>
        <w:pStyle w:val="Heading2"/>
      </w:pPr>
      <w:r>
        <w:t>6. 轻量化部署、双模式与可验证性</w:t>
      </w:r>
    </w:p>
    <w:p>
      <w:r>
        <w:t>采用 Java、Spring Boot 和 SQLite 构建模块化应用，将视觉 API、核验服务、网页控制层和工单业务逻辑分离；支持真实 API 与明确标记的演示模式，配套 167 项自动化测试，便于团队并行开发和持续验证。</w:t>
      </w:r>
    </w:p>
    <w:p>
      <w:pPr>
        <w:pStyle w:val="Heading1"/>
      </w:pPr>
      <w:r>
        <w:t>五、技术方案</w:t>
      </w:r>
    </w:p>
    <w:p>
      <w:pPr>
        <w:pStyle w:val="Heading2"/>
      </w:pPr>
      <w:r>
        <w:t>5.1 技术架构</w:t>
      </w:r>
    </w:p>
    <w:p>
      <w:r>
        <w:t>系统采用分层结构：页面层负责图片上传、缩略图预览、中文日期时间显示、风险结果和工单操作；控制层接收请求并调用业务服务；AI 服务层封装真实/演示双实现与结构化解析；整改核验层负责前后双图逐点比对；业务服务层负责巡检、隐患、工单状态流转；数据层通过 JDBC 操作 SQLite 的 5 张业务表。视觉模型通过独立适配器接入，避免将特定服务商的请求格式耦合到控制器或页面代码中。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层级</w:t>
            </w:r>
          </w:p>
        </w:tc>
        <w:tc>
          <w:tcPr>
            <w:tcW w:type="dxa" w:w="3264"/>
          </w:tcPr>
          <w:p>
            <w:r>
              <w:t>技术/组件</w:t>
            </w:r>
          </w:p>
        </w:tc>
        <w:tc>
          <w:tcPr>
            <w:tcW w:type="dxa" w:w="3264"/>
          </w:tcPr>
          <w:p>
            <w:r>
              <w:t>职责</w:t>
            </w:r>
          </w:p>
        </w:tc>
      </w:tr>
      <w:tr>
        <w:tc>
          <w:tcPr>
            <w:tcW w:type="dxa" w:w="3264"/>
          </w:tcPr>
          <w:p>
            <w:r>
              <w:t>页面层</w:t>
            </w:r>
          </w:p>
        </w:tc>
        <w:tc>
          <w:tcPr>
            <w:tcW w:type="dxa" w:w="3264"/>
          </w:tcPr>
          <w:p>
            <w:r>
              <w:t>Thymeleaf + HTML/CSS/JS</w:t>
            </w:r>
          </w:p>
        </w:tc>
        <w:tc>
          <w:tcPr>
            <w:tcW w:type="dxa" w:w="3264"/>
          </w:tcPr>
          <w:p>
            <w:r>
              <w:t>图片上传与缩略图预览、中文日期时间显示、统一品牌导航与结果展示</w:t>
            </w:r>
          </w:p>
        </w:tc>
      </w:tr>
      <w:tr>
        <w:tc>
          <w:tcPr>
            <w:tcW w:type="dxa" w:w="3264"/>
          </w:tcPr>
          <w:p>
            <w:r>
              <w:t>Web 控制层</w:t>
            </w:r>
          </w:p>
        </w:tc>
        <w:tc>
          <w:tcPr>
            <w:tcW w:type="dxa" w:w="3264"/>
          </w:tcPr>
          <w:p>
            <w:r>
              <w:t>Spring MVC Controller</w:t>
            </w:r>
          </w:p>
        </w:tc>
        <w:tc>
          <w:tcPr>
            <w:tcW w:type="dxa" w:w="3264"/>
          </w:tcPr>
          <w:p>
            <w:r>
              <w:t>巡检、分析、隐患审核、工单、整改与 AI 核验请求处理</w:t>
            </w:r>
          </w:p>
        </w:tc>
      </w:tr>
      <w:tr>
        <w:tc>
          <w:tcPr>
            <w:tcW w:type="dxa" w:w="3264"/>
          </w:tcPr>
          <w:p>
            <w:r>
              <w:t>AI 服务层</w:t>
            </w:r>
          </w:p>
        </w:tc>
        <w:tc>
          <w:tcPr>
            <w:tcW w:type="dxa" w:w="3264"/>
          </w:tcPr>
          <w:p>
            <w:r>
              <w:t>AiVisionService + HTTP 客户端</w:t>
            </w:r>
          </w:p>
        </w:tc>
        <w:tc>
          <w:tcPr>
            <w:tcW w:type="dxa" w:w="3264"/>
          </w:tcPr>
          <w:p>
            <w:r>
              <w:t>真实/演示双实现、多模态请求、结构化解析、超时与错误映射</w:t>
            </w:r>
          </w:p>
        </w:tc>
      </w:tr>
      <w:tr>
        <w:tc>
          <w:tcPr>
            <w:tcW w:type="dxa" w:w="3264"/>
          </w:tcPr>
          <w:p>
            <w:r>
              <w:t>整改核验层</w:t>
            </w:r>
          </w:p>
        </w:tc>
        <w:tc>
          <w:tcPr>
            <w:tcW w:type="dxa" w:w="3264"/>
          </w:tcPr>
          <w:p>
            <w:r>
              <w:t>RemediationReviewService + AiReviewRepository</w:t>
            </w:r>
          </w:p>
        </w:tc>
        <w:tc>
          <w:tcPr>
            <w:tcW w:type="dxa" w:w="3264"/>
          </w:tcPr>
          <w:p>
            <w:r>
              <w:t>以原始隐患与证据为清单核验整改前后图片，逐点落库，不修改工单状态</w:t>
            </w:r>
          </w:p>
        </w:tc>
      </w:tr>
      <w:tr>
        <w:tc>
          <w:tcPr>
            <w:tcW w:type="dxa" w:w="3264"/>
          </w:tcPr>
          <w:p>
            <w:r>
              <w:t>业务服务层</w:t>
            </w:r>
          </w:p>
        </w:tc>
        <w:tc>
          <w:tcPr>
            <w:tcW w:type="dxa" w:w="3264"/>
          </w:tcPr>
          <w:p>
            <w:r>
              <w:t>Inspection/Hazard/WorkOrderService + 状态机</w:t>
            </w:r>
          </w:p>
        </w:tc>
        <w:tc>
          <w:tcPr>
            <w:tcW w:type="dxa" w:w="3264"/>
          </w:tcPr>
          <w:p>
            <w:r>
              <w:t>巡检编排、人工确认、工单流转、整改与复查、审计时间线</w:t>
            </w:r>
          </w:p>
        </w:tc>
      </w:tr>
      <w:tr>
        <w:tc>
          <w:tcPr>
            <w:tcW w:type="dxa" w:w="3264"/>
          </w:tcPr>
          <w:p>
            <w:r>
              <w:t>数据层</w:t>
            </w:r>
          </w:p>
        </w:tc>
        <w:tc>
          <w:tcPr>
            <w:tcW w:type="dxa" w:w="3264"/>
          </w:tcPr>
          <w:p>
            <w:r>
              <w:t>Spring JDBC + SQLite</w:t>
            </w:r>
          </w:p>
        </w:tc>
        <w:tc>
          <w:tcPr>
            <w:tcW w:type="dxa" w:w="3264"/>
          </w:tcPr>
          <w:p>
            <w:r>
              <w:t>保存巡检、隐患、工单、审计、AI 核验 5 张表及状态记录</w:t>
            </w:r>
          </w:p>
        </w:tc>
      </w:tr>
      <w:tr>
        <w:tc>
          <w:tcPr>
            <w:tcW w:type="dxa" w:w="3264"/>
          </w:tcPr>
          <w:p>
            <w:r>
              <w:t>构建测试层</w:t>
            </w:r>
          </w:p>
        </w:tc>
        <w:tc>
          <w:tcPr>
            <w:tcW w:type="dxa" w:w="3264"/>
          </w:tcPr>
          <w:p>
            <w:r>
              <w:t>Maven + JUnit 5 + MockMvc</w:t>
            </w:r>
          </w:p>
        </w:tc>
        <w:tc>
          <w:tcPr>
            <w:tcW w:type="dxa" w:w="3264"/>
          </w:tcPr>
          <w:p>
            <w:r>
              <w:t>单元、MVC、持久化与异常路径测试，共 167 项</w:t>
            </w:r>
          </w:p>
        </w:tc>
      </w:tr>
    </w:tbl>
    <w:p>
      <w:pPr>
        <w:pStyle w:val="Heading2"/>
      </w:pPr>
      <w:r>
        <w:t>5.2 主要技术选型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技术</w:t>
            </w:r>
          </w:p>
        </w:tc>
        <w:tc>
          <w:tcPr>
            <w:tcW w:type="dxa" w:w="4896"/>
          </w:tcPr>
          <w:p>
            <w:r>
              <w:t>用途</w:t>
            </w:r>
          </w:p>
        </w:tc>
      </w:tr>
      <w:tr>
        <w:tc>
          <w:tcPr>
            <w:tcW w:type="dxa" w:w="4896"/>
          </w:tcPr>
          <w:p>
            <w:r>
              <w:t>Java 17</w:t>
            </w:r>
          </w:p>
        </w:tc>
        <w:tc>
          <w:tcPr>
            <w:tcW w:type="dxa" w:w="4896"/>
          </w:tcPr>
          <w:p>
            <w:r>
              <w:t>主要开发语言</w:t>
            </w:r>
          </w:p>
        </w:tc>
      </w:tr>
      <w:tr>
        <w:tc>
          <w:tcPr>
            <w:tcW w:type="dxa" w:w="4896"/>
          </w:tcPr>
          <w:p>
            <w:r>
              <w:t>Spring Boot 3.5.x</w:t>
            </w:r>
          </w:p>
        </w:tc>
        <w:tc>
          <w:tcPr>
            <w:tcW w:type="dxa" w:w="4896"/>
          </w:tcPr>
          <w:p>
            <w:r>
              <w:t>应用启动、依赖管理和服务集成</w:t>
            </w:r>
          </w:p>
        </w:tc>
      </w:tr>
      <w:tr>
        <w:tc>
          <w:tcPr>
            <w:tcW w:type="dxa" w:w="4896"/>
          </w:tcPr>
          <w:p>
            <w:r>
              <w:t>Spring MVC</w:t>
            </w:r>
          </w:p>
        </w:tc>
        <w:tc>
          <w:tcPr>
            <w:tcW w:type="dxa" w:w="4896"/>
          </w:tcPr>
          <w:p>
            <w:r>
              <w:t>Web 请求处理与控制器</w:t>
            </w:r>
          </w:p>
        </w:tc>
      </w:tr>
      <w:tr>
        <w:tc>
          <w:tcPr>
            <w:tcW w:type="dxa" w:w="4896"/>
          </w:tcPr>
          <w:p>
            <w:r>
              <w:t>Thymeleaf</w:t>
            </w:r>
          </w:p>
        </w:tc>
        <w:tc>
          <w:tcPr>
            <w:tcW w:type="dxa" w:w="4896"/>
          </w:tcPr>
          <w:p>
            <w:r>
              <w:t>服务端页面模板</w:t>
            </w:r>
          </w:p>
        </w:tc>
      </w:tr>
      <w:tr>
        <w:tc>
          <w:tcPr>
            <w:tcW w:type="dxa" w:w="4896"/>
          </w:tcPr>
          <w:p>
            <w:r>
              <w:t>HTML/CSS/JavaScript</w:t>
            </w:r>
          </w:p>
        </w:tc>
        <w:tc>
          <w:tcPr>
            <w:tcW w:type="dxa" w:w="4896"/>
          </w:tcPr>
          <w:p>
            <w:r>
              <w:t>图片缩略图预览、中文日期时间显示、响应式导航与交互</w:t>
            </w:r>
          </w:p>
        </w:tc>
      </w:tr>
      <w:tr>
        <w:tc>
          <w:tcPr>
            <w:tcW w:type="dxa" w:w="4896"/>
          </w:tcPr>
          <w:p>
            <w:r>
              <w:t>Spring JDBC</w:t>
            </w:r>
          </w:p>
        </w:tc>
        <w:tc>
          <w:tcPr>
            <w:tcW w:type="dxa" w:w="4896"/>
          </w:tcPr>
          <w:p>
            <w:r>
              <w:t>关系型数据访问</w:t>
            </w:r>
          </w:p>
        </w:tc>
      </w:tr>
      <w:tr>
        <w:tc>
          <w:tcPr>
            <w:tcW w:type="dxa" w:w="4896"/>
          </w:tcPr>
          <w:p>
            <w:r>
              <w:t>SQLite JDBC Driver</w:t>
            </w:r>
          </w:p>
        </w:tc>
        <w:tc>
          <w:tcPr>
            <w:tcW w:type="dxa" w:w="4896"/>
          </w:tcPr>
          <w:p>
            <w:r>
              <w:t>连接本地 SQLite，保存 5 张业务表</w:t>
            </w:r>
          </w:p>
        </w:tc>
      </w:tr>
      <w:tr>
        <w:tc>
          <w:tcPr>
            <w:tcW w:type="dxa" w:w="4896"/>
          </w:tcPr>
          <w:p>
            <w:r>
              <w:t>Maven</w:t>
            </w:r>
          </w:p>
        </w:tc>
        <w:tc>
          <w:tcPr>
            <w:tcW w:type="dxa" w:w="4896"/>
          </w:tcPr>
          <w:p>
            <w:r>
              <w:t>依赖管理、编译和打包</w:t>
            </w:r>
          </w:p>
        </w:tc>
      </w:tr>
      <w:tr>
        <w:tc>
          <w:tcPr>
            <w:tcW w:type="dxa" w:w="4896"/>
          </w:tcPr>
          <w:p>
            <w:r>
              <w:t>JUnit 5 / Spring Boot Test</w:t>
            </w:r>
          </w:p>
        </w:tc>
        <w:tc>
          <w:tcPr>
            <w:tcW w:type="dxa" w:w="4896"/>
          </w:tcPr>
          <w:p>
            <w:r>
              <w:t>单元测试和应用上下文测试</w:t>
            </w:r>
          </w:p>
        </w:tc>
      </w:tr>
      <w:tr>
        <w:tc>
          <w:tcPr>
            <w:tcW w:type="dxa" w:w="4896"/>
          </w:tcPr>
          <w:p>
            <w:r>
              <w:t>MockMvc</w:t>
            </w:r>
          </w:p>
        </w:tc>
        <w:tc>
          <w:tcPr>
            <w:tcW w:type="dxa" w:w="4896"/>
          </w:tcPr>
          <w:p>
            <w:r>
              <w:t>页面渲染、表单校验与控制器行为测试</w:t>
            </w:r>
          </w:p>
        </w:tc>
      </w:tr>
      <w:tr>
        <w:tc>
          <w:tcPr>
            <w:tcW w:type="dxa" w:w="4896"/>
          </w:tcPr>
          <w:p>
            <w:r>
              <w:t>多模态视觉 API</w:t>
            </w:r>
          </w:p>
        </w:tc>
        <w:tc>
          <w:tcPr>
            <w:tcW w:type="dxa" w:w="4896"/>
          </w:tcPr>
          <w:p>
            <w:r>
              <w:t>对风险识别与整改前后对比核验进行辅助分析；需按选定服务商官方协议实现</w:t>
            </w:r>
          </w:p>
        </w:tc>
      </w:tr>
    </w:tbl>
    <w:p>
      <w:pPr>
        <w:pStyle w:val="Heading2"/>
      </w:pPr>
      <w:r>
        <w:t>5.3 核心数据流程</w:t>
      </w:r>
    </w:p>
    <w:p>
      <w:pPr>
        <w:pStyle w:val="ListNumber"/>
      </w:pPr>
      <w:r>
        <w:t>用户上传图片，控制层校验文件类型、大小，保存图片并显示本地缩略图。</w:t>
      </w:r>
    </w:p>
    <w:p>
      <w:pPr>
        <w:pStyle w:val="ListNumber"/>
      </w:pPr>
      <w:r>
        <w:t>AI 服务适配器调用所选视觉模型（或明确标记的演示模式），将响应解析为统一风险对象。</w:t>
      </w:r>
    </w:p>
    <w:p>
      <w:pPr>
        <w:pStyle w:val="ListNumber"/>
      </w:pPr>
      <w:r>
        <w:t>页面展示风险类别、等级、可见证据和整改建议，并标明需人工确认的内容及 REAL/DEMO 来源。</w:t>
      </w:r>
    </w:p>
    <w:p>
      <w:pPr>
        <w:pStyle w:val="ListNumber"/>
      </w:pPr>
      <w:r>
        <w:t>用户确认、修改或驳回风险；确认后的风险由业务服务创建整改工单并写入 SQLite。</w:t>
      </w:r>
    </w:p>
    <w:p>
      <w:pPr>
        <w:pStyle w:val="ListNumber"/>
      </w:pPr>
      <w:r>
        <w:t>责任人提交整改说明和整改后照片，工单状态由 PENDING_REMEDIATION 变为 PENDING_REVIEW。</w:t>
      </w:r>
    </w:p>
    <w:p>
      <w:pPr>
        <w:pStyle w:val="ListNumber"/>
      </w:pPr>
      <w:r>
        <w:t>AI 以原始隐患、证据和整改要求为清单，对前后两张照片逐点核验；结果写入 ai_review，仅作建议，不改变工单状态。</w:t>
      </w:r>
    </w:p>
    <w:p>
      <w:pPr>
        <w:pStyle w:val="ListNumber"/>
      </w:pPr>
      <w:r>
        <w:t>复查人员结合 AI 逐点证据进行人工判断：通过则 CLOSED，未通过则退回 PENDING_REMEDIATION。</w:t>
      </w:r>
    </w:p>
    <w:p>
      <w:pPr>
        <w:pStyle w:val="ListNumber"/>
      </w:pPr>
      <w:r>
        <w:t>每次状态变更和关键操作写入 audit_event，形成可追溯时间线。</w:t>
      </w:r>
    </w:p>
    <w:p>
      <w:pPr>
        <w:pStyle w:val="Heading2"/>
      </w:pPr>
      <w:r>
        <w:t>5.4 工单状态设计</w:t>
      </w:r>
    </w:p>
    <w:p>
      <w:r>
        <w:t>PENDING_REMEDIATION（待整改） → PENDING_REVIEW（待复查） → CLOSED（已关闭）。</w:t>
      </w:r>
    </w:p>
    <w:p>
      <w:r>
        <w:t>若人工复查未通过，状态由 PENDING_REVIEW 返回 PENDING_REMEDIATION；AI 核验结论分为 PASSED / FAILED / INCONCLUSIVE，仅作为建议写入 ai_review，不直接改变工单状态。</w:t>
      </w:r>
    </w:p>
    <w:p>
      <w:pPr/>
      <w:r>
        <w:t>只有人工执行“复查通过”才会关闭工单；即使 AI 返回 PASSED，也必须由复查人员确认。</w:t>
      </w:r>
    </w:p>
    <w:p>
      <w:pPr>
        <w:pStyle w:val="Heading2"/>
      </w:pPr>
      <w:r>
        <w:t>5.5 项目目录结构</w:t>
      </w:r>
    </w:p>
    <w:p>
      <w:r>
        <w:rPr>
          <w:rFonts w:ascii="Consolas" w:hAnsi="Consolas"/>
        </w:rPr>
        <w:t>labguard-ai/</w:t>
        <w:br/>
        <w:t>├── pom.xml</w:t>
        <w:br/>
        <w:t>├── README.md</w:t>
        <w:br/>
        <w:t>├── .env.example</w:t>
        <w:br/>
        <w:t>├── src/main/java/com/labguard/</w:t>
        <w:br/>
        <w:t>│   ├── LabGuardApplication.java</w:t>
        <w:br/>
        <w:t>│   ├── config/                 # .env 加载、静态资源映射、全局异常处理</w:t>
        <w:br/>
        <w:t>│   ├── controller/             # 巡检、分析、隐患审核、工单、AI 核验路由</w:t>
        <w:br/>
        <w:t>│   ├── service/                # AI 双实现与解析、整改核验、巡检/隐患/工单服务</w:t>
        <w:br/>
        <w:t>│   ├── repository/             # Spring JDBC 仓储（5 表）</w:t>
        <w:br/>
        <w:t>│   ├── model/                  # 实体、状态枚举、核验结果模型</w:t>
        <w:br/>
        <w:t>│   ├── web/                    # 表单、视图对象、图片校验</w:t>
        <w:br/>
        <w:t>│   └── workflow/               # 隐患/工单状态机</w:t>
        <w:br/>
        <w:t>├── src/main/resources/</w:t>
        <w:br/>
        <w:t>│   ├── application.properties</w:t>
        <w:br/>
        <w:t>│   ├── schema.sql              # 5 张业务表</w:t>
        <w:br/>
        <w:t>│   ├── templates/              # 7 个 Thymeleaf 页面</w:t>
        <w:br/>
        <w:t>│   └── static/                 # CSS/JS/品牌 Logo</w:t>
        <w:br/>
        <w:t>└── src/test/java/com/labguard/ # 167 项自动化测试</w:t>
      </w:r>
    </w:p>
    <w:p>
      <w:pPr>
        <w:pStyle w:val="Heading1"/>
      </w:pPr>
      <w:r>
        <w:t>六、预期成果与验收方式</w:t>
      </w:r>
    </w:p>
    <w:p>
      <w:pPr>
        <w:pStyle w:val="ListBullet"/>
      </w:pPr>
      <w:r>
        <w:t>可在本地启动的 Java Web 应用，支持演示模式与真实视觉 API 两种运行方式。</w:t>
      </w:r>
    </w:p>
    <w:p>
      <w:pPr>
        <w:pStyle w:val="ListBullet"/>
      </w:pPr>
      <w:r>
        <w:t>支持 JPG/PNG 上传、本地缩略图预览，并清楚区分 REAL/DEMO 结果来源。</w:t>
      </w:r>
    </w:p>
    <w:p>
      <w:pPr>
        <w:pStyle w:val="ListBullet"/>
      </w:pPr>
      <w:r>
        <w:t>经人工确认后可以创建并持久化整改工单。</w:t>
      </w:r>
    </w:p>
    <w:p>
      <w:pPr>
        <w:pStyle w:val="ListBullet"/>
      </w:pPr>
      <w:r>
        <w:t>支持提交整改说明和整改后照片，并生成基于原始隐患的目标导向 AI 对比核验清单。</w:t>
      </w:r>
    </w:p>
    <w:p>
      <w:pPr>
        <w:pStyle w:val="ListBullet"/>
      </w:pPr>
      <w:r>
        <w:t>AI 核验输出 PASSED/FAILED/INCONCLUSIVE、可比性和逐点证据，但不会自动关闭工单。</w:t>
      </w:r>
    </w:p>
    <w:p>
      <w:pPr>
        <w:pStyle w:val="ListBullet"/>
      </w:pPr>
      <w:r>
        <w:t>支持人工复查通过关闭、未通过退回整改，应用重启后仍能读取 5 张表的历史数据。</w:t>
      </w:r>
    </w:p>
    <w:p>
      <w:pPr>
        <w:pStyle w:val="ListBullet"/>
      </w:pPr>
      <w:r>
        <w:t>提供 README、依赖说明、启动步骤和 167 项自动化测试，核心闭环可重复演示。</w:t>
      </w:r>
    </w:p>
    <w:p>
      <w:pPr>
        <w:pStyle w:val="Heading1"/>
      </w:pPr>
      <w:r>
        <w:t>七、风险控制与项目边界</w:t>
      </w:r>
    </w:p>
    <w:p>
      <w:pPr>
        <w:pStyle w:val="ListBullet"/>
      </w:pPr>
      <w:r>
        <w:t>AI 识别仅针对图像中可见的信息；不能仅凭图片断言设备正在通电、化学品具体成分或其他不可见事实。</w:t>
      </w:r>
    </w:p>
    <w:p>
      <w:pPr>
        <w:pStyle w:val="ListBullet"/>
      </w:pPr>
      <w:r>
        <w:t>模型输出不应自动触发高影响操作；创建工单前必须人工确认，AI 核验即使返回 PASSED 也不能自动关闭工单。</w:t>
      </w:r>
    </w:p>
    <w:p>
      <w:pPr>
        <w:pStyle w:val="ListBullet"/>
      </w:pPr>
      <w:r>
        <w:t>视觉 API 调用失败、超时、鉴权失败或返回格式不符合预期时，系统应提示明确错误并保留必要日志，不得伪造识别结果或回退演示数据。</w:t>
      </w:r>
    </w:p>
    <w:p>
      <w:pPr>
        <w:pStyle w:val="ListBullet"/>
      </w:pPr>
      <w:r>
        <w:t>演示模式数据必须明确标记，不能用于声称模型已完成真实图片分析。</w:t>
      </w:r>
    </w:p>
    <w:p>
      <w:pPr>
        <w:pStyle w:val="ListBullet"/>
      </w:pPr>
      <w:r>
        <w:t>整改前后照片存在视角、光照、遮挡差异时，AI 必须标记可比性并允许返回 INCONCLUSIVE；不得在证据不足时强行给出通过结论。</w:t>
      </w:r>
    </w:p>
    <w:p>
      <w:pPr>
        <w:pStyle w:val="ListBullet"/>
      </w:pPr>
      <w:r>
        <w:t>API 密钥通过环境变量或本地配置管理，不提交到 Git；测试图片应获得使用授权并避免泄露敏感信息。</w:t>
      </w:r>
    </w:p>
    <w:p>
      <w:pPr>
        <w:pStyle w:val="Heading1"/>
      </w:pPr>
      <w:r>
        <w:t>八、总结</w:t>
      </w:r>
    </w:p>
    <w:p>
      <w:r>
        <w:t>LabGuard AI 以 Java 为主要开发语言，采用 Spring Boot、Thymeleaf、SQLite 和 Maven 构建轻量化原型。项目将视觉 AI 能力与人工确认、整改工单、整改前后目标导向核验和人工复查闭环结合，形成可运行、可验证、可扩展的安全巡检工作流。当前系统支持真实/演示双模式、5 张业务表持久化、逐点证据与结构化核验结果，并通过 167 项自动化测试验证核心流程；真实 AI 能力的最终效果仍取决于所选视觉 API 的适配、测试和现场验证。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LabGuard AI 项目说明书</dc:title>
  <dc:subject>Java 技术方案｜实验室安全巡检智能体</dc:subject>
  <dc:creator>python-docx</dc:creator>
  <cp:keywords/>
  <dc:description>v1.1｜2026-10-22｜补充整改前后 AI 对比核验与界面优化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