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브리프 | 2026년 10월 11일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한눈에 보는 기아: 3분기는 환율이 돕고, 내년은 환율이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w:t>
            </w:r>
          </w:p>
        </w:tc>
        <w:tc>
          <w:tcPr>
            <w:tcW w:type="dxa" w:w="2409"/>
            <w:shd w:val="clear" w:color="auto" w:fill="E9EFF5"/>
          </w:tcPr>
          <w:p>
            <w:pPr>
              <w:jc w:val="center"/>
            </w:pPr>
            <w:r>
              <w:rPr>
                <w:rFonts w:ascii="맑은 고딕" w:hAnsi="맑은 고딕" w:eastAsia="맑은 고딕"/>
                <w:b w:val="0"/>
                <w:color w:val="5B6876"/>
                <w:sz w:val="17"/>
              </w:rPr>
              <w:t>목표주가</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중립</w:t>
            </w:r>
          </w:p>
        </w:tc>
        <w:tc>
          <w:tcPr>
            <w:tcW w:type="dxa" w:w="2409"/>
          </w:tcPr>
          <w:p>
            <w:pPr>
              <w:jc w:val="center"/>
            </w:pPr>
            <w:r>
              <w:rPr>
                <w:rFonts w:ascii="맑은 고딕" w:hAnsi="맑은 고딕" w:eastAsia="맑은 고딕"/>
                <w:b/>
                <w:color w:val="1F3A5F"/>
                <w:sz w:val="24"/>
              </w:rPr>
              <w:t>86,300원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−19.2%</w:t>
            </w:r>
          </w:p>
        </w:tc>
      </w:tr>
    </w:tbl>
    <w:p/>
    <w:p>
      <w:r>
        <w:br w:type="page"/>
      </w:r>
    </w:p>
    <w:p>
      <w:pPr>
        <w:pStyle w:val="Heading1"/>
        <w:spacing w:after="120"/>
      </w:pPr>
      <w:r>
        <w:rPr>
          <w:rFonts w:ascii="맑은 고딕" w:hAnsi="맑은 고딕" w:eastAsia="맑은 고딕"/>
        </w:rPr>
        <w:t>한눈에</w:t>
      </w:r>
    </w:p>
    <w:p>
      <w:pPr>
        <w:pStyle w:val="Heading2"/>
        <w:spacing w:after="80"/>
      </w:pPr>
      <w:r>
        <w:rPr>
          <w:rFonts w:ascii="맑은 고딕" w:hAnsi="맑은 고딕" w:eastAsia="맑은 고딕"/>
        </w:rPr>
        <w:t>무엇을 하는 회사인가</w:t>
      </w:r>
    </w:p>
    <w:p>
      <w:pPr>
        <w:spacing w:after="120"/>
      </w:pPr>
      <w:r>
        <w:rPr>
          <w:rFonts w:ascii="맑은 고딕" w:hAnsi="맑은 고딕" w:eastAsia="맑은 고딕"/>
        </w:rPr>
        <w:t>현대자동차그룹의 완성차 회사다. 2025년에 313만대를 팔아 매출 114.1조원, 영업이익 9.1조원을 냈다. 매출의 82%가 해외이고 국내공장에서 만들어 내보내는 몫이 커서 환율과 미국 관세가 이익을 가른다.</w:t>
      </w:r>
    </w:p>
    <w:p>
      <w:pPr>
        <w:pStyle w:val="Heading2"/>
        <w:spacing w:after="80"/>
      </w:pPr>
      <w:r>
        <w:rPr>
          <w:rFonts w:ascii="맑은 고딕" w:hAnsi="맑은 고딕" w:eastAsia="맑은 고딕"/>
        </w:rPr>
        <w:t>지금 어디에 있나</w:t>
      </w:r>
    </w:p>
    <w:p>
      <w:pPr>
        <w:spacing w:after="120"/>
      </w:pPr>
      <w:r>
        <w:rPr>
          <w:rFonts w:ascii="맑은 고딕" w:hAnsi="맑은 고딕" w:eastAsia="맑은 고딕"/>
        </w:rPr>
        <w:t>영업이익은 2024년 12.7조원에서 2025년 9.1조원으로 줄었다. 2025년 4월부터 미국 관세가 붙어 그해에만 3조 420억원이 나갔다. 관세와 환평가를 빼고 보면 영업이익률은 여섯 분기 동안 9.4%~11.1%에서 버텼다. 올해 1~9월 도매는 전년보다 4.5% 늘었다. 주가는 올해 −12%로 KOSPI(+57%)에 크게 뒤졌다.</w:t>
      </w:r>
    </w:p>
    <w:p>
      <w:pPr>
        <w:pStyle w:val="Heading2"/>
        <w:spacing w:after="80"/>
      </w:pPr>
      <w:r>
        <w:rPr>
          <w:rFonts w:ascii="맑은 고딕" w:hAnsi="맑은 고딕" w:eastAsia="맑은 고딕"/>
        </w:rPr>
        <w:t>의견</w:t>
      </w:r>
    </w:p>
    <w:p>
      <w:pPr>
        <w:spacing w:after="120"/>
      </w:pPr>
      <w:r>
        <w:rPr>
          <w:rFonts w:ascii="맑은 고딕" w:hAnsi="맑은 고딕" w:eastAsia="맑은 고딕"/>
        </w:rPr>
        <w:t>투자의견은 중립, 목표주가는 86,300원이다(기준일 주가 106,800원, 차이 −19.2%). 시장은 지난 20개 분기 동안 다음 해에 실제로 나온 이익의 4.9배를 주가로 줬고, 지금 주가는 컨센서스 2027년 주당순이익의 4.7배다. 이 보고서의 2027년 주당순이익 17,599원(컨센서스 22,747원)에 같은 배수를 곱한 값이 목표주가다. P/B는 0.64배로 지난 20개 분기의 낮은 쪽이고, 2026년 결산 추정 배당수익률은 6.4%다. 순현금은 21.4조원으로 시가총액의 51%다. 장부가와 배당은 주가를 받치는 쪽이다.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1,188,803</w:t>
            </w:r>
          </w:p>
        </w:tc>
        <w:tc>
          <w:tcPr>
            <w:tcW w:type="dxa" w:w="1606"/>
          </w:tcPr>
          <w:p>
            <w:pPr>
              <w:spacing w:after="0"/>
              <w:jc w:val="right"/>
            </w:pPr>
            <w:r>
              <w:rPr>
                <w:rFonts w:ascii="맑은 고딕" w:hAnsi="맑은 고딕" w:eastAsia="맑은 고딕"/>
                <w:b/>
                <w:sz w:val="17"/>
              </w:rPr>
              <w:t>1,213,107</w:t>
            </w:r>
          </w:p>
        </w:tc>
      </w:tr>
      <w:tr>
        <w:tc>
          <w:tcPr>
            <w:tcW w:type="dxa" w:w="1606"/>
          </w:tcPr>
          <w:p>
            <w:pPr>
              <w:spacing w:after="0"/>
            </w:pPr>
            <w:r>
              <w:rPr>
                <w:rFonts w:ascii="맑은 고딕" w:hAnsi="맑은 고딕" w:eastAsia="맑은 고딕"/>
                <w:sz w:val="17"/>
              </w:rPr>
              <w:t>핵심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121,233</w:t>
            </w:r>
          </w:p>
        </w:tc>
        <w:tc>
          <w:tcPr>
            <w:tcW w:type="dxa" w:w="1606"/>
          </w:tcPr>
          <w:p>
            <w:pPr>
              <w:spacing w:after="0"/>
              <w:jc w:val="right"/>
            </w:pPr>
            <w:r>
              <w:rPr>
                <w:rFonts w:ascii="맑은 고딕" w:hAnsi="맑은 고딕" w:eastAsia="맑은 고딕"/>
                <w:sz w:val="17"/>
              </w:rPr>
              <w:t>123,711</w:t>
            </w:r>
          </w:p>
        </w:tc>
        <w:tc>
          <w:tcPr>
            <w:tcW w:type="dxa" w:w="1606"/>
          </w:tcPr>
          <w:p>
            <w:pPr>
              <w:spacing w:after="0"/>
              <w:jc w:val="right"/>
            </w:pPr>
            <w:r>
              <w:rPr>
                <w:rFonts w:ascii="맑은 고딕" w:hAnsi="맑은 고딕" w:eastAsia="맑은 고딕"/>
                <w:sz w:val="17"/>
              </w:rPr>
              <w:t>126,241</w:t>
            </w:r>
          </w:p>
        </w:tc>
      </w:tr>
      <w:tr>
        <w:tc>
          <w:tcPr>
            <w:tcW w:type="dxa" w:w="1606"/>
          </w:tcPr>
          <w:p>
            <w:pPr>
              <w:spacing w:after="0"/>
            </w:pPr>
            <w:r>
              <w:rPr>
                <w:rFonts w:ascii="맑은 고딕" w:hAnsi="맑은 고딕" w:eastAsia="맑은 고딕"/>
                <w:sz w:val="17"/>
              </w:rPr>
              <w:t xml:space="preserve"> 핵심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31,888</w:t>
            </w:r>
          </w:p>
        </w:tc>
        <w:tc>
          <w:tcPr>
            <w:tcW w:type="dxa" w:w="1606"/>
          </w:tcPr>
          <w:p>
            <w:pPr>
              <w:spacing w:after="0"/>
              <w:jc w:val="right"/>
            </w:pPr>
            <w:r>
              <w:rPr>
                <w:rFonts w:ascii="맑은 고딕" w:hAnsi="맑은 고딕" w:eastAsia="맑은 고딕"/>
                <w:sz w:val="17"/>
              </w:rPr>
              <w:t>32,540</w:t>
            </w:r>
          </w:p>
        </w:tc>
      </w:tr>
      <w:tr>
        <w:tc>
          <w:tcPr>
            <w:tcW w:type="dxa" w:w="1606"/>
          </w:tcPr>
          <w:p>
            <w:pPr>
              <w:spacing w:after="0"/>
            </w:pPr>
            <w:r>
              <w:rPr>
                <w:rFonts w:ascii="맑은 고딕" w:hAnsi="맑은 고딕" w:eastAsia="맑은 고딕"/>
                <w:sz w:val="17"/>
              </w:rPr>
              <w:t>환평가</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−12,952</w:t>
            </w:r>
          </w:p>
        </w:tc>
        <w:tc>
          <w:tcPr>
            <w:tcW w:type="dxa" w:w="1606"/>
          </w:tcPr>
          <w:p>
            <w:pPr>
              <w:spacing w:after="0"/>
              <w:jc w:val="right"/>
            </w:pPr>
            <w:r>
              <w:rPr>
                <w:rFonts w:ascii="맑은 고딕" w:hAnsi="맑은 고딕" w:eastAsia="맑은 고딕"/>
                <w:sz w:val="17"/>
              </w:rPr>
              <w:t>−12,952</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92,208</w:t>
            </w:r>
          </w:p>
        </w:tc>
        <w:tc>
          <w:tcPr>
            <w:tcW w:type="dxa" w:w="1606"/>
          </w:tcPr>
          <w:p>
            <w:pPr>
              <w:spacing w:after="0"/>
              <w:jc w:val="right"/>
            </w:pPr>
            <w:r>
              <w:rPr>
                <w:rFonts w:ascii="맑은 고딕" w:hAnsi="맑은 고딕" w:eastAsia="맑은 고딕"/>
                <w:b/>
                <w:sz w:val="17"/>
              </w:rPr>
              <w:t>78,871</w:t>
            </w:r>
          </w:p>
        </w:tc>
        <w:tc>
          <w:tcPr>
            <w:tcW w:type="dxa" w:w="1606"/>
          </w:tcPr>
          <w:p>
            <w:pPr>
              <w:spacing w:after="0"/>
              <w:jc w:val="right"/>
            </w:pPr>
            <w:r>
              <w:rPr>
                <w:rFonts w:ascii="맑은 고딕" w:hAnsi="맑은 고딕" w:eastAsia="맑은 고딕"/>
                <w:b/>
                <w:sz w:val="17"/>
              </w:rPr>
              <w:t>80,748</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6.7%</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79,157</w:t>
            </w:r>
          </w:p>
        </w:tc>
        <w:tc>
          <w:tcPr>
            <w:tcW w:type="dxa" w:w="1606"/>
          </w:tcPr>
          <w:p>
            <w:pPr>
              <w:spacing w:after="0"/>
              <w:jc w:val="right"/>
            </w:pPr>
            <w:r>
              <w:rPr>
                <w:rFonts w:ascii="맑은 고딕" w:hAnsi="맑은 고딕" w:eastAsia="맑은 고딕"/>
                <w:sz w:val="17"/>
              </w:rPr>
              <w:t>68,708</w:t>
            </w:r>
          </w:p>
        </w:tc>
        <w:tc>
          <w:tcPr>
            <w:tcW w:type="dxa" w:w="1606"/>
          </w:tcPr>
          <w:p>
            <w:pPr>
              <w:spacing w:after="0"/>
              <w:jc w:val="right"/>
            </w:pPr>
            <w:r>
              <w:rPr>
                <w:rFonts w:ascii="맑은 고딕" w:hAnsi="맑은 고딕" w:eastAsia="맑은 고딕"/>
                <w:sz w:val="17"/>
              </w:rPr>
              <w:t>70,073</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20,275</w:t>
            </w:r>
          </w:p>
        </w:tc>
        <w:tc>
          <w:tcPr>
            <w:tcW w:type="dxa" w:w="1606"/>
          </w:tcPr>
          <w:p>
            <w:pPr>
              <w:spacing w:after="0"/>
              <w:jc w:val="right"/>
            </w:pPr>
            <w:r>
              <w:rPr>
                <w:rFonts w:ascii="맑은 고딕" w:hAnsi="맑은 고딕" w:eastAsia="맑은 고딕"/>
                <w:sz w:val="17"/>
              </w:rPr>
              <w:t>17,599</w:t>
            </w:r>
          </w:p>
        </w:tc>
        <w:tc>
          <w:tcPr>
            <w:tcW w:type="dxa" w:w="1606"/>
          </w:tcPr>
          <w:p>
            <w:pPr>
              <w:spacing w:after="0"/>
              <w:jc w:val="right"/>
            </w:pPr>
            <w:r>
              <w:rPr>
                <w:rFonts w:ascii="맑은 고딕" w:hAnsi="맑은 고딕" w:eastAsia="맑은 고딕"/>
                <w:sz w:val="17"/>
              </w:rPr>
              <w:t>17,949</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175,315</w:t>
            </w:r>
          </w:p>
        </w:tc>
        <w:tc>
          <w:tcPr>
            <w:tcW w:type="dxa" w:w="1606"/>
          </w:tcPr>
          <w:p>
            <w:pPr>
              <w:spacing w:after="0"/>
              <w:jc w:val="right"/>
            </w:pPr>
            <w:r>
              <w:rPr>
                <w:rFonts w:ascii="맑은 고딕" w:hAnsi="맑은 고딕" w:eastAsia="맑은 고딕"/>
                <w:sz w:val="17"/>
              </w:rPr>
              <w:t>186,114</w:t>
            </w:r>
          </w:p>
        </w:tc>
        <w:tc>
          <w:tcPr>
            <w:tcW w:type="dxa" w:w="1606"/>
          </w:tcPr>
          <w:p>
            <w:pPr>
              <w:spacing w:after="0"/>
              <w:jc w:val="right"/>
            </w:pPr>
            <w:r>
              <w:rPr>
                <w:rFonts w:ascii="맑은 고딕" w:hAnsi="맑은 고딕" w:eastAsia="맑은 고딕"/>
                <w:sz w:val="17"/>
              </w:rPr>
              <w:t>197,262</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12.2%</w:t>
            </w:r>
          </w:p>
        </w:tc>
        <w:tc>
          <w:tcPr>
            <w:tcW w:type="dxa" w:w="1606"/>
          </w:tcPr>
          <w:p>
            <w:pPr>
              <w:spacing w:after="0"/>
              <w:jc w:val="right"/>
            </w:pPr>
            <w:r>
              <w:rPr>
                <w:rFonts w:ascii="맑은 고딕" w:hAnsi="맑은 고딕" w:eastAsia="맑은 고딕"/>
                <w:sz w:val="17"/>
              </w:rPr>
              <w:t>9.7%</w:t>
            </w:r>
          </w:p>
        </w:tc>
        <w:tc>
          <w:tcPr>
            <w:tcW w:type="dxa" w:w="1606"/>
          </w:tcPr>
          <w:p>
            <w:pPr>
              <w:spacing w:after="0"/>
              <w:jc w:val="right"/>
            </w:pPr>
            <w:r>
              <w:rPr>
                <w:rFonts w:ascii="맑은 고딕" w:hAnsi="맑은 고딕" w:eastAsia="맑은 고딕"/>
                <w:sz w:val="17"/>
              </w:rPr>
              <w:t>9.4%</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1"/>
        <w:spacing w:after="120"/>
      </w:pPr>
      <w:r>
        <w:rPr>
          <w:rFonts w:ascii="맑은 고딕" w:hAnsi="맑은 고딕" w:eastAsia="맑은 고딕"/>
        </w:rPr>
        <w:t>3분기: 분기 말 환율이 충당부채를 줄인다</w:t>
      </w:r>
    </w:p>
    <w:p>
      <w:pPr>
        <w:spacing w:after="120"/>
      </w:pPr>
      <w:r>
        <w:rPr>
          <w:rFonts w:ascii="맑은 고딕" w:hAnsi="맑은 고딕" w:eastAsia="맑은 고딕"/>
        </w:rPr>
        <w:t>기아는 판매보증충당부채 9.3조원을 지고 있고, 회사가 금액을 밝힌 네 분기로 재면 그 50%가 환율에 묶여 있다. 분기 말 원/달러가 오르면 비용이 되고 내리면 이익이 된다. 원/달러는 6월 말 1,542원에서 9월 말 1,358원이 됐다. 3분기 환평가는 5,484억원 이익으로 추정한다(2분기 −802억원).</w:t>
      </w:r>
    </w:p>
    <w:p>
      <w:pPr>
        <w:spacing w:after="120"/>
      </w:pPr>
      <w:r>
        <w:rPr>
          <w:rFonts w:ascii="맑은 고딕" w:hAnsi="맑은 고딕" w:eastAsia="맑은 고딕"/>
        </w:rPr>
        <w:t>3분기 영업이익은 2분기 영업이익에서 달라지는 줄을 더해 냈다. 물량 −277억원, 평균환율 −4,019억원(원/달러 −5.2%, 원/유로 −6.2%), 기말환율 5,914억원, 관세 −160억원, 원자재 −115억원, 유럽 전기차 가격 −151억원이다. 이 식이 후보 아홉 가운데 과거 8개 분기에서 가장 덜 빗나갔다(평균 절대 오차 2,635억원, 직전 분기 그대로는 4,919억원).</w:t>
      </w:r>
    </w:p>
    <w:p>
      <w:pPr>
        <w:spacing w:after="120"/>
      </w:pPr>
      <w:r>
        <w:rPr>
          <w:rFonts w:ascii="맑은 고딕" w:hAnsi="맑은 고딕" w:eastAsia="맑은 고딕"/>
        </w:rPr>
        <w:t>3분기 영업이익은 27,482억원이다. 컨센서스(25,023억원)보다 10% 많다. 관세와 환평가를 뺀 핵심 영업이익률로는 9.2%이고 컨센서스는 8.8%에 해당한다(1%p에 3,288억원). 유럽 소매의 전기차 비중은 2분기 26%에서 7~8월 30%로 올랐다. 4분기는 평균환율이 더 낮고 환평가 이익이 되풀이되지 않아 16,386억원으로 본다.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3분기 영업이익을 2.7조원으로 추정한다. 컨센서스 2.5조원보다 10% 많다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판매보증충당부채 환평가는 2분기 −802억원에서 3분기 +5,484억원으로 추정한다</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04.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판매보증충당부채 환평가: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환평가</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pStyle w:val="Heading1"/>
        <w:spacing w:after="120"/>
      </w:pPr>
      <w:r>
        <w:rPr>
          <w:rFonts w:ascii="맑은 고딕" w:hAnsi="맑은 고딕" w:eastAsia="맑은 고딕"/>
        </w:rPr>
        <w:t>내년: 원화 강세가 이어지면 컨센서스보다 적다</w:t>
      </w:r>
    </w:p>
    <w:p>
      <w:pPr>
        <w:spacing w:after="120"/>
      </w:pPr>
      <w:r>
        <w:rPr>
          <w:rFonts w:ascii="맑은 고딕" w:hAnsi="맑은 고딕" w:eastAsia="맑은 고딕"/>
        </w:rPr>
        <w:t>회사는 2026년 계획에서 원/달러가 52원 내리는 데 영업이익 8,003억원이 준다고 밝혔다. 1원에 한 해 154억원이다. 원/달러가 10월 초 수준(1,351원)에 머물면 2026년 평균(1,435원)보다 낮아 2027년 영업이익은 78,871억원이다. 컨센서스(107,034억원)보다 26% 적다. 환율이 2026년 평균으로 돌아가면 91,823억원이다. 환율은 지금 값이 이어진다고 뒀다.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영업이익은 2026년 9.2조원, 2027년 7.9조원으로 추정한다. 2027년 컨센서스는 10.7조원</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09.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관세·환평가·일회성을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06.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핵심 영업이익 = 영업이익 + 관세 − 환평가 − 일회성 품질비용(회사가 지금까지 밝힌 값). 환평가는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27,482</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+9.8%</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16,386</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−34.7%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92,208</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−6.4%</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78,871</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−26.3%</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80,748</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−31.0%</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17,599</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−22.6%</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86,300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−57.9%</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43,868억원, 컨센서스는 50,113억원이다. 회사는 하반기에 미국과 중동 물량이 늘고, 상반기에 이익을 깎은 인센티브·믹스·재료비가 더 나빠지지 않는다고 설명했다. 회사가 1월 설명회에서 밝힌 2026년 미국 관세 부담을 분기로 나누면 이 모델의 3분기 관세 8,300억원과 같은 수준이다.</w:t>
      </w:r>
    </w:p>
    <w:p>
      <w:pPr>
        <w:pStyle w:val="Heading1"/>
        <w:spacing w:after="120"/>
      </w:pPr>
      <w:r>
        <w:rPr>
          <w:rFonts w:ascii="맑은 고딕" w:hAnsi="맑은 고딕" w:eastAsia="맑은 고딕"/>
        </w:rPr>
        <w:t>3분기 실적에서 볼 것</w:t>
      </w:r>
    </w:p>
    <w:p>
      <w:pPr>
        <w:spacing w:after="120"/>
      </w:pPr>
      <w:r>
        <w:rPr>
          <w:rFonts w:ascii="맑은 고딕" w:hAnsi="맑은 고딕" w:eastAsia="맑은 고딕"/>
        </w:rPr>
        <w:t>확인할 날은 3분기 실적(10월 하순)이다. 회사가 밝히는 환평가가 5,484억원 안팎인지, 관세 영향이 8,300억원 안팎인지, 둘을 뺀 핵심 영업이익률이 9.2%인지 8.8%인지, 회사 증감 분석의 인센티브·가격 줄이 2분기보다 줄었는지를 본다. 판매보증비가 2025년 3분기처럼 뛰면(그때 매출의 5.4%) 추정이 크게 빗나간다.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모델 안의 엑셀 차트다. 컨센서스는 견주는 데에만 썼고 추정에는 쓰지 않았다. 과거 분기에 돌린 결과는 과거 시험이다. 투자 권유가 아니다. 자세한 근거는 같은 날 낸 정식 보고서에 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한눈에 보는 기아: 3분기는 환율이 돕고, 내년은 환율이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