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맑은 고딕" w:hAnsi="맑은 고딕" w:eastAsia="맑은 고딕"/>
          <w:b/>
          <w:color w:val="5B6876"/>
          <w:sz w:val="18"/>
        </w:rPr>
        <w:t>One Key Research</w:t>
      </w:r>
      <w:r>
        <w:rPr>
          <w:rFonts w:ascii="맑은 고딕" w:hAnsi="맑은 고딕" w:eastAsia="맑은 고딕"/>
          <w:color w:val="5B6876"/>
          <w:sz w:val="18"/>
        </w:rPr>
        <w:t xml:space="preserve">  </w:t>
      </w:r>
      <w:r>
        <w:rPr>
          <w:rFonts w:ascii="맑은 고딕" w:hAnsi="맑은 고딕" w:eastAsia="맑은 고딕"/>
          <w:color w:val="5B6876"/>
          <w:sz w:val="18"/>
        </w:rPr>
        <w:t>기업 브리프 | 2026년 10월 14일 (기준일 2026-10-08, 모델 v0.21)</w:t>
      </w:r>
    </w:p>
    <w:p>
      <w:pPr>
        <w:spacing w:after="80"/>
      </w:pPr>
      <w:r>
        <w:rPr>
          <w:rFonts w:ascii="맑은 고딕" w:hAnsi="맑은 고딕" w:eastAsia="맑은 고딕"/>
          <w:b/>
          <w:color w:val="1F3A5F"/>
          <w:sz w:val="28"/>
        </w:rPr>
        <w:t xml:space="preserve">기아 </w:t>
      </w:r>
      <w:r>
        <w:rPr>
          <w:rFonts w:ascii="맑은 고딕" w:hAnsi="맑은 고딕" w:eastAsia="맑은 고딕"/>
          <w:b/>
          <w:color w:val="1F3A5F"/>
          <w:sz w:val="28"/>
        </w:rPr>
        <w:t>000270 · KOSPI · 자동차</w:t>
      </w:r>
    </w:p>
    <w:p>
      <w:pPr>
        <w:pStyle w:val="Title"/>
        <w:spacing w:after="120"/>
      </w:pPr>
      <w:r>
        <w:rPr>
          <w:rFonts w:ascii="맑은 고딕" w:hAnsi="맑은 고딕" w:eastAsia="맑은 고딕"/>
        </w:rPr>
        <w:t>한눈에 보는 기아: 3분기는 판매보증비가, 내년은 환율이 이익을 깎는다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9EFF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5B6876"/>
                <w:sz w:val="17"/>
              </w:rPr>
              <w:t>투자의견</w:t>
            </w:r>
          </w:p>
        </w:tc>
        <w:tc>
          <w:tcPr>
            <w:tcW w:type="dxa" w:w="2409"/>
            <w:shd w:val="clear" w:color="auto" w:fill="E9EFF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5B6876"/>
                <w:sz w:val="17"/>
              </w:rPr>
              <w:t>목표주가</w:t>
            </w:r>
          </w:p>
        </w:tc>
        <w:tc>
          <w:tcPr>
            <w:tcW w:type="dxa" w:w="2409"/>
            <w:shd w:val="clear" w:color="auto" w:fill="E9EFF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5B6876"/>
                <w:sz w:val="17"/>
              </w:rPr>
              <w:t>현재 주가(2026-10-08)</w:t>
            </w:r>
          </w:p>
        </w:tc>
        <w:tc>
          <w:tcPr>
            <w:tcW w:type="dxa" w:w="2409"/>
            <w:shd w:val="clear" w:color="auto" w:fill="E9EFF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5B6876"/>
                <w:sz w:val="17"/>
              </w:rPr>
              <w:t>목표주가와의 차이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F3A5F"/>
                <w:sz w:val="24"/>
              </w:rPr>
              <w:t>매도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F3A5F"/>
                <w:sz w:val="24"/>
              </w:rPr>
              <w:t>73,200원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F3A5F"/>
                <w:sz w:val="24"/>
              </w:rPr>
              <w:t>106,800원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F3A5F"/>
                <w:sz w:val="24"/>
              </w:rPr>
              <w:t>−31.5%</w:t>
            </w:r>
          </w:p>
        </w:tc>
      </w:tr>
    </w:tbl>
    <w:p/>
    <w:p>
      <w:r>
        <w:br w:type="page"/>
      </w:r>
    </w:p>
    <w:p>
      <w:pPr>
        <w:pStyle w:val="Heading1"/>
        <w:spacing w:after="120"/>
      </w:pPr>
      <w:r>
        <w:rPr>
          <w:rFonts w:ascii="맑은 고딕" w:hAnsi="맑은 고딕" w:eastAsia="맑은 고딕"/>
        </w:rPr>
        <w:t>한눈에</w:t>
      </w:r>
    </w:p>
    <w:p>
      <w:pPr>
        <w:pStyle w:val="Heading2"/>
        <w:spacing w:after="80"/>
      </w:pPr>
      <w:r>
        <w:rPr>
          <w:rFonts w:ascii="맑은 고딕" w:hAnsi="맑은 고딕" w:eastAsia="맑은 고딕"/>
        </w:rPr>
        <w:t>무엇을 하는 회사인가</w:t>
      </w:r>
    </w:p>
    <w:p>
      <w:pPr>
        <w:spacing w:after="120"/>
      </w:pPr>
      <w:r>
        <w:rPr>
          <w:rFonts w:ascii="맑은 고딕" w:hAnsi="맑은 고딕" w:eastAsia="맑은 고딕"/>
        </w:rPr>
        <w:t>현대자동차그룹의 완성차 회사다. 2025년에 313만대를 팔아 매출 114.1조원, 영업이익 9.1조원을 냈다. 매출의 82%가 해외이고 국내공장에서 만들어 내보내는 몫이 커서 환율과 미국 관세가 이익을 가른다.</w:t>
      </w:r>
    </w:p>
    <w:p>
      <w:pPr>
        <w:pStyle w:val="Heading2"/>
        <w:spacing w:after="80"/>
      </w:pPr>
      <w:r>
        <w:rPr>
          <w:rFonts w:ascii="맑은 고딕" w:hAnsi="맑은 고딕" w:eastAsia="맑은 고딕"/>
        </w:rPr>
        <w:t>지금 어디에 있나</w:t>
      </w:r>
    </w:p>
    <w:p>
      <w:pPr>
        <w:spacing w:after="120"/>
      </w:pPr>
      <w:r>
        <w:rPr>
          <w:rFonts w:ascii="맑은 고딕" w:hAnsi="맑은 고딕" w:eastAsia="맑은 고딕"/>
        </w:rPr>
        <w:t>영업이익은 2024년 12.7조원에서 2025년 9.1조원으로 줄었다. 2025년 4월부터 미국 관세가 붙어 그해에만 3조 420억원이 나갔다. 관세와 외화환산을 빼고 보면 영업이익률은 여섯 분기 동안 9.4%~11.1%였다. 올해 1~9월 도매는 전년보다 4.5% 늘었다. 주가는 올해 −12%로 KOSPI(+57%)보다 크게 낮다.</w:t>
      </w:r>
    </w:p>
    <w:p>
      <w:pPr>
        <w:pStyle w:val="Heading2"/>
        <w:spacing w:after="80"/>
      </w:pPr>
      <w:r>
        <w:rPr>
          <w:rFonts w:ascii="맑은 고딕" w:hAnsi="맑은 고딕" w:eastAsia="맑은 고딕"/>
        </w:rPr>
        <w:t>의견</w:t>
      </w:r>
    </w:p>
    <w:p>
      <w:pPr>
        <w:spacing w:after="120"/>
      </w:pPr>
      <w:r>
        <w:rPr>
          <w:rFonts w:ascii="맑은 고딕" w:hAnsi="맑은 고딕" w:eastAsia="맑은 고딕"/>
        </w:rPr>
        <w:t>투자의견은 매도, 목표주가는 73,200원이다(기준일 주가 106,800원, 차이 −31.5%). 12개월 선행 추정 주당순이익 14,843원(컨센서스 22,329원)에 시장이 최근 8개 분기에 실제로 치른 선행 배수 4.93배를 곱했다. 최근 4개 분기 평균 배수(5.89배)로는 87,426원이고, 두 값 모두 의견 기준의 아래쪽이다. 지금 주가는 컨센서스 선행 주당순이익의 4.78배로 그 평균과 같은 수준이다. 그래서 목표주가와 주가의 차이는 배수가 아니라 이익 추정에서 나온다.</w:t>
      </w:r>
    </w:p>
    <w:p>
      <w:pPr>
        <w:spacing w:after="40"/>
      </w:pPr>
      <w:r>
        <w:rPr>
          <w:rFonts w:ascii="맑은 고딕" w:hAnsi="맑은 고딕" w:eastAsia="맑은 고딕"/>
          <w:b/>
          <w:color w:val="1F3A5F"/>
          <w:sz w:val="19"/>
        </w:rPr>
        <w:t>표 1</w:t>
      </w:r>
      <w:r>
        <w:rPr>
          <w:rFonts w:ascii="맑은 고딕" w:hAnsi="맑은 고딕" w:eastAsia="맑은 고딕"/>
          <w:b/>
          <w:color w:val="1F3A5F"/>
          <w:sz w:val="19"/>
        </w:rPr>
        <w:t xml:space="preserve"> 연간 실적과 추정 </w:t>
      </w:r>
      <w:r>
        <w:rPr>
          <w:rFonts w:ascii="맑은 고딕" w:hAnsi="맑은 고딕" w:eastAsia="맑은 고딕"/>
          <w:b/>
          <w:color w:val="1F3A5F"/>
          <w:sz w:val="19"/>
        </w:rPr>
        <w:t>(억원, 원)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1F3A5F"/>
          </w:tcPr>
          <w:p>
            <w:pPr>
              <w:spacing w:after="0"/>
              <w:jc w:val="center"/>
            </w:pPr>
          </w:p>
        </w:tc>
        <w:tc>
          <w:tcPr>
            <w:tcW w:type="dxa" w:w="1606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2024</w:t>
            </w:r>
          </w:p>
        </w:tc>
        <w:tc>
          <w:tcPr>
            <w:tcW w:type="dxa" w:w="1606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2025</w:t>
            </w:r>
          </w:p>
        </w:tc>
        <w:tc>
          <w:tcPr>
            <w:tcW w:type="dxa" w:w="1606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2026F</w:t>
            </w:r>
          </w:p>
        </w:tc>
        <w:tc>
          <w:tcPr>
            <w:tcW w:type="dxa" w:w="1606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2027F</w:t>
            </w:r>
          </w:p>
        </w:tc>
        <w:tc>
          <w:tcPr>
            <w:tcW w:type="dxa" w:w="1606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2028F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도매(만대)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308.3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313.2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327.3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334.0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340.8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7"/>
              </w:rPr>
              <w:t>매출액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1,074,490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1,141,420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1,223,971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1,181,902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1,206,066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조정 영업이익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132,980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118,229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113,739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105,499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103,627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 xml:space="preserve"> 조정 영업이익률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12.4%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10.4%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9.3%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8.4%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8.1%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관세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0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30,420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31,803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30,392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29,558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외화환산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0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+2,981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+2,778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0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0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환율(한 해 단위)</w:t>
            </w:r>
          </w:p>
        </w:tc>
        <w:tc>
          <w:tcPr>
            <w:tcW w:type="dxa" w:w="1606"/>
          </w:tcPr>
          <w:p>
            <w:pPr>
              <w:spacing w:after="0"/>
            </w:pPr>
          </w:p>
        </w:tc>
        <w:tc>
          <w:tcPr>
            <w:tcW w:type="dxa" w:w="1606"/>
          </w:tcPr>
          <w:p>
            <w:pPr>
              <w:spacing w:after="0"/>
            </w:pPr>
          </w:p>
        </w:tc>
        <w:tc>
          <w:tcPr>
            <w:tcW w:type="dxa" w:w="1606"/>
          </w:tcPr>
          <w:p>
            <w:pPr>
              <w:spacing w:after="0"/>
            </w:pP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−18,260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−18,633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7"/>
              </w:rPr>
              <w:t>영업이익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126,670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90,790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84,714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56,847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55,435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 xml:space="preserve"> 영업이익률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11.8%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8.0%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6.9%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4.8%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4.6%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당기순이익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97,750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75,570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73,708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52,694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51,667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주당순이익(원)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25,038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19,356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18,879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13,497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13,234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주당 배당금(원)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6,500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6,800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6,800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6,800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6,800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주당순자산(원)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143,005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156,726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173,919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180,616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187,050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자기자본이익률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19.1%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12.9%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11.4%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7.6%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7.2%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원/달러 평균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1,364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1,423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1,435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1,351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1,351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원/유로 평균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1,475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1,607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1,654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1,520</w:t>
            </w:r>
          </w:p>
        </w:tc>
        <w:tc>
          <w:tcPr>
            <w:tcW w:type="dxa" w:w="1606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1,520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color w:val="5B6876"/>
          <w:sz w:val="16"/>
        </w:rPr>
        <w:t>자료: 기아 분기 경영실적 자료, 정기보고서, One Key 추정. 주당 값은 상장주식수로 나눈 값</w:t>
      </w:r>
    </w:p>
    <w:p>
      <w:pPr>
        <w:pStyle w:val="Heading1"/>
        <w:spacing w:after="120"/>
      </w:pPr>
      <w:r>
        <w:rPr>
          <w:rFonts w:ascii="맑은 고딕" w:hAnsi="맑은 고딕" w:eastAsia="맑은 고딕"/>
        </w:rPr>
        <w:t>산업과 매출·비용의 뼈대</w:t>
      </w:r>
    </w:p>
    <w:p>
      <w:pPr>
        <w:pStyle w:val="Heading2"/>
        <w:spacing w:after="80"/>
      </w:pPr>
      <w:r>
        <w:rPr>
          <w:rFonts w:ascii="맑은 고딕" w:hAnsi="맑은 고딕" w:eastAsia="맑은 고딕"/>
        </w:rPr>
        <w:t>산업: 관세와 전기차 가격 경쟁</w:t>
      </w:r>
    </w:p>
    <w:p>
      <w:pPr>
        <w:spacing w:after="120"/>
      </w:pPr>
      <w:r>
        <w:rPr>
          <w:rFonts w:ascii="맑은 고딕" w:hAnsi="맑은 고딕" w:eastAsia="맑은 고딕"/>
        </w:rPr>
        <w:t>완성차는 차를 만들어 지역별 판매법인과 딜러에 넘기는 사업이고, 이익은 물량, 대당 가격(인센티브를 뺀 값), 환율, 재료비에서 갈린다. 지금 산업을 움직이는 것은 둘이다. 미국은 2025년 4월 3일부터 한국산 자동차에 25%를 매겼고 11월 1일부터 15%로 내렸다. 유럽에서는 전기차 가격 경쟁이 세졌다. 기아의 유럽 소매에서 전기차 비중은 1분기 21%, 2분기 26%, 7~8월 30%로 오르고 있고, 회사는 2분기에 서유럽의 경쟁 심화로 인센티브가 늘었다고 밝혔다. 기아의 자기자본이익률(11.4%)은 일본 완성차 평균(8.0%)보다 높고 P/B(0.64배)는 일본 평균(0.86배)보다 낮다.</w:t>
      </w:r>
    </w:p>
    <w:p>
      <w:pPr>
        <w:pStyle w:val="Heading2"/>
        <w:spacing w:after="80"/>
      </w:pPr>
      <w:r>
        <w:rPr>
          <w:rFonts w:ascii="맑은 고딕" w:hAnsi="맑은 고딕" w:eastAsia="맑은 고딕"/>
        </w:rPr>
        <w:t>매출: 대수 × 대당 매출, 지역마다 값이 다르다</w:t>
      </w:r>
    </w:p>
    <w:p>
      <w:pPr>
        <w:spacing w:after="120"/>
      </w:pPr>
      <w:r>
        <w:rPr>
          <w:rFonts w:ascii="맑은 고딕" w:hAnsi="맑은 고딕" w:eastAsia="맑은 고딕"/>
        </w:rPr>
        <w:t>매출은 도매 대수와 대당 매출의 곱이다. 2분기 매출에서 미국 법인이 37%, 유럽 법인이 22%를 차지한다. 대당 매출은 미국 5,397만원, 유럽 4,297만원으로 다르다. 3분기 도매는 84.7만대로 1년 전보다 7.9% 늘었다. 7~8월 현지판매로 보면 3분기에 미국은 2분기보다 +7.0%, 유럽은 −10.4%다.</w:t>
      </w:r>
    </w:p>
    <w:p>
      <w:pPr>
        <w:pStyle w:val="Heading2"/>
        <w:spacing w:after="80"/>
      </w:pPr>
      <w:r>
        <w:rPr>
          <w:rFonts w:ascii="맑은 고딕" w:hAnsi="맑은 고딕" w:eastAsia="맑은 고딕"/>
        </w:rPr>
        <w:t>비용: 따로 봐야 하는 줄이 다섯이다</w:t>
      </w:r>
    </w:p>
    <w:p>
      <w:pPr>
        <w:spacing w:after="120"/>
      </w:pPr>
      <w:r>
        <w:rPr>
          <w:rFonts w:ascii="맑은 고딕" w:hAnsi="맑은 고딕" w:eastAsia="맑은 고딕"/>
        </w:rPr>
        <w:t>영업이익에는 성격이 다른 줄이 섞여 있다. 미국 관세(2분기 8,140억원), 판매보증비(2분기 매출의 2.5%, 2025년 3분기 5.4%), 판매보증충당부채를 분기 말 환율로 다시 잰 외화환산(2분기 −802억원), 인센티브(2분기 전년 대비 −7,230억원), 그리고 평균환율이다(회사가 밝힌 환율 효과는 2분기 전년 대비 6,690억원). 회사는 분기 실적 자료와 정기보고서 주석에서 이 줄들의 금액을 밝힌다. 아래 표는 관세와 외화환산을 뺀 조정 영업이익률과 판매보증비 비율을 분기별로 보인 것이다.</w:t>
      </w:r>
    </w:p>
    <w:p>
      <w:pPr>
        <w:spacing w:after="40"/>
      </w:pPr>
      <w:r>
        <w:rPr>
          <w:rFonts w:ascii="맑은 고딕" w:hAnsi="맑은 고딕" w:eastAsia="맑은 고딕"/>
          <w:b/>
          <w:color w:val="1F3A5F"/>
          <w:sz w:val="19"/>
        </w:rPr>
        <w:t>표 2</w:t>
      </w:r>
      <w:r>
        <w:rPr>
          <w:rFonts w:ascii="맑은 고딕" w:hAnsi="맑은 고딕" w:eastAsia="맑은 고딕"/>
          <w:b/>
          <w:color w:val="1F3A5F"/>
          <w:sz w:val="19"/>
        </w:rPr>
        <w:t xml:space="preserve"> 드러난 영업이익과 조정 영업이익 </w:t>
      </w:r>
      <w:r>
        <w:rPr>
          <w:rFonts w:ascii="맑은 고딕" w:hAnsi="맑은 고딕" w:eastAsia="맑은 고딕"/>
          <w:b/>
          <w:color w:val="1F3A5F"/>
          <w:sz w:val="19"/>
        </w:rPr>
        <w:t>(억원)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1F3A5F"/>
          </w:tcPr>
          <w:p>
            <w:pPr>
              <w:spacing w:after="0"/>
              <w:jc w:val="center"/>
            </w:pPr>
          </w:p>
        </w:tc>
        <w:tc>
          <w:tcPr>
            <w:tcW w:type="dxa" w:w="1377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1Q25</w:t>
            </w:r>
          </w:p>
        </w:tc>
        <w:tc>
          <w:tcPr>
            <w:tcW w:type="dxa" w:w="1377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2Q25</w:t>
            </w:r>
          </w:p>
        </w:tc>
        <w:tc>
          <w:tcPr>
            <w:tcW w:type="dxa" w:w="1377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3Q25</w:t>
            </w:r>
          </w:p>
        </w:tc>
        <w:tc>
          <w:tcPr>
            <w:tcW w:type="dxa" w:w="1377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4Q25</w:t>
            </w:r>
          </w:p>
        </w:tc>
        <w:tc>
          <w:tcPr>
            <w:tcW w:type="dxa" w:w="1377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1Q26</w:t>
            </w:r>
          </w:p>
        </w:tc>
        <w:tc>
          <w:tcPr>
            <w:tcW w:type="dxa" w:w="1377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2Q26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매출액</w:t>
            </w:r>
          </w:p>
        </w:tc>
        <w:tc>
          <w:tcPr>
            <w:tcW w:type="dxa" w:w="137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280,180</w:t>
            </w:r>
          </w:p>
        </w:tc>
        <w:tc>
          <w:tcPr>
            <w:tcW w:type="dxa" w:w="137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293,500</w:t>
            </w:r>
          </w:p>
        </w:tc>
        <w:tc>
          <w:tcPr>
            <w:tcW w:type="dxa" w:w="137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286,860</w:t>
            </w:r>
          </w:p>
        </w:tc>
        <w:tc>
          <w:tcPr>
            <w:tcW w:type="dxa" w:w="137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280,880</w:t>
            </w:r>
          </w:p>
        </w:tc>
        <w:tc>
          <w:tcPr>
            <w:tcW w:type="dxa" w:w="137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295,020</w:t>
            </w:r>
          </w:p>
        </w:tc>
        <w:tc>
          <w:tcPr>
            <w:tcW w:type="dxa" w:w="137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330,370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영업이익</w:t>
            </w:r>
          </w:p>
        </w:tc>
        <w:tc>
          <w:tcPr>
            <w:tcW w:type="dxa" w:w="137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30,090</w:t>
            </w:r>
          </w:p>
        </w:tc>
        <w:tc>
          <w:tcPr>
            <w:tcW w:type="dxa" w:w="137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27,650</w:t>
            </w:r>
          </w:p>
        </w:tc>
        <w:tc>
          <w:tcPr>
            <w:tcW w:type="dxa" w:w="137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14,620</w:t>
            </w:r>
          </w:p>
        </w:tc>
        <w:tc>
          <w:tcPr>
            <w:tcW w:type="dxa" w:w="137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18,430</w:t>
            </w:r>
          </w:p>
        </w:tc>
        <w:tc>
          <w:tcPr>
            <w:tcW w:type="dxa" w:w="137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22,050</w:t>
            </w:r>
          </w:p>
        </w:tc>
        <w:tc>
          <w:tcPr>
            <w:tcW w:type="dxa" w:w="137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26,290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 xml:space="preserve"> 영업이익률</w:t>
            </w:r>
          </w:p>
        </w:tc>
        <w:tc>
          <w:tcPr>
            <w:tcW w:type="dxa" w:w="137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10.7%</w:t>
            </w:r>
          </w:p>
        </w:tc>
        <w:tc>
          <w:tcPr>
            <w:tcW w:type="dxa" w:w="137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9.4%</w:t>
            </w:r>
          </w:p>
        </w:tc>
        <w:tc>
          <w:tcPr>
            <w:tcW w:type="dxa" w:w="137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5.1%</w:t>
            </w:r>
          </w:p>
        </w:tc>
        <w:tc>
          <w:tcPr>
            <w:tcW w:type="dxa" w:w="137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6.6%</w:t>
            </w:r>
          </w:p>
        </w:tc>
        <w:tc>
          <w:tcPr>
            <w:tcW w:type="dxa" w:w="137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7.5%</w:t>
            </w:r>
          </w:p>
        </w:tc>
        <w:tc>
          <w:tcPr>
            <w:tcW w:type="dxa" w:w="137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8.0%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+ 미국 관세 영향</w:t>
            </w:r>
          </w:p>
        </w:tc>
        <w:tc>
          <w:tcPr>
            <w:tcW w:type="dxa" w:w="1377"/>
          </w:tcPr>
          <w:p>
            <w:pPr>
              <w:spacing w:after="0"/>
            </w:pPr>
          </w:p>
        </w:tc>
        <w:tc>
          <w:tcPr>
            <w:tcW w:type="dxa" w:w="137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7,860</w:t>
            </w:r>
          </w:p>
        </w:tc>
        <w:tc>
          <w:tcPr>
            <w:tcW w:type="dxa" w:w="137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12,340</w:t>
            </w:r>
          </w:p>
        </w:tc>
        <w:tc>
          <w:tcPr>
            <w:tcW w:type="dxa" w:w="137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10,220</w:t>
            </w:r>
          </w:p>
        </w:tc>
        <w:tc>
          <w:tcPr>
            <w:tcW w:type="dxa" w:w="137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7,550</w:t>
            </w:r>
          </w:p>
        </w:tc>
        <w:tc>
          <w:tcPr>
            <w:tcW w:type="dxa" w:w="137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8,140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외화환산(+ 이익. 조정 영업이익에서는 뺀다)</w:t>
            </w:r>
          </w:p>
        </w:tc>
        <w:tc>
          <w:tcPr>
            <w:tcW w:type="dxa" w:w="137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+66</w:t>
            </w:r>
          </w:p>
        </w:tc>
        <w:tc>
          <w:tcPr>
            <w:tcW w:type="dxa" w:w="137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+2,915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–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–</w:t>
            </w:r>
          </w:p>
        </w:tc>
        <w:tc>
          <w:tcPr>
            <w:tcW w:type="dxa" w:w="137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−2,557</w:t>
            </w:r>
          </w:p>
        </w:tc>
        <w:tc>
          <w:tcPr>
            <w:tcW w:type="dxa" w:w="137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−802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7"/>
              </w:rPr>
              <w:t>조정 영업이익</w:t>
            </w:r>
          </w:p>
        </w:tc>
        <w:tc>
          <w:tcPr>
            <w:tcW w:type="dxa" w:w="137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30,024</w:t>
            </w:r>
          </w:p>
        </w:tc>
        <w:tc>
          <w:tcPr>
            <w:tcW w:type="dxa" w:w="137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32,595</w:t>
            </w:r>
          </w:p>
        </w:tc>
        <w:tc>
          <w:tcPr>
            <w:tcW w:type="dxa" w:w="137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26,960</w:t>
            </w:r>
          </w:p>
        </w:tc>
        <w:tc>
          <w:tcPr>
            <w:tcW w:type="dxa" w:w="137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28,650</w:t>
            </w:r>
          </w:p>
        </w:tc>
        <w:tc>
          <w:tcPr>
            <w:tcW w:type="dxa" w:w="137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32,157</w:t>
            </w:r>
          </w:p>
        </w:tc>
        <w:tc>
          <w:tcPr>
            <w:tcW w:type="dxa" w:w="137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35,232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7"/>
              </w:rPr>
              <w:t xml:space="preserve"> 조정 영업이익률</w:t>
            </w:r>
          </w:p>
        </w:tc>
        <w:tc>
          <w:tcPr>
            <w:tcW w:type="dxa" w:w="137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10.7%</w:t>
            </w:r>
          </w:p>
        </w:tc>
        <w:tc>
          <w:tcPr>
            <w:tcW w:type="dxa" w:w="137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11.1%</w:t>
            </w:r>
          </w:p>
        </w:tc>
        <w:tc>
          <w:tcPr>
            <w:tcW w:type="dxa" w:w="137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9.4%</w:t>
            </w:r>
          </w:p>
        </w:tc>
        <w:tc>
          <w:tcPr>
            <w:tcW w:type="dxa" w:w="137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10.2%</w:t>
            </w:r>
          </w:p>
        </w:tc>
        <w:tc>
          <w:tcPr>
            <w:tcW w:type="dxa" w:w="137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10.9%</w:t>
            </w:r>
          </w:p>
        </w:tc>
        <w:tc>
          <w:tcPr>
            <w:tcW w:type="dxa" w:w="137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10.7%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판매보증비(외화환산 제외) ÷ 매출액</w:t>
            </w:r>
          </w:p>
        </w:tc>
        <w:tc>
          <w:tcPr>
            <w:tcW w:type="dxa" w:w="137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2.7%</w:t>
            </w:r>
          </w:p>
        </w:tc>
        <w:tc>
          <w:tcPr>
            <w:tcW w:type="dxa" w:w="137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3.4%</w:t>
            </w:r>
          </w:p>
        </w:tc>
        <w:tc>
          <w:tcPr>
            <w:tcW w:type="dxa" w:w="137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5.4%</w:t>
            </w:r>
          </w:p>
        </w:tc>
        <w:tc>
          <w:tcPr>
            <w:tcW w:type="dxa" w:w="137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3.9%</w:t>
            </w:r>
          </w:p>
        </w:tc>
        <w:tc>
          <w:tcPr>
            <w:tcW w:type="dxa" w:w="137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3.2%</w:t>
            </w:r>
          </w:p>
        </w:tc>
        <w:tc>
          <w:tcPr>
            <w:tcW w:type="dxa" w:w="1377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2.5%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color w:val="5B6876"/>
          <w:sz w:val="16"/>
        </w:rPr>
        <w:t>자료: 기아 분기 경영실적 자료, 정기보고서 판관비 주석, One Key 계산. 외화환산은 회사가 금액을 적은 분기만(–는 적지 않은 분기)</w:t>
      </w:r>
    </w:p>
    <w:p>
      <w:pPr>
        <w:pStyle w:val="Heading1"/>
        <w:spacing w:after="120"/>
      </w:pPr>
      <w:r>
        <w:rPr>
          <w:rFonts w:ascii="맑은 고딕" w:hAnsi="맑은 고딕" w:eastAsia="맑은 고딕"/>
        </w:rPr>
        <w:t>3분기: 영업이익 2.0조원, 결산의 판매보증비가 가른다</w:t>
      </w:r>
    </w:p>
    <w:p>
      <w:pPr>
        <w:spacing w:after="120"/>
      </w:pPr>
      <w:r>
        <w:rPr>
          <w:rFonts w:ascii="맑은 고딕" w:hAnsi="맑은 고딕" w:eastAsia="맑은 고딕"/>
        </w:rPr>
        <w:t>3분기 영업이익은 판매 대수로 낸 매출에 직전 네 분기의 이익률을 곱하고 관세와 판매보증비를 따로 빼고, 평균환율의 변화를 통화별 환노출로 넣어서 냈다. 판매보증비를 따로 보는 까닭은 3분기에 있다. 2018~2025년 8개 연도 가운데 7개 연도에 3분기의 판매보증비 비율이 그 해에서 가장 높았다. 3분기 결산 때 품질 관련 금액을 따로 쌓은 해가 많았기 때문이다(2022년 1조 5,440억원, 2023년 3,910억원, 2024년 6,310억원).</w:t>
      </w:r>
    </w:p>
    <w:p>
      <w:pPr>
        <w:spacing w:after="40"/>
      </w:pPr>
      <w:r>
        <w:rPr>
          <w:rFonts w:ascii="맑은 고딕" w:hAnsi="맑은 고딕" w:eastAsia="맑은 고딕"/>
          <w:b/>
          <w:color w:val="1F3A5F"/>
          <w:sz w:val="19"/>
        </w:rPr>
        <w:t>표 3</w:t>
      </w:r>
      <w:r>
        <w:rPr>
          <w:rFonts w:ascii="맑은 고딕" w:hAnsi="맑은 고딕" w:eastAsia="맑은 고딕"/>
          <w:b/>
          <w:color w:val="1F3A5F"/>
          <w:sz w:val="19"/>
        </w:rPr>
        <w:t xml:space="preserve"> 3분기 영업이익을 쌓은 순서 </w:t>
      </w:r>
      <w:r>
        <w:rPr>
          <w:rFonts w:ascii="맑은 고딕" w:hAnsi="맑은 고딕" w:eastAsia="맑은 고딕"/>
          <w:b/>
          <w:color w:val="1F3A5F"/>
          <w:sz w:val="19"/>
        </w:rPr>
        <w:t>(억원)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줄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값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어떻게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판매 대수로 낸 매출</w:t>
            </w:r>
          </w:p>
        </w:tc>
        <w:tc>
          <w:tcPr>
            <w:tcW w:type="dxa" w:w="3213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328,845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2분기 매출 330,370 × 도매 변화(−0.5%)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× 관세와 판매보증비를 빼기 전 영업이익률</w:t>
            </w:r>
          </w:p>
        </w:tc>
        <w:tc>
          <w:tcPr>
            <w:tcW w:type="dxa" w:w="3213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14.0%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직전 네 분기(2025년 3분기~2026년 2분기) 평균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= 관세와 판매보증비를 빼기 전 영업이익</w:t>
            </w:r>
          </w:p>
        </w:tc>
        <w:tc>
          <w:tcPr>
            <w:tcW w:type="dxa" w:w="3213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46,101</w:t>
            </w:r>
          </w:p>
        </w:tc>
        <w:tc>
          <w:tcPr>
            <w:tcW w:type="dxa" w:w="3213"/>
          </w:tcPr>
          <w:p>
            <w:pPr>
              <w:spacing w:after="0"/>
            </w:pP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− 미국 관세</w:t>
            </w:r>
          </w:p>
        </w:tc>
        <w:tc>
          <w:tcPr>
            <w:tcW w:type="dxa" w:w="3213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−8,300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미국행 수출 대수 × 15% × 2분기에 회사가 밝힌 값의 비율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− 판매보증비</w:t>
            </w:r>
          </w:p>
        </w:tc>
        <w:tc>
          <w:tcPr>
            <w:tcW w:type="dxa" w:w="3213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−15,562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매출의 4.73%. 3분기의 최근 3년(2023~2025년) 평균 비율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+ 판매보증충당부채 외화환산</w:t>
            </w:r>
          </w:p>
        </w:tc>
        <w:tc>
          <w:tcPr>
            <w:tcW w:type="dxa" w:w="3213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+5,484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6월 말 충당부채 × 분기 말 원/달러 변화(−11.9%) × 환율에 묶인 몫(50%)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+ 인센티브·재료비 증감</w:t>
            </w:r>
          </w:p>
        </w:tc>
        <w:tc>
          <w:tcPr>
            <w:tcW w:type="dxa" w:w="3213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−4,519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2분기의 전년 대비 증감 −7,230 가운데 네 분기 평균 이익률에 아직 들어가지 않은 몫(62.5%)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+ 평균환율(달러·그 밖 통화·유로)</w:t>
            </w:r>
          </w:p>
        </w:tc>
        <w:tc>
          <w:tcPr>
            <w:tcW w:type="dxa" w:w="3213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−2,720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통화별 환노출 × 환율 변화 × 영업이익에 닿는 몫(0.56). 3분기 평균은 2분기보다 원/달러 −5.2%, 원/유로 −6.2%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7"/>
              </w:rPr>
              <w:t>= 영업이익</w:t>
            </w:r>
          </w:p>
        </w:tc>
        <w:tc>
          <w:tcPr>
            <w:tcW w:type="dxa" w:w="3213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20,484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7"/>
              </w:rPr>
              <w:t>컨센서스 25,023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 xml:space="preserve"> 3분기 결산에서 품질 관련 금액이 나오지 않을 때</w:t>
            </w:r>
          </w:p>
        </w:tc>
        <w:tc>
          <w:tcPr>
            <w:tcW w:type="dxa" w:w="3213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25,908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판매보증비가 매출의 3.08%(3분기가 아닌 분기들의 최근 3년 평균)일 때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참고: 매출액 추정</w:t>
            </w:r>
          </w:p>
        </w:tc>
        <w:tc>
          <w:tcPr>
            <w:tcW w:type="dxa" w:w="3213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314,707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판매 대수로 낸 매출에 평균환율 변화(−5.2%)를 넣은 값. 컨센서스 316,710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color w:val="5B6876"/>
          <w:sz w:val="16"/>
        </w:rPr>
        <w:t>자료: 기아 분기 경영실적 자료, 월 판매 공시, 정기보고서(판매비와관리비 주석), 한국은행 ECOS, One Key 추정</w:t>
      </w:r>
    </w:p>
    <w:p>
      <w:pPr>
        <w:spacing w:after="120"/>
      </w:pPr>
      <w:r>
        <w:rPr>
          <w:rFonts w:ascii="맑은 고딕" w:hAnsi="맑은 고딕" w:eastAsia="맑은 고딕"/>
        </w:rPr>
        <w:t>판매보증비를 3분기의 최근 3년 평균인 매출의 4.7%로 넣으면 영업이익은 20,484억원이다. 컨센서스(25,023억원)보다 18% 적다. 품질 관련 금액이 나오지 않아 3분기가 아닌 분기의 평균(3.1%)에 그치면 25,908억원이다. 컨센서스는 두 값 사이에 있다. 분기 말 원/달러가 6월 말 1,542원에서 9월 말 1,358원으로 내려 충당부채 외화환산은 5,484억원 이익으로 추정한다. 인센티브는 회사가 7월 실적 설명회에서 유럽의 수준이 하반기에도 2분기와 같다고 밝혀, 2분기의 전년 대비 증감이 이어진다고 봤다. 3분기 평균환율은 2분기보다 원/달러가 −5.2%, 원/유로가 −6.2%여서 평균환율 항이 −2,720억원이다. 4분기는 같은 식으로 15,890억원이다.</w:t>
      </w:r>
    </w:p>
    <w:p>
      <w:pPr>
        <w:spacing w:after="40"/>
      </w:pPr>
      <w:r>
        <w:rPr>
          <w:rFonts w:ascii="맑은 고딕" w:hAnsi="맑은 고딕" w:eastAsia="맑은 고딕"/>
          <w:b/>
          <w:color w:val="1F3A5F"/>
          <w:sz w:val="19"/>
        </w:rPr>
        <w:t>그림 1</w:t>
      </w:r>
      <w:r>
        <w:rPr>
          <w:rFonts w:ascii="맑은 고딕" w:hAnsi="맑은 고딕" w:eastAsia="맑은 고딕"/>
          <w:b/>
          <w:color w:val="1F3A5F"/>
          <w:sz w:val="19"/>
        </w:rPr>
        <w:t xml:space="preserve"> 3분기 영업이익을 2.0조원으로 추정한다. 컨센서스 2.5조원보다 18% 적다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934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93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맑은 고딕" w:hAnsi="맑은 고딕" w:eastAsia="맑은 고딕"/>
          <w:color w:val="5B6876"/>
          <w:sz w:val="16"/>
        </w:rPr>
        <w:t>주: 컨센서스는 실적이 나온 분기는 발표 전 값(FnGuide의 컨센서스 대비에서 거꾸로 구함), 3·4분기는 2026년 10월 8일 값</w:t>
      </w:r>
      <w:r>
        <w:br/>
      </w:r>
      <w:r>
        <w:rPr>
          <w:rFonts w:ascii="맑은 고딕" w:hAnsi="맑은 고딕" w:eastAsia="맑은 고딕"/>
          <w:color w:val="5B6876"/>
          <w:sz w:val="16"/>
        </w:rPr>
        <w:t>자료: 기아 분기 경영실적 자료, FnGuide, One Key 추정</w:t>
      </w:r>
    </w:p>
    <w:p>
      <w:pPr>
        <w:spacing w:after="40"/>
      </w:pPr>
      <w:r>
        <w:rPr>
          <w:rFonts w:ascii="맑은 고딕" w:hAnsi="맑은 고딕" w:eastAsia="맑은 고딕"/>
          <w:b/>
          <w:color w:val="1F3A5F"/>
          <w:sz w:val="19"/>
        </w:rPr>
        <w:t>그림 2</w:t>
      </w:r>
      <w:r>
        <w:rPr>
          <w:rFonts w:ascii="맑은 고딕" w:hAnsi="맑은 고딕" w:eastAsia="맑은 고딕"/>
          <w:b/>
          <w:color w:val="1F3A5F"/>
          <w:sz w:val="19"/>
        </w:rPr>
        <w:t xml:space="preserve"> 판매보증비 ÷ 매출액: 3분기의 최근 3년 평균은 4.7%, 3분기가 아닌 분기는 3.1%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934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93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맑은 고딕" w:hAnsi="맑은 고딕" w:eastAsia="맑은 고딕"/>
          <w:color w:val="5B6876"/>
          <w:sz w:val="16"/>
        </w:rPr>
        <w:t>주: 판매보증비는 3개월 값(4분기 = 연간 − 3분기 누적). 회사가 밝힌 외화환산 이익은 더해서 본다</w:t>
      </w:r>
      <w:r>
        <w:br/>
      </w:r>
      <w:r>
        <w:rPr>
          <w:rFonts w:ascii="맑은 고딕" w:hAnsi="맑은 고딕" w:eastAsia="맑은 고딕"/>
          <w:color w:val="5B6876"/>
          <w:sz w:val="16"/>
        </w:rPr>
        <w:t>자료: 기아 정기보고서(연결 주석의 판매비와관리비, 손익계산서), One Key 계산</w:t>
      </w:r>
    </w:p>
    <w:p>
      <w:pPr>
        <w:pStyle w:val="Heading1"/>
        <w:spacing w:after="120"/>
      </w:pPr>
      <w:r>
        <w:rPr>
          <w:rFonts w:ascii="맑은 고딕" w:hAnsi="맑은 고딕" w:eastAsia="맑은 고딕"/>
        </w:rPr>
        <w:t>내년: 원화 강세가 이어지면 컨센서스보다 적다</w:t>
      </w:r>
    </w:p>
    <w:p>
      <w:pPr>
        <w:spacing w:after="120"/>
      </w:pPr>
      <w:r>
        <w:rPr>
          <w:rFonts w:ascii="맑은 고딕" w:hAnsi="맑은 고딕" w:eastAsia="맑은 고딕"/>
        </w:rPr>
        <w:t>환율이 이익에 닿는 크기는 통화별로 쌓았다. 본사의 수출 매출과 해외 법인의 이익을 미국 달러, 유로, 그 밖 통화로 나누면 2026년 환노출은 50.7조원이다. 회사가 분기마다 밝힌 환율 효과는 이 값에 환율 변화를 곱한 것의 56%였다(직전 네 분기). 원/달러와 원/유로가 10월 초 수준(1,351원, 1,520원)에 머물면 2026년 평균(1,435원, 1,654원)보다 낮아 환율 줄이 −18,260억원이고 2027년 영업이익은 56,847억원이다. 컨센서스(107,034억원)보다 47% 적다. 두 환율이 2026년 평균으로 돌아가면 75,107억원이다.</w:t>
      </w:r>
    </w:p>
    <w:p>
      <w:pPr>
        <w:spacing w:after="40"/>
      </w:pPr>
      <w:r>
        <w:rPr>
          <w:rFonts w:ascii="맑은 고딕" w:hAnsi="맑은 고딕" w:eastAsia="맑은 고딕"/>
          <w:b/>
          <w:color w:val="1F3A5F"/>
          <w:sz w:val="19"/>
        </w:rPr>
        <w:t>표 4</w:t>
      </w:r>
      <w:r>
        <w:rPr>
          <w:rFonts w:ascii="맑은 고딕" w:hAnsi="맑은 고딕" w:eastAsia="맑은 고딕"/>
          <w:b/>
          <w:color w:val="1F3A5F"/>
          <w:sz w:val="19"/>
        </w:rPr>
        <w:t xml:space="preserve"> 통화별 환노출과 2027년 환율 줄 </w:t>
      </w:r>
      <w:r>
        <w:rPr>
          <w:rFonts w:ascii="맑은 고딕" w:hAnsi="맑은 고딕" w:eastAsia="맑은 고딕"/>
          <w:b/>
          <w:color w:val="1F3A5F"/>
          <w:sz w:val="19"/>
        </w:rPr>
        <w:t>(억원)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A5F"/>
          </w:tcPr>
          <w:p>
            <w:pPr>
              <w:spacing w:after="0"/>
              <w:jc w:val="center"/>
            </w:pPr>
          </w:p>
        </w:tc>
        <w:tc>
          <w:tcPr>
            <w:tcW w:type="dxa" w:w="1928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미국 달러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그 밖 통화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유로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합계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본사의 차량 수출 매출(2025년)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142,091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111,787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92,828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346,705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본사의 제품 외 기타 수출 매출(2025년)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41,284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32,479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26,971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100,734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본사 밖 영업이익(2025년. 연결 − 별도)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15,567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6,604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9,070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31,241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7"/>
              </w:rPr>
              <w:t>환노출(2025년)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198,942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150,870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128,868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478,680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환노출(2026년 추정)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202,464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166,903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137,955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507,323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× 2027년 평균환율 가정의 2026년 평균 대비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−5.9%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−5.9%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−8.1%</w:t>
            </w:r>
          </w:p>
        </w:tc>
        <w:tc>
          <w:tcPr>
            <w:tcW w:type="dxa" w:w="1928"/>
          </w:tcPr>
          <w:p>
            <w:pPr>
              <w:spacing w:after="0"/>
            </w:pP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× 환율이 영업이익에 닿는 몫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0.56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0.56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0.56</w:t>
            </w:r>
          </w:p>
        </w:tc>
        <w:tc>
          <w:tcPr>
            <w:tcW w:type="dxa" w:w="1928"/>
          </w:tcPr>
          <w:p>
            <w:pPr>
              <w:spacing w:after="0"/>
            </w:pP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7"/>
              </w:rPr>
              <w:t>= 2027년 환율 줄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−6,599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−5,440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−6,221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−18,260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color w:val="5B6876"/>
          <w:sz w:val="16"/>
        </w:rPr>
        <w:t>자료: 기아 사업보고서(별도 매출현황, 지역별 매출, 연결·별도 손익계산서), IR 월별 지역별수출실적, 분기 경영실적 자료, 한국은행 ECOS, One Key 계산. 차량 수출은 행선지 대수의 몫으로, 본사 밖 영업이익은 지역별 순매출의 몫으로 나눴다. 그 밖 통화는 원/달러를 따라 움직인다고 봤다</w:t>
      </w:r>
    </w:p>
    <w:p>
      <w:pPr>
        <w:spacing w:after="120"/>
      </w:pPr>
      <w:r>
        <w:rPr>
          <w:rFonts w:ascii="맑은 고딕" w:hAnsi="맑은 고딕" w:eastAsia="맑은 고딕"/>
        </w:rPr>
        <w:t>IMF 세계경제전망(2026년 10월)의 값(원/달러 1,402원)을 넣으면 2027년 영업이익은 68,993억원, 금리 차로 계산한 선도환율(1,342원)에서는 55,774억원이다.</w:t>
      </w:r>
    </w:p>
    <w:p>
      <w:pPr>
        <w:spacing w:after="40"/>
      </w:pPr>
      <w:r>
        <w:rPr>
          <w:rFonts w:ascii="맑은 고딕" w:hAnsi="맑은 고딕" w:eastAsia="맑은 고딕"/>
          <w:b/>
          <w:color w:val="1F3A5F"/>
          <w:sz w:val="19"/>
        </w:rPr>
        <w:t>표 5</w:t>
      </w:r>
      <w:r>
        <w:rPr>
          <w:rFonts w:ascii="맑은 고딕" w:hAnsi="맑은 고딕" w:eastAsia="맑은 고딕"/>
          <w:b/>
          <w:color w:val="1F3A5F"/>
          <w:sz w:val="19"/>
        </w:rPr>
        <w:t xml:space="preserve"> 2027년 환율: 이 보고서의 가정과 밖의 값, 그 값에서의 영업이익 </w:t>
      </w:r>
      <w:r>
        <w:rPr>
          <w:rFonts w:ascii="맑은 고딕" w:hAnsi="맑은 고딕" w:eastAsia="맑은 고딕"/>
          <w:b/>
          <w:color w:val="1F3A5F"/>
          <w:sz w:val="19"/>
        </w:rPr>
        <w:t>(원, 억원)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A5F"/>
          </w:tcPr>
          <w:p>
            <w:pPr>
              <w:spacing w:after="0"/>
              <w:jc w:val="center"/>
            </w:pPr>
          </w:p>
        </w:tc>
        <w:tc>
          <w:tcPr>
            <w:tcW w:type="dxa" w:w="1928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원/달러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원/유로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2027년 영업이익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가정 대비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7"/>
              </w:rPr>
              <w:t>이 보고서의 가정: 10월 초 수준이 이어진다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1,351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1,520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56,847</w:t>
            </w:r>
          </w:p>
        </w:tc>
        <w:tc>
          <w:tcPr>
            <w:tcW w:type="dxa" w:w="1928"/>
          </w:tcPr>
          <w:p>
            <w:pPr>
              <w:spacing w:after="0"/>
            </w:pP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IMF 세계경제전망(2026년 10월)의 값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1,402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1,626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68,993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+21.4%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선도환율(금리 차로 계산)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1,342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1,525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55,774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−1.9%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2026년 9월 평균이 이어진다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1,356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1,570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59,819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+5.2%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2026년 평균이 이어진다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1,435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1,654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75,107</w:t>
            </w:r>
          </w:p>
        </w:tc>
        <w:tc>
          <w:tcPr>
            <w:tcW w:type="dxa" w:w="1928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+32.1%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color w:val="5B6876"/>
          <w:sz w:val="16"/>
        </w:rPr>
        <w:t>자료: IMF World Economic Outlook(2026년 10월. 한국·독일의 명목 GDP를 국내통화와 달러로 나눈 값), 한국은행 ECOS, 미 재무부, ECB, One Key 계산. IMF의 값은 실질실효환율이 기준 기간 수준에서 변하지 않는다는 가정에서 나온다. 선도환율은 통안증권 1년과 미국·유로 지역 국채 1년 금리의 차이로 2027년 한가운데까지 계산했다. 영업이익은 환율 줄만 바꾼 값</w:t>
      </w:r>
    </w:p>
    <w:p>
      <w:pPr>
        <w:spacing w:after="40"/>
      </w:pPr>
      <w:r>
        <w:rPr>
          <w:rFonts w:ascii="맑은 고딕" w:hAnsi="맑은 고딕" w:eastAsia="맑은 고딕"/>
          <w:b/>
          <w:color w:val="1F3A5F"/>
          <w:sz w:val="19"/>
        </w:rPr>
        <w:t>표 6</w:t>
      </w:r>
      <w:r>
        <w:rPr>
          <w:rFonts w:ascii="맑은 고딕" w:hAnsi="맑은 고딕" w:eastAsia="맑은 고딕"/>
          <w:b/>
          <w:color w:val="1F3A5F"/>
          <w:sz w:val="19"/>
        </w:rPr>
        <w:t xml:space="preserve"> 컨센서스와 나란히 </w:t>
      </w:r>
      <w:r>
        <w:rPr>
          <w:rFonts w:ascii="맑은 고딕" w:hAnsi="맑은 고딕" w:eastAsia="맑은 고딕"/>
          <w:b/>
          <w:color w:val="1F3A5F"/>
          <w:sz w:val="19"/>
        </w:rPr>
        <w:t>(억원, 원)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A5F"/>
          </w:tcPr>
          <w:p>
            <w:pPr>
              <w:spacing w:after="0"/>
              <w:jc w:val="center"/>
            </w:pPr>
          </w:p>
        </w:tc>
        <w:tc>
          <w:tcPr>
            <w:tcW w:type="dxa" w:w="2409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One Key</w:t>
            </w:r>
          </w:p>
        </w:tc>
        <w:tc>
          <w:tcPr>
            <w:tcW w:type="dxa" w:w="2409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컨센서스</w:t>
            </w:r>
          </w:p>
        </w:tc>
        <w:tc>
          <w:tcPr>
            <w:tcW w:type="dxa" w:w="2409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차이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3분기 영업이익</w:t>
            </w:r>
          </w:p>
        </w:tc>
        <w:tc>
          <w:tcPr>
            <w:tcW w:type="dxa" w:w="24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20,484</w:t>
            </w:r>
          </w:p>
        </w:tc>
        <w:tc>
          <w:tcPr>
            <w:tcW w:type="dxa" w:w="24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25,023</w:t>
            </w:r>
          </w:p>
        </w:tc>
        <w:tc>
          <w:tcPr>
            <w:tcW w:type="dxa" w:w="24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−18.1%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4분기 영업이익</w:t>
            </w:r>
          </w:p>
        </w:tc>
        <w:tc>
          <w:tcPr>
            <w:tcW w:type="dxa" w:w="24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15,890</w:t>
            </w:r>
          </w:p>
        </w:tc>
        <w:tc>
          <w:tcPr>
            <w:tcW w:type="dxa" w:w="24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25,090</w:t>
            </w:r>
          </w:p>
        </w:tc>
        <w:tc>
          <w:tcPr>
            <w:tcW w:type="dxa" w:w="24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−36.7%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2026년 영업이익</w:t>
            </w:r>
          </w:p>
        </w:tc>
        <w:tc>
          <w:tcPr>
            <w:tcW w:type="dxa" w:w="24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84,714</w:t>
            </w:r>
          </w:p>
        </w:tc>
        <w:tc>
          <w:tcPr>
            <w:tcW w:type="dxa" w:w="24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98,556</w:t>
            </w:r>
          </w:p>
        </w:tc>
        <w:tc>
          <w:tcPr>
            <w:tcW w:type="dxa" w:w="24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−14.0%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2027년 영업이익</w:t>
            </w:r>
          </w:p>
        </w:tc>
        <w:tc>
          <w:tcPr>
            <w:tcW w:type="dxa" w:w="24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56,847</w:t>
            </w:r>
          </w:p>
        </w:tc>
        <w:tc>
          <w:tcPr>
            <w:tcW w:type="dxa" w:w="24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107,034</w:t>
            </w:r>
          </w:p>
        </w:tc>
        <w:tc>
          <w:tcPr>
            <w:tcW w:type="dxa" w:w="24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−46.9%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2028년 영업이익</w:t>
            </w:r>
          </w:p>
        </w:tc>
        <w:tc>
          <w:tcPr>
            <w:tcW w:type="dxa" w:w="24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55,435</w:t>
            </w:r>
          </w:p>
        </w:tc>
        <w:tc>
          <w:tcPr>
            <w:tcW w:type="dxa" w:w="24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117,099</w:t>
            </w:r>
          </w:p>
        </w:tc>
        <w:tc>
          <w:tcPr>
            <w:tcW w:type="dxa" w:w="24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−52.7%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3분기 매출액</w:t>
            </w:r>
          </w:p>
        </w:tc>
        <w:tc>
          <w:tcPr>
            <w:tcW w:type="dxa" w:w="24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314,707</w:t>
            </w:r>
          </w:p>
        </w:tc>
        <w:tc>
          <w:tcPr>
            <w:tcW w:type="dxa" w:w="24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316,710</w:t>
            </w:r>
          </w:p>
        </w:tc>
        <w:tc>
          <w:tcPr>
            <w:tcW w:type="dxa" w:w="24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−0.6%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2027년 주당순이익(원)</w:t>
            </w:r>
          </w:p>
        </w:tc>
        <w:tc>
          <w:tcPr>
            <w:tcW w:type="dxa" w:w="24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13,497</w:t>
            </w:r>
          </w:p>
        </w:tc>
        <w:tc>
          <w:tcPr>
            <w:tcW w:type="dxa" w:w="24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22,747</w:t>
            </w:r>
          </w:p>
        </w:tc>
        <w:tc>
          <w:tcPr>
            <w:tcW w:type="dxa" w:w="24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−40.7%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목표주가(원)</w:t>
            </w:r>
          </w:p>
        </w:tc>
        <w:tc>
          <w:tcPr>
            <w:tcW w:type="dxa" w:w="24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73,200</w:t>
            </w:r>
          </w:p>
        </w:tc>
        <w:tc>
          <w:tcPr>
            <w:tcW w:type="dxa" w:w="24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205,000</w:t>
            </w:r>
          </w:p>
        </w:tc>
        <w:tc>
          <w:tcPr>
            <w:tcW w:type="dxa" w:w="2409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−64.3%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color w:val="5B6876"/>
          <w:sz w:val="16"/>
        </w:rPr>
        <w:t>자료: FnGuide(2026-10-08 기준), One Key 추정</w:t>
      </w:r>
    </w:p>
    <w:p>
      <w:pPr>
        <w:spacing w:after="120"/>
      </w:pPr>
      <w:r>
        <w:rPr>
          <w:rFonts w:ascii="맑은 고딕" w:hAnsi="맑은 고딕" w:eastAsia="맑은 고딕"/>
        </w:rPr>
        <w:t>컨센서스보다 낮게 본 까닭은 셋이다. 3분기에는 판매보증비를 같은 분기의 과거 비율로 따로 넣었다. 인센티브는 회사가 밝힌 2분기의 증감이 이어진다고 봤다. 2027년에는 지금의 원/달러와 원/유로를 통화별 환노출에 넣었고, 조정 영업이익률은 가격·인센티브, 판매보증비, 인건비, 상각비 줄을 더해 8.4%로 봤다(2026년 9.3%).</w:t>
      </w:r>
    </w:p>
    <w:p>
      <w:pPr>
        <w:pStyle w:val="Heading1"/>
        <w:spacing w:after="120"/>
      </w:pPr>
      <w:r>
        <w:rPr>
          <w:rFonts w:ascii="맑은 고딕" w:hAnsi="맑은 고딕" w:eastAsia="맑은 고딕"/>
        </w:rPr>
        <w:t>가치평가: 목표주가 73,200원</w:t>
      </w:r>
    </w:p>
    <w:p>
      <w:pPr>
        <w:spacing w:after="120"/>
      </w:pPr>
      <w:r>
        <w:rPr>
          <w:rFonts w:ascii="맑은 고딕" w:hAnsi="맑은 고딕" w:eastAsia="맑은 고딕"/>
        </w:rPr>
        <w:t>목표주가는 12개월 선행 추정 주당순이익에 시장이 기아에 실제로 치른 선행 배수를 곱했다. 증권사 보고서는 해외 완성차 평균 배수에 할증이나 할인을 주는 방식을 많이 쓰고, 그 꼴로 내면 149,013원이다. 증권사 목표주가에 든 배수는 9.5배이고 시장이 최근 8개 분기에 치른 배수는 4.9배다. 최근 4개 분기 평균 배수(5.89배)를 쓰면 87,426원이다. P/B는 0.64배로 지난 20개 분기의 낮은 쪽이고, 2026년 결산 추정 배당수익률은 6.4%, 순현금은 시가총액의 51%다. 장부가와 배당은 주가를 받치는 쪽이다.</w:t>
      </w:r>
    </w:p>
    <w:p>
      <w:pPr>
        <w:spacing w:after="40"/>
      </w:pPr>
      <w:r>
        <w:rPr>
          <w:rFonts w:ascii="맑은 고딕" w:hAnsi="맑은 고딕" w:eastAsia="맑은 고딕"/>
          <w:b/>
          <w:color w:val="1F3A5F"/>
          <w:sz w:val="19"/>
        </w:rPr>
        <w:t>표 7</w:t>
      </w:r>
      <w:r>
        <w:rPr>
          <w:rFonts w:ascii="맑은 고딕" w:hAnsi="맑은 고딕" w:eastAsia="맑은 고딕"/>
          <w:b/>
          <w:color w:val="1F3A5F"/>
          <w:sz w:val="19"/>
        </w:rPr>
        <w:t xml:space="preserve"> 목표주가 산출 </w:t>
      </w:r>
      <w:r>
        <w:rPr>
          <w:rFonts w:ascii="맑은 고딕" w:hAnsi="맑은 고딕" w:eastAsia="맑은 고딕"/>
          <w:b/>
          <w:color w:val="1F3A5F"/>
          <w:sz w:val="19"/>
        </w:rPr>
        <w:t>(원, 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값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2026년 추정 주당순이익</w:t>
            </w:r>
          </w:p>
        </w:tc>
        <w:tc>
          <w:tcPr>
            <w:tcW w:type="dxa" w:w="3213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18,879</w:t>
            </w:r>
          </w:p>
        </w:tc>
        <w:tc>
          <w:tcPr>
            <w:tcW w:type="dxa" w:w="3213"/>
          </w:tcPr>
          <w:p>
            <w:pPr>
              <w:spacing w:after="0"/>
            </w:pP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2027년 추정 주당순이익</w:t>
            </w:r>
          </w:p>
        </w:tc>
        <w:tc>
          <w:tcPr>
            <w:tcW w:type="dxa" w:w="3213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13,497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컨센서스 22,747원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12개월 선행 추정 주당순이익</w:t>
            </w:r>
          </w:p>
        </w:tc>
        <w:tc>
          <w:tcPr>
            <w:tcW w:type="dxa" w:w="3213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14,843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2026년 × 25% + 2027년 × 75%. 컨센서스 22,329원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7"/>
              </w:rPr>
              <w:t>① 최근 8개 분기 평균 배수 4.93배</w:t>
            </w:r>
          </w:p>
        </w:tc>
        <w:tc>
          <w:tcPr>
            <w:tcW w:type="dxa" w:w="3213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73,178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7"/>
              </w:rPr>
              <w:t>2024년 12월~2026년 9월. 12개월 선행 추정 주당순이익 × 배수. 기준일 종가 대비 −31.5%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7"/>
              </w:rPr>
              <w:t>② 최근 4개 분기 평균 배수 5.89배</w:t>
            </w:r>
          </w:p>
        </w:tc>
        <w:tc>
          <w:tcPr>
            <w:tcW w:type="dxa" w:w="3213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87,426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7"/>
              </w:rPr>
              <w:t>2025년 12월~2026년 9월. 같은 식. 기준일 종가 대비 −18.1%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배수의 정의</w:t>
            </w:r>
          </w:p>
        </w:tc>
        <w:tc>
          <w:tcPr>
            <w:tcW w:type="dxa" w:w="3213"/>
          </w:tcPr>
          <w:p>
            <w:pPr>
              <w:spacing w:after="0"/>
            </w:pP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분기 말 주가 ÷ 그때의 컨센서스 12개월 선행 주당순이익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7"/>
              </w:rPr>
              <w:t>12개월 목표주가</w:t>
            </w:r>
          </w:p>
        </w:tc>
        <w:tc>
          <w:tcPr>
            <w:tcW w:type="dxa" w:w="3213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73,200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7"/>
              </w:rPr>
              <w:t>①을 백원 단위로 맞춘 값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기준일 종가</w:t>
            </w:r>
          </w:p>
        </w:tc>
        <w:tc>
          <w:tcPr>
            <w:tcW w:type="dxa" w:w="3213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106,800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목표주가와의 차이 −31.5%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7"/>
              </w:rPr>
              <w:t>의견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7"/>
              </w:rPr>
              <w:t>매도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7"/>
              </w:rPr>
              <w:t>12개월 상승여력 +15% 이상 매수, −15% 아래 매도, 그 사이 중립. ①과 ② 모두 아래쪽 경계보다 낮다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견줌: 같은 배수 × 컨센서스 선행 주당순이익</w:t>
            </w:r>
          </w:p>
        </w:tc>
        <w:tc>
          <w:tcPr>
            <w:tcW w:type="dxa" w:w="3213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110,087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지금 주가는 컨센서스 12개월 선행 주당순이익의 4.78배, 이 보고서 추정의 7.20배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견줌: 목표주가 ÷ 주당순자산(2026년 말 추정)</w:t>
            </w:r>
          </w:p>
        </w:tc>
        <w:tc>
          <w:tcPr>
            <w:tcW w:type="dxa" w:w="3213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0.42배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지난 20개 분기 P/B의 범위는 0.61~1.09배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견줌: 목표주가에서의 배당수익률</w:t>
            </w:r>
          </w:p>
        </w:tc>
        <w:tc>
          <w:tcPr>
            <w:tcW w:type="dxa" w:w="3213"/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sz w:val="17"/>
              </w:rPr>
              <w:t>9.3%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2026년 결산 추정 배당 기준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color w:val="5B6876"/>
          <w:sz w:val="16"/>
        </w:rPr>
        <w:t>자료: 한국거래소, 기아, FnGuide, 증권사 보고서의 추정 주당순이익 평균(One Key 집계), One Key 추정</w:t>
      </w:r>
    </w:p>
    <w:p>
      <w:pPr>
        <w:spacing w:after="40"/>
      </w:pPr>
      <w:r>
        <w:rPr>
          <w:rFonts w:ascii="맑은 고딕" w:hAnsi="맑은 고딕" w:eastAsia="맑은 고딕"/>
          <w:b/>
          <w:color w:val="1F3A5F"/>
          <w:sz w:val="19"/>
        </w:rPr>
        <w:t>그림 3</w:t>
      </w:r>
      <w:r>
        <w:rPr>
          <w:rFonts w:ascii="맑은 고딕" w:hAnsi="맑은 고딕" w:eastAsia="맑은 고딕"/>
          <w:b/>
          <w:color w:val="1F3A5F"/>
          <w:sz w:val="19"/>
        </w:rPr>
        <w:t xml:space="preserve"> 시장이 치른 선행 배수는 직전 8개 분기 평균 4.9배다. 증권사 목표주가에 든 배수는 9.5배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934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93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맑은 고딕" w:hAnsi="맑은 고딕" w:eastAsia="맑은 고딕"/>
          <w:color w:val="5B6876"/>
          <w:sz w:val="16"/>
        </w:rPr>
        <w:t>주: 선은 컨센서스 12개월 선행 주당순이익 × 배수. 분기 말 값(2019년 3월~2026년 9월)</w:t>
      </w:r>
      <w:r>
        <w:br/>
      </w:r>
      <w:r>
        <w:rPr>
          <w:rFonts w:ascii="맑은 고딕" w:hAnsi="맑은 고딕" w:eastAsia="맑은 고딕"/>
          <w:color w:val="5B6876"/>
          <w:sz w:val="16"/>
        </w:rPr>
        <w:t>자료: 한국거래소, 증권사 보고서의 추정 주당순이익 평균(One Key 집계), One Key 계산</w:t>
      </w:r>
    </w:p>
    <w:p>
      <w:pPr>
        <w:spacing w:after="40"/>
      </w:pPr>
      <w:r>
        <w:rPr>
          <w:rFonts w:ascii="맑은 고딕" w:hAnsi="맑은 고딕" w:eastAsia="맑은 고딕"/>
          <w:b/>
          <w:color w:val="1F3A5F"/>
          <w:sz w:val="19"/>
        </w:rPr>
        <w:t>그림 4</w:t>
      </w:r>
      <w:r>
        <w:rPr>
          <w:rFonts w:ascii="맑은 고딕" w:hAnsi="맑은 고딕" w:eastAsia="맑은 고딕"/>
          <w:b/>
          <w:color w:val="1F3A5F"/>
          <w:sz w:val="19"/>
        </w:rPr>
        <w:t xml:space="preserve"> 영업이익은 2026년 8.5조원, 2027년 5.7조원으로 추정한다. 2027년 컨센서스는 10.7조원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934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93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맑은 고딕" w:hAnsi="맑은 고딕" w:eastAsia="맑은 고딕"/>
          <w:color w:val="5B6876"/>
          <w:sz w:val="16"/>
        </w:rPr>
        <w:t>주: 2027~2028년은 원/달러와 원/유로가 10월 초 수준에서 이어진다고 본 값이다</w:t>
      </w:r>
      <w:r>
        <w:br/>
      </w:r>
      <w:r>
        <w:rPr>
          <w:rFonts w:ascii="맑은 고딕" w:hAnsi="맑은 고딕" w:eastAsia="맑은 고딕"/>
          <w:color w:val="5B6876"/>
          <w:sz w:val="16"/>
        </w:rPr>
        <w:t>자료: 기아, FnGuide, One Key 추정</w:t>
      </w:r>
    </w:p>
    <w:p>
      <w:pPr>
        <w:pStyle w:val="Heading1"/>
        <w:spacing w:after="120"/>
      </w:pPr>
      <w:r>
        <w:rPr>
          <w:rFonts w:ascii="맑은 고딕" w:hAnsi="맑은 고딕" w:eastAsia="맑은 고딕"/>
        </w:rPr>
        <w:t>핵심 변수와 3분기 실적에서 볼 것</w:t>
      </w:r>
    </w:p>
    <w:p>
      <w:pPr>
        <w:spacing w:after="40"/>
      </w:pPr>
      <w:r>
        <w:rPr>
          <w:rFonts w:ascii="맑은 고딕" w:hAnsi="맑은 고딕" w:eastAsia="맑은 고딕"/>
          <w:b/>
          <w:color w:val="1F3A5F"/>
          <w:sz w:val="19"/>
        </w:rPr>
        <w:t>표 8</w:t>
      </w:r>
      <w:r>
        <w:rPr>
          <w:rFonts w:ascii="맑은 고딕" w:hAnsi="맑은 고딕" w:eastAsia="맑은 고딕"/>
          <w:b/>
          <w:color w:val="1F3A5F"/>
          <w:sz w:val="19"/>
        </w:rPr>
        <w:t xml:space="preserve"> 핵심 변수: 지금 값, 닿는 곳, 민감도, 확인할 자료와 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변수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지금 값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닿는 곳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민감도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확인할 자료와 때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3분기 판매보증비 ÷ 매출액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추정 4.7%(3분기가 아닌 분기 3.1%)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3분기 영업이익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1%p에 3,288억원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3분기 실적(10월 하순)의 품질비용 설명, 분기보고서의 판매비와관리비 주석(11월)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분기 말 원/달러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9월 말 1,358원(6월 말 1,542원)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판매보증충당부채 외화환산(3분기 +5,484억원)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1원에 30억원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한국은행 ECOS(매일), 12월 말 환율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원/달러·원/유로 평균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3분기 1,423원·−0원. 2027년 가정 1,351원·1,520원(2026년 평균 1,435원·1,654원)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3·4분기와 2027년 영업이익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2027년: 원/달러 10원에 1,431억원, 원/유로 10원에 464억원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한국은행 ECOS(매일), 회사 증감 분석의 환율 효과, 1월 회사 사업계획의 계획 환율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미국 관세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세율 15%, 3분기 8,300억원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분기·연간 영업이익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2027년: 없어지면 +30,392억원, 25%로 돌아가면 −20,261억원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분기 실적의 관세 영향, IR 월별 미국행 수출 대수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유럽 인센티브·가격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2분기 전년 대비 −7,230억원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3분기 영업이익(−4,519억원 반영)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2분기 수준의 증감이 이어진다고 봄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분기 실적의 영업이익 증감 분석(인센티브·가격 줄), 실적 설명회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믹스(전기차 비중)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유럽 소매의 전기차 비중 2분기 25.8% → 7~8월 29.9%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조정 영업이익률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2027년: 1%p에 12,490억원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7"/>
              </w:rPr>
              <w:t>IR 월별 판매(차종·지역), 증감 분석의 믹스 줄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color w:val="5B6876"/>
          <w:sz w:val="16"/>
        </w:rPr>
        <w:t>자료: 기아, 한국은행 ECOS, One Key 추정</w:t>
      </w:r>
    </w:p>
    <w:p>
      <w:pPr>
        <w:spacing w:after="120"/>
      </w:pPr>
      <w:r>
        <w:rPr>
          <w:rFonts w:ascii="맑은 고딕" w:hAnsi="맑은 고딕" w:eastAsia="맑은 고딕"/>
        </w:rPr>
        <w:t>확인할 날은 3분기 실적(10월 하순)이다. 먼저 판매보증비 ÷ 매출액을 본다. 회사가 품질비용을 따로 설명하는지, 외화환산을 뺀 판매보증비가 매출의 4.7%에 가까운지 3.1%에 가까운지다. 다음으로 회사가 밝히는 외화환산이 5,484억원 안팎인지, 관세 영향이 8,300억원 안팎인지, 증감 분석의 인센티브·가격 줄이 2분기(−7,230억원)보다 줄었는지를 본다. 판매보증비가 2025년 3분기(매출의 5.4%)처럼 나오면 영업이익은 추정보다 2,039억원쯤 적다.</w:t>
      </w:r>
    </w:p>
    <w:p>
      <w:pPr>
        <w:spacing w:after="120"/>
      </w:pPr>
      <w:r>
        <w:rPr>
          <w:rFonts w:ascii="맑은 고딕" w:hAnsi="맑은 고딕" w:eastAsia="맑은 고딕"/>
          <w:b/>
        </w:rPr>
        <w:t>작성 방법과 고지.</w:t>
      </w:r>
      <w:r>
        <w:rPr>
          <w:rFonts w:ascii="맑은 고딕" w:hAnsi="맑은 고딕" w:eastAsia="맑은 고딕"/>
        </w:rPr>
        <w:t xml:space="preserve"> 이 자료는 One Key가 공개된 자료로 쓴 개인 리서치다. 자료를 모으고 계산을 정리하고 글을 쓰는 데 AI 도구를 썼다. 숫자의 근거와 계산은 모델 엑셀에 남겼다. 그림은 엑셀 차트다. 컨센서스는 견주는 데에만 썼고 추정에는 쓰지 않았다. 과거 분기에 돌린 결과는 과거 시험이다. 투자 권유가 아니다. 자세한 근거는 같은 날 쓴 정식 보고서에 있다.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F3A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기아 (000270) 한눈에 보는 기아: 3분기는 판매보증비가, 내년은 환율이 이익을 깎는다</dc:title>
  <dc:subject/>
  <dc:creator>One Key Research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