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FC98B" w14:textId="0E619C58" w:rsidR="004D563A" w:rsidRPr="005C526F" w:rsidRDefault="005515F8" w:rsidP="009E2B6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</w:pPr>
      <w:r w:rsidRPr="005C526F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 xml:space="preserve">ПРАВИЛА РЕКЛАМНОЙ </w:t>
      </w:r>
      <w:r w:rsidR="00791A63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АКЦИИ</w:t>
      </w:r>
      <w:r w:rsidRPr="005C526F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 xml:space="preserve"> «</w:t>
      </w:r>
      <w:r w:rsidR="002B61B4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Железный</w:t>
      </w:r>
      <w:r w:rsidR="003E674D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 xml:space="preserve"> </w:t>
      </w:r>
      <w:r w:rsidR="00460F5B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баскет</w:t>
      </w:r>
      <w:r w:rsidRPr="005C526F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»</w:t>
      </w:r>
    </w:p>
    <w:p w14:paraId="3B93BA4E" w14:textId="30093B9C" w:rsidR="005515F8" w:rsidRPr="005C526F" w:rsidRDefault="005515F8" w:rsidP="004D563A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565"/>
        <w:gridCol w:w="6931"/>
      </w:tblGrid>
      <w:tr w:rsidR="00244193" w:rsidRPr="005C526F" w14:paraId="6EC60F22" w14:textId="77777777" w:rsidTr="00B2783C">
        <w:trPr>
          <w:trHeight w:val="634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5F0FE3" w14:textId="77777777" w:rsidR="005515F8" w:rsidRPr="005C526F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C526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  Наименование акции</w:t>
            </w:r>
            <w:r w:rsidR="004D563A" w:rsidRPr="005C526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(далее – Акция)</w:t>
            </w:r>
            <w:r w:rsidRPr="005C526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F1513B" w14:textId="20BBE0A2" w:rsidR="005515F8" w:rsidRPr="005C526F" w:rsidRDefault="00A66B16" w:rsidP="00460F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66B1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«</w:t>
            </w:r>
            <w:r w:rsidR="002B61B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Железный баскет</w:t>
            </w:r>
            <w:r w:rsidR="003E67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</w:t>
            </w:r>
          </w:p>
        </w:tc>
      </w:tr>
      <w:tr w:rsidR="00244193" w:rsidRPr="00264FF8" w14:paraId="07173F50" w14:textId="77777777" w:rsidTr="00B2783C">
        <w:trPr>
          <w:trHeight w:val="553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8F3A" w14:textId="77777777" w:rsidR="005515F8" w:rsidRPr="00264FF8" w:rsidRDefault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2. Сроки проведения </w:t>
            </w:r>
            <w:r w:rsidR="004D563A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кции: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6671ED" w14:textId="7191EA56" w:rsidR="005515F8" w:rsidRDefault="004A211C" w:rsidP="00A66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</w:t>
            </w:r>
            <w:r w:rsidR="003E67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  <w:r w:rsidR="003E674D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3E67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</w:t>
            </w:r>
            <w:r w:rsidR="003E674D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</w:t>
            </w:r>
            <w:r w:rsidR="003E67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 г. по 31.</w:t>
            </w:r>
            <w:r w:rsidR="003E674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</w:t>
            </w:r>
            <w:r w:rsidR="003E67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.2021</w:t>
            </w:r>
            <w:r w:rsidR="003E674D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 </w:t>
            </w:r>
          </w:p>
          <w:p w14:paraId="692D3A02" w14:textId="77777777" w:rsidR="00757A25" w:rsidRPr="00264FF8" w:rsidRDefault="00757A25" w:rsidP="00A66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44193" w:rsidRPr="00264FF8" w14:paraId="3229D0AF" w14:textId="77777777" w:rsidTr="00B2783C">
        <w:trPr>
          <w:trHeight w:val="120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98B6" w14:textId="77777777" w:rsidR="005515F8" w:rsidRPr="00264FF8" w:rsidRDefault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3. Территория проведения </w:t>
            </w:r>
            <w:r w:rsidR="004D563A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кции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C33DE1" w14:textId="44211D00" w:rsidR="005515F8" w:rsidRPr="00027F69" w:rsidRDefault="005515F8" w:rsidP="00027F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Все </w:t>
            </w:r>
            <w:r w:rsidR="004D563A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Рестораны </w:t>
            </w:r>
            <w:r w:rsidR="00BF20CA" w:rsidRPr="00264FF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460F5B" w:rsidRPr="00460F5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460F5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кроме ресторанов в г</w:t>
            </w:r>
            <w:r w:rsidR="005E31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</w:t>
            </w:r>
            <w:r w:rsidR="00460F5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Находка, Владивосток, Хабаровск, </w:t>
            </w:r>
            <w:r w:rsidR="002257A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Якутск, Д.Восток, </w:t>
            </w:r>
            <w:r w:rsidR="005E31B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Кировск, Луховицы и ПГТ Шаховская.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Кировск</w:t>
            </w:r>
            <w:r w:rsid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Луховицы</w:t>
            </w:r>
            <w:r w:rsid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ПГТ Шаховская</w:t>
            </w:r>
            <w:r w:rsid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Кубинка</w:t>
            </w:r>
            <w:r w:rsid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Селятино</w:t>
            </w:r>
            <w:r w:rsid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Чкаловский</w:t>
            </w:r>
            <w:r w:rsid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334F8E" w:rsidRPr="00334F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KFC Талдом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Ям,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Быково,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Павловское,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Куровское,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Снегири,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Свердловский,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Янтарный,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Пущино,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Растуново,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Авиационный,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Нахабино,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Поварово,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Сходня,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Кирилловка,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Юдино,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Горки-10,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Тучково,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Сколково,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Белоозерский,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Кирилловка Адреналин,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Михнево,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Электроугли, 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KFC</w:t>
            </w:r>
            <w:r w:rsid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Пуршево,</w:t>
            </w:r>
            <w:r w:rsidR="00027F69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KFC Кинешма Кинешма, KFC Марусино, KFC Внуковское, KFC Озерецкое Москва, KFC Савеловский 3 Москва</w:t>
            </w:r>
          </w:p>
        </w:tc>
      </w:tr>
      <w:tr w:rsidR="00244193" w:rsidRPr="00264FF8" w14:paraId="7E4F5B60" w14:textId="77777777" w:rsidTr="00B2783C">
        <w:trPr>
          <w:trHeight w:val="276"/>
        </w:trPr>
        <w:tc>
          <w:tcPr>
            <w:tcW w:w="1713" w:type="dxa"/>
            <w:vMerge w:val="restart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8B4A" w14:textId="77777777" w:rsidR="005515F8" w:rsidRPr="00264FF8" w:rsidRDefault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Информация об организаторе </w:t>
            </w:r>
            <w:r w:rsidR="004D563A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кции</w:t>
            </w:r>
          </w:p>
        </w:tc>
        <w:tc>
          <w:tcPr>
            <w:tcW w:w="134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54D3" w14:textId="77777777" w:rsidR="005515F8" w:rsidRPr="00264FF8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Наименование: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ADEC4E" w14:textId="77777777" w:rsidR="005515F8" w:rsidRPr="00264FF8" w:rsidRDefault="004D563A" w:rsidP="00BF20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Общество с ограниченной ответственностью «Ям! Ресторантс Интернэшнл Раша Си Ай Эс»</w:t>
            </w:r>
          </w:p>
        </w:tc>
      </w:tr>
      <w:tr w:rsidR="00244193" w:rsidRPr="00264FF8" w14:paraId="0115D42A" w14:textId="77777777" w:rsidTr="00B2783C">
        <w:trPr>
          <w:trHeight w:val="568"/>
        </w:trPr>
        <w:tc>
          <w:tcPr>
            <w:tcW w:w="0" w:type="auto"/>
            <w:vMerge/>
            <w:vAlign w:val="center"/>
            <w:hideMark/>
          </w:tcPr>
          <w:p w14:paraId="45717992" w14:textId="77777777" w:rsidR="005515F8" w:rsidRPr="00264FF8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4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AE15" w14:textId="77777777" w:rsidR="005515F8" w:rsidRPr="00264FF8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Место нахождения/ Почтовый адрес: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901F84" w14:textId="77777777" w:rsidR="005515F8" w:rsidRPr="00264FF8" w:rsidRDefault="00BF20CA" w:rsidP="00460F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125171, Россия, Москва, </w:t>
            </w:r>
            <w:r w:rsidR="00460F5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Старопетровский</w:t>
            </w:r>
            <w:r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460F5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</w:t>
            </w:r>
            <w:r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., 1</w:t>
            </w:r>
            <w:r w:rsidR="00460F5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 стр. 1</w:t>
            </w:r>
          </w:p>
        </w:tc>
      </w:tr>
      <w:tr w:rsidR="00244193" w:rsidRPr="00264FF8" w14:paraId="1F071CFB" w14:textId="77777777" w:rsidTr="00B2783C">
        <w:trPr>
          <w:trHeight w:val="377"/>
        </w:trPr>
        <w:tc>
          <w:tcPr>
            <w:tcW w:w="0" w:type="auto"/>
            <w:vMerge/>
            <w:vAlign w:val="center"/>
            <w:hideMark/>
          </w:tcPr>
          <w:p w14:paraId="3D78EE21" w14:textId="77777777" w:rsidR="005515F8" w:rsidRPr="00264FF8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42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543B88" w14:textId="77777777" w:rsidR="005515F8" w:rsidRPr="00264FF8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7CCA04" w14:textId="77777777" w:rsidR="00BF20CA" w:rsidRPr="00264FF8" w:rsidRDefault="00BF20CA" w:rsidP="00BF20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7722561551</w:t>
            </w:r>
          </w:p>
          <w:p w14:paraId="1B5ECDBA" w14:textId="77777777" w:rsidR="005515F8" w:rsidRPr="00E07B29" w:rsidRDefault="00BF20CA" w:rsidP="00C73F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F9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КПП 774</w:t>
            </w:r>
            <w:r w:rsidR="00C654B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301001</w:t>
            </w:r>
          </w:p>
        </w:tc>
      </w:tr>
      <w:tr w:rsidR="00244193" w:rsidRPr="00264FF8" w14:paraId="4C6EF9D5" w14:textId="77777777" w:rsidTr="00B2783C">
        <w:trPr>
          <w:trHeight w:val="179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9CCD" w14:textId="77777777" w:rsidR="004D563A" w:rsidRPr="00264FF8" w:rsidRDefault="004D56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14:paraId="795F5995" w14:textId="77777777" w:rsidR="005515F8" w:rsidRPr="00264FF8" w:rsidRDefault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5.  Участники </w:t>
            </w:r>
            <w:r w:rsidR="004D563A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кции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FCA5BC" w14:textId="3A6CF068" w:rsidR="005515F8" w:rsidRPr="00264FF8" w:rsidRDefault="000B5130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</w:t>
            </w:r>
            <w:r w:rsidR="005515F8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изические лица (далее</w:t>
            </w:r>
            <w:r w:rsidR="004D563A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–</w:t>
            </w:r>
            <w:r w:rsidR="005515F8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5515F8" w:rsidRPr="00EA0B1B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Гости</w:t>
            </w:r>
            <w:r w:rsidR="005515F8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), </w:t>
            </w:r>
            <w:r w:rsidR="004D563A" w:rsidRPr="00264F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 участвуют в Акции в соответствии с изложенными в настоящих Правилах условиями.</w:t>
            </w:r>
          </w:p>
        </w:tc>
      </w:tr>
      <w:tr w:rsidR="00244193" w:rsidRPr="00264FF8" w14:paraId="28BFDD0A" w14:textId="77777777" w:rsidTr="00B2783C">
        <w:trPr>
          <w:trHeight w:val="675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46BB" w14:textId="77777777" w:rsidR="005515F8" w:rsidRPr="00264FF8" w:rsidRDefault="00611792" w:rsidP="0061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6.  Этапы и п</w:t>
            </w:r>
            <w:r w:rsidR="005515F8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орядок участия в </w:t>
            </w:r>
            <w:r w:rsidR="004D563A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="005515F8"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кции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E1B0A9" w14:textId="3233D47E" w:rsidR="00027F69" w:rsidRDefault="00027F69" w:rsidP="00027F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</w:t>
            </w:r>
            <w:r w:rsidR="0073279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С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  <w:r w:rsidR="0073279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г. по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.1</w:t>
            </w:r>
            <w:r w:rsidR="0073279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Гости, могут приобрести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Юбилейные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баскеты в ресторанах, участвующих в Акции, совместно с одним или несколькими из следующих Продуктов: Баскет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(28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крыльев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Баскет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крыльев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r w:rsidRPr="00F7752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крыльев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Pr="00F7752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 Дуэт ори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гинальный, Баскет Дуэт острый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аскет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айт с острыми стрипсами,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аскет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</w:t>
            </w:r>
            <w:r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айт с оригинальными стрипсами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Баскет 10 ножек, Баскет 5 ножек.</w:t>
            </w:r>
          </w:p>
          <w:p w14:paraId="64D9B782" w14:textId="1073BE63" w:rsidR="00D37DD5" w:rsidRPr="00D97E44" w:rsidRDefault="00D37DD5" w:rsidP="00D37D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6.1.1. С 1.07.2021 г. по 31.12.2021 г. Гости, могут приобрести Коллекционные  баскеты в ресторанах в городах-участниках акции - Орел, Белгород, Ульяновск, Тверь, участвующих в Акции, совместно с одним или несколькими из следующих Продуктов: Баскет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(28 крыльев), Баскет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(20 крыльев), Баскет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(12 крыльев), Баскет Дуэт оригинальный, Баскет Дуэт острый, Баскет Дуо Лайт с острыми стрипсами, Баскет Дуо Лайт с оригинальными стрипсами, Баскет 10 ножек, Баскет 5 ножек.</w:t>
            </w:r>
          </w:p>
          <w:p w14:paraId="096BA9D0" w14:textId="0F61E5DF" w:rsidR="00D37DD5" w:rsidRPr="00D97E44" w:rsidRDefault="00D37DD5" w:rsidP="00027F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58D9708E" w14:textId="30280ACD" w:rsidR="005E31BB" w:rsidRPr="003520E1" w:rsidRDefault="00027F69" w:rsidP="007327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</w:t>
            </w:r>
            <w:r w:rsidR="0073279B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С </w:t>
            </w:r>
            <w:r w:rsidR="004757DF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4757DF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</w:t>
            </w:r>
            <w:r w:rsidR="004757DF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по 31.12.202</w:t>
            </w:r>
            <w:r w:rsidR="004757DF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г. Гости, которые приобрели </w:t>
            </w:r>
            <w:r w:rsidR="004757DF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Юбилейные</w:t>
            </w:r>
            <w:r w:rsidR="00D37DD5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и/или Коллекционные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баскеты при соблюдении условий, предусмотренных пунктом 6</w:t>
            </w:r>
            <w:r w:rsidR="0073279B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.1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настоящих Правил, имеют право на получение скидки в размере 30% при покупке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продуктов: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Баскет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(28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крыльев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Баскет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крыльев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r w:rsidR="004757DF" w:rsidRPr="00F7752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крыльев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4757DF" w:rsidRPr="00F7752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 Дуэт ори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гинальный, Баскет Дуэт острый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аскет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уо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айт с острыми стрипсами,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аскет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уо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</w:t>
            </w:r>
            <w:r w:rsidR="004757DF" w:rsidRPr="00027F6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айт с оригинальными стрипсами</w:t>
            </w:r>
            <w:r w:rsidR="0073279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Домашний Баскет, Баскет 12 крыльев + 12 наггетсов</w:t>
            </w:r>
            <w:r w:rsidR="00B2783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Баскет острый «Крылышки и ножки», Баскет 8 ножек оригинальный, Баскет 8 ножек острый.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Скидка предоставляется при предъявлении </w:t>
            </w:r>
            <w:r w:rsidR="004757D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Юбилейного</w:t>
            </w:r>
            <w:r w:rsidRPr="003520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</w:t>
            </w:r>
            <w:r w:rsidRPr="003520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(ограниченный тираж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алюминиевых </w:t>
            </w:r>
            <w:r w:rsidRPr="003520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баскетов с уникальным дизайном).</w:t>
            </w:r>
            <w:r w:rsidR="00C03E9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44193" w:rsidRPr="00D27071" w14:paraId="6A52976D" w14:textId="77777777" w:rsidTr="00B2783C">
        <w:trPr>
          <w:trHeight w:val="1547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A039" w14:textId="77777777" w:rsidR="005515F8" w:rsidRPr="00264FF8" w:rsidRDefault="005515F8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4F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7. Особые условия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029183" w14:textId="03D872BA" w:rsidR="006948A6" w:rsidRPr="00E07B29" w:rsidRDefault="005515F8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7.1</w:t>
            </w:r>
            <w:r w:rsidR="00BC4155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Продукты, участвующие в Акции, </w:t>
            </w:r>
            <w:r w:rsidR="006948A6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мо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</w:t>
            </w:r>
            <w:r w:rsidR="006948A6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 быть заменен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ы</w:t>
            </w:r>
            <w:r w:rsidR="006948A6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 другие блюда.</w:t>
            </w:r>
          </w:p>
          <w:p w14:paraId="35950A29" w14:textId="564FBEBE" w:rsidR="006948A6" w:rsidRPr="00E07B29" w:rsidRDefault="006948A6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7.2.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Скидкой </w:t>
            </w:r>
            <w:r w:rsidR="00BA4D0E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можно воспользоваться неограниченное количество раз в течение срока действия </w:t>
            </w:r>
            <w:r w:rsidR="000E23E1" w:rsidRPr="000E23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Акции, но не чаще одного раза в день.</w:t>
            </w:r>
          </w:p>
          <w:p w14:paraId="31B389E2" w14:textId="6FE5E7DF" w:rsidR="006948A6" w:rsidRPr="00E07B29" w:rsidRDefault="006948A6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7.3.</w:t>
            </w:r>
            <w:r w:rsidR="00F35E41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A4D0E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Предложение действует до </w:t>
            </w:r>
            <w:r w:rsidR="00C03E9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31.12.2021г.</w:t>
            </w: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или до 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того момента, пока продукты есть в наличии</w:t>
            </w:r>
            <w:r w:rsidR="00DE21F4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ресторанах, участвующих в акции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  <w:p w14:paraId="4FBD656A" w14:textId="06904A00" w:rsidR="00460F5B" w:rsidRPr="00D97E44" w:rsidRDefault="00BA4D0E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</w:t>
            </w:r>
            <w:r w:rsidR="00460F5B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</w:t>
            </w:r>
            <w:r w:rsidR="00DE21F4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Предложение </w:t>
            </w: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не действует одновременно с другими специальными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предложениями и скидками</w:t>
            </w:r>
            <w:r w:rsidR="00460F5B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  <w:p w14:paraId="2FE863D5" w14:textId="7228F2B8" w:rsidR="00674EAC" w:rsidRPr="00D97E44" w:rsidRDefault="00674EAC" w:rsidP="00674EAC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7.5. Для того, чтобы воспользоваться скидкой, </w:t>
            </w:r>
            <w:r w:rsidR="00DE21F4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необходимо предъявить оригинальный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металлический</w:t>
            </w:r>
            <w:r w:rsidR="0073279B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C03E92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Юбилейный</w:t>
            </w:r>
            <w:r w:rsidR="00EE75F7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/ Коллекционного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 </w:t>
            </w:r>
            <w:r w:rsidR="00DE21F4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форм</w:t>
            </w:r>
            <w:r w:rsidR="00DE21F4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ведра. При предъявлении деформированного </w:t>
            </w:r>
            <w:r w:rsidR="00C03E92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Юбилейного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баскета скидка не будет предоставляться.</w:t>
            </w:r>
          </w:p>
          <w:p w14:paraId="014AB16F" w14:textId="2E881E4D" w:rsidR="00674EAC" w:rsidRPr="00D97E44" w:rsidRDefault="00674EAC" w:rsidP="00674EAC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7.6. Коммерческое использование </w:t>
            </w:r>
            <w:r w:rsidR="00C03E92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Юбилейного</w:t>
            </w:r>
            <w:r w:rsidR="00EE75F7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/ Коллекционного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баскета, в том числе посредством предоставления возможности третьим лицам за плату воспользоваться скидкой, предусмотренной настоящими Правилами, не допускается.</w:t>
            </w:r>
          </w:p>
          <w:p w14:paraId="298594A4" w14:textId="77777777" w:rsidR="00674EAC" w:rsidRPr="00D97E44" w:rsidRDefault="00674EAC" w:rsidP="00674EAC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7.7. Организатор Акции оставляет за собой право изменить условия Акции, а также приостановить или прекратить Акцию без каких-либо обязательств перед Гостем.</w:t>
            </w:r>
          </w:p>
          <w:p w14:paraId="26E99700" w14:textId="4BF5895C" w:rsidR="005E31BB" w:rsidRPr="00E07B29" w:rsidRDefault="005E31BB" w:rsidP="00DE21F4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</w:t>
            </w:r>
            <w:r w:rsidR="009C7FB7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В случае нарушения условий настоящих Правил, Ресторан оставляет за собой право изъять </w:t>
            </w:r>
            <w:r w:rsidR="00C03E92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Юбилейный</w:t>
            </w:r>
            <w:r w:rsidR="00EE75F7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/ Коллекционный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баскет без каких-либо</w:t>
            </w: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обязательств перед </w:t>
            </w:r>
            <w:r w:rsidR="00DE21F4"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Гостем</w:t>
            </w:r>
            <w:r w:rsidRPr="00E07B2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244193" w:rsidRPr="00E07B29" w14:paraId="6A8286E6" w14:textId="77777777" w:rsidTr="00B2783C">
        <w:trPr>
          <w:trHeight w:val="1790"/>
        </w:trPr>
        <w:tc>
          <w:tcPr>
            <w:tcW w:w="3055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611280" w14:textId="1375C8DC" w:rsidR="00DE00E5" w:rsidRPr="00264FF8" w:rsidRDefault="00DE00E5" w:rsidP="00551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8. Дизайн Баскета</w:t>
            </w:r>
          </w:p>
        </w:tc>
        <w:tc>
          <w:tcPr>
            <w:tcW w:w="7141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14:paraId="10CE0BE3" w14:textId="45D22F80" w:rsidR="00277AE8" w:rsidRPr="00D97E44" w:rsidRDefault="0073279B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552D69" wp14:editId="2EF86422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306070</wp:posOffset>
                  </wp:positionV>
                  <wp:extent cx="1047750" cy="10477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7AE8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8.1. Участники Акции в соответствии с изложенными в настоящих Правилах условиями, могут предъявлять оригинальный металлический баскет 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следующем дизайне:</w:t>
            </w:r>
          </w:p>
          <w:p w14:paraId="55F53FFF" w14:textId="7D5876CA" w:rsidR="00277AE8" w:rsidRPr="00D97E44" w:rsidRDefault="00277AE8" w:rsidP="003D3318">
            <w:pPr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14:paraId="5E4F27CD" w14:textId="50B0564E" w:rsidR="00854B7C" w:rsidRPr="00D97E44" w:rsidRDefault="00854B7C" w:rsidP="003D3318">
            <w:pPr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14:paraId="0AE4C58F" w14:textId="55D14E0D" w:rsidR="00854B7C" w:rsidRPr="00D97E44" w:rsidRDefault="00854B7C" w:rsidP="003D3318">
            <w:pPr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14:paraId="773EFCD5" w14:textId="0FF1A197" w:rsidR="00854B7C" w:rsidRPr="00D97E44" w:rsidRDefault="00854B7C" w:rsidP="003D3318">
            <w:pPr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14:paraId="49ED5FD7" w14:textId="54F561E5" w:rsidR="00854B7C" w:rsidRPr="00D97E44" w:rsidRDefault="00854B7C" w:rsidP="003D3318">
            <w:pPr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14:paraId="5861E506" w14:textId="400E32D3" w:rsidR="00854B7C" w:rsidRPr="00D97E44" w:rsidRDefault="00854B7C" w:rsidP="003D3318">
            <w:pPr>
              <w:spacing w:after="0" w:line="240" w:lineRule="auto"/>
              <w:jc w:val="both"/>
              <w:outlineLvl w:val="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  <w:p w14:paraId="6E4B68C7" w14:textId="77777777" w:rsidR="00854B7C" w:rsidRPr="00D97E44" w:rsidRDefault="00854B7C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055EEAEE" w14:textId="77777777" w:rsidR="00244193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8.2 Участники Акции в соответствии с изложенными в настоящих Правилах условиями, могут предъявлять оригинальный металлический баскет в следующем дизайне в городе Орел:</w:t>
            </w:r>
          </w:p>
          <w:p w14:paraId="2F6CC79D" w14:textId="014EFFC5" w:rsidR="00EE75F7" w:rsidRPr="00D97E44" w:rsidRDefault="00244193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t xml:space="preserve"> </w:t>
            </w:r>
            <w:r w:rsidRPr="00D97E44">
              <w:rPr>
                <w:noProof/>
              </w:rPr>
              <w:drawing>
                <wp:inline distT="0" distB="0" distL="0" distR="0" wp14:anchorId="1377B419" wp14:editId="1AB09666">
                  <wp:extent cx="924572" cy="1066800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332" cy="107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F75AD" w14:textId="4C526B34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10E77F63" w14:textId="1BFCD0A5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8.2 Участники Акции в соответствии с изложенными в настоящих Правилах условиями, могут предъявлять оригинальный металлический баскет в следующем дизайне в городе Ульяновск:</w:t>
            </w:r>
          </w:p>
          <w:p w14:paraId="4CDCFA45" w14:textId="2D6DAD2E" w:rsidR="00244193" w:rsidRPr="00D97E44" w:rsidRDefault="00244193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noProof/>
              </w:rPr>
              <w:drawing>
                <wp:inline distT="0" distB="0" distL="0" distR="0" wp14:anchorId="59002AFE" wp14:editId="7FEE6917">
                  <wp:extent cx="971550" cy="1121003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90" cy="11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3BA7F" w14:textId="6FC64C1C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2562D44C" w14:textId="63997B9A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8.2 Участники Акции в соответствии с изложенными в настоящих Правилах условиями, могут предъявлять оригинальный металлический баскет в следующем дизайне в городе Тверь:</w:t>
            </w:r>
          </w:p>
          <w:p w14:paraId="12279E23" w14:textId="0478F72E" w:rsidR="00244193" w:rsidRPr="00D97E44" w:rsidRDefault="00244193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noProof/>
              </w:rPr>
              <w:drawing>
                <wp:inline distT="0" distB="0" distL="0" distR="0" wp14:anchorId="2FAF5297" wp14:editId="74002B24">
                  <wp:extent cx="959794" cy="11074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560" cy="11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FD747" w14:textId="754281A0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1373D83B" w14:textId="0BBEC213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8.2 Участники Акции в соответствии с изложенными в настоящих Правилах условиями, могут предъявлять оригинальный металлический баскет в следующем дизайне в городе </w:t>
            </w:r>
            <w:r w:rsidR="00D97E44"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Белгород</w:t>
            </w:r>
            <w:r w:rsidRPr="00D97E4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7AEC1045" w14:textId="4D391E34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2348838A" w14:textId="53AB81C6" w:rsidR="00EE75F7" w:rsidRPr="00D97E44" w:rsidRDefault="00244193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7E44">
              <w:rPr>
                <w:noProof/>
              </w:rPr>
              <w:drawing>
                <wp:inline distT="0" distB="0" distL="0" distR="0" wp14:anchorId="759E5DBF" wp14:editId="2B8D093F">
                  <wp:extent cx="1079500" cy="1245562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707" cy="1258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2D331" w14:textId="77777777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62741C7C" w14:textId="77777777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0BE5EF91" w14:textId="77777777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00372090" w14:textId="77777777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4C2AB562" w14:textId="77777777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14:paraId="210F7EDC" w14:textId="5DE8EF21" w:rsidR="00EE75F7" w:rsidRPr="00D97E44" w:rsidRDefault="00EE75F7" w:rsidP="003D3318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D883089" w14:textId="336A197B" w:rsidR="006948A6" w:rsidRDefault="006948A6" w:rsidP="00B2783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sectPr w:rsidR="006948A6" w:rsidSect="00694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F8"/>
    <w:rsid w:val="00027F69"/>
    <w:rsid w:val="000976B3"/>
    <w:rsid w:val="000B5130"/>
    <w:rsid w:val="000B5F2D"/>
    <w:rsid w:val="000E23E1"/>
    <w:rsid w:val="00161F2E"/>
    <w:rsid w:val="001B7CCC"/>
    <w:rsid w:val="001C5ADC"/>
    <w:rsid w:val="001D0E1D"/>
    <w:rsid w:val="002257A6"/>
    <w:rsid w:val="00244193"/>
    <w:rsid w:val="00264FF8"/>
    <w:rsid w:val="00277AE8"/>
    <w:rsid w:val="002B61B4"/>
    <w:rsid w:val="00334F8E"/>
    <w:rsid w:val="003520E1"/>
    <w:rsid w:val="003B7472"/>
    <w:rsid w:val="003D3318"/>
    <w:rsid w:val="003E674D"/>
    <w:rsid w:val="003E74DB"/>
    <w:rsid w:val="00460F5B"/>
    <w:rsid w:val="004611CC"/>
    <w:rsid w:val="004757DF"/>
    <w:rsid w:val="004A211C"/>
    <w:rsid w:val="004D0ED6"/>
    <w:rsid w:val="004D563A"/>
    <w:rsid w:val="004E6C49"/>
    <w:rsid w:val="00502432"/>
    <w:rsid w:val="005435D8"/>
    <w:rsid w:val="005515F8"/>
    <w:rsid w:val="0058294D"/>
    <w:rsid w:val="005A0306"/>
    <w:rsid w:val="005B21EF"/>
    <w:rsid w:val="005C526F"/>
    <w:rsid w:val="005D2A91"/>
    <w:rsid w:val="005E31BB"/>
    <w:rsid w:val="00611792"/>
    <w:rsid w:val="00674EAC"/>
    <w:rsid w:val="006948A6"/>
    <w:rsid w:val="006F40BA"/>
    <w:rsid w:val="0073279B"/>
    <w:rsid w:val="00757A25"/>
    <w:rsid w:val="00791A63"/>
    <w:rsid w:val="00795B04"/>
    <w:rsid w:val="007C631E"/>
    <w:rsid w:val="00854B7C"/>
    <w:rsid w:val="00857D7F"/>
    <w:rsid w:val="00866D52"/>
    <w:rsid w:val="008B561B"/>
    <w:rsid w:val="00935826"/>
    <w:rsid w:val="009B3C0F"/>
    <w:rsid w:val="009C16EE"/>
    <w:rsid w:val="009C7FB7"/>
    <w:rsid w:val="009E2B62"/>
    <w:rsid w:val="00A66B16"/>
    <w:rsid w:val="00A941F7"/>
    <w:rsid w:val="00AA2EAC"/>
    <w:rsid w:val="00B03ED0"/>
    <w:rsid w:val="00B2783C"/>
    <w:rsid w:val="00B573E6"/>
    <w:rsid w:val="00B970D6"/>
    <w:rsid w:val="00BA4D0E"/>
    <w:rsid w:val="00BC4155"/>
    <w:rsid w:val="00BF20CA"/>
    <w:rsid w:val="00BF50E3"/>
    <w:rsid w:val="00C03E92"/>
    <w:rsid w:val="00C313E6"/>
    <w:rsid w:val="00C654B8"/>
    <w:rsid w:val="00C72E80"/>
    <w:rsid w:val="00C73F92"/>
    <w:rsid w:val="00C76835"/>
    <w:rsid w:val="00CD600C"/>
    <w:rsid w:val="00D27071"/>
    <w:rsid w:val="00D37DD5"/>
    <w:rsid w:val="00D97E44"/>
    <w:rsid w:val="00DE00E5"/>
    <w:rsid w:val="00DE21F4"/>
    <w:rsid w:val="00DF31BF"/>
    <w:rsid w:val="00E07B29"/>
    <w:rsid w:val="00E655EF"/>
    <w:rsid w:val="00EA0B1B"/>
    <w:rsid w:val="00EB02CF"/>
    <w:rsid w:val="00EB4ED3"/>
    <w:rsid w:val="00ED3593"/>
    <w:rsid w:val="00EE75F7"/>
    <w:rsid w:val="00F13EDC"/>
    <w:rsid w:val="00F205E4"/>
    <w:rsid w:val="00F35E41"/>
    <w:rsid w:val="00F77520"/>
    <w:rsid w:val="00F90E40"/>
    <w:rsid w:val="00FA49EA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8394"/>
  <w15:chartTrackingRefBased/>
  <w15:docId w15:val="{4570CADE-2EAC-4218-9B2F-B113E57A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1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15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515F8"/>
  </w:style>
  <w:style w:type="character" w:styleId="a3">
    <w:name w:val="Hyperlink"/>
    <w:basedOn w:val="a0"/>
    <w:uiPriority w:val="99"/>
    <w:semiHidden/>
    <w:unhideWhenUsed/>
    <w:rsid w:val="006948A6"/>
    <w:rPr>
      <w:color w:val="000000"/>
      <w:u w:val="single"/>
    </w:rPr>
  </w:style>
  <w:style w:type="character" w:styleId="a4">
    <w:name w:val="FollowedHyperlink"/>
    <w:basedOn w:val="a0"/>
    <w:uiPriority w:val="99"/>
    <w:semiHidden/>
    <w:unhideWhenUsed/>
    <w:rsid w:val="006948A6"/>
    <w:rPr>
      <w:color w:val="800080"/>
      <w:u w:val="single"/>
    </w:rPr>
  </w:style>
  <w:style w:type="paragraph" w:customStyle="1" w:styleId="xl93">
    <w:name w:val="xl93"/>
    <w:basedOn w:val="a"/>
    <w:rsid w:val="006948A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94">
    <w:name w:val="xl94"/>
    <w:basedOn w:val="a"/>
    <w:rsid w:val="006948A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95">
    <w:name w:val="xl95"/>
    <w:basedOn w:val="a"/>
    <w:rsid w:val="006948A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96">
    <w:name w:val="xl96"/>
    <w:basedOn w:val="a"/>
    <w:rsid w:val="006948A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97">
    <w:name w:val="xl97"/>
    <w:basedOn w:val="a"/>
    <w:rsid w:val="006948A6"/>
    <w:pPr>
      <w:pBdr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8">
    <w:name w:val="xl98"/>
    <w:basedOn w:val="a"/>
    <w:rsid w:val="006948A6"/>
    <w:pPr>
      <w:pBdr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9">
    <w:name w:val="xl99"/>
    <w:basedOn w:val="a"/>
    <w:rsid w:val="006948A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00">
    <w:name w:val="xl100"/>
    <w:basedOn w:val="a"/>
    <w:rsid w:val="006948A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2EF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01">
    <w:name w:val="xl101"/>
    <w:basedOn w:val="a"/>
    <w:rsid w:val="006948A6"/>
    <w:pPr>
      <w:pBdr>
        <w:top w:val="single" w:sz="4" w:space="0" w:color="7F7F7F"/>
        <w:left w:val="single" w:sz="4" w:space="0" w:color="7F7F7F"/>
        <w:right w:val="single" w:sz="4" w:space="0" w:color="7F7F7F"/>
      </w:pBdr>
      <w:shd w:val="clear" w:color="000000" w:fill="C5E0B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2">
    <w:name w:val="xl102"/>
    <w:basedOn w:val="a"/>
    <w:rsid w:val="006948A6"/>
    <w:pPr>
      <w:pBdr>
        <w:left w:val="single" w:sz="4" w:space="0" w:color="7F7F7F"/>
        <w:right w:val="single" w:sz="4" w:space="0" w:color="7F7F7F"/>
      </w:pBdr>
      <w:shd w:val="clear" w:color="000000" w:fill="C5E0B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3">
    <w:name w:val="xl103"/>
    <w:basedOn w:val="a"/>
    <w:rsid w:val="006948A6"/>
    <w:pPr>
      <w:pBdr>
        <w:top w:val="single" w:sz="4" w:space="0" w:color="7F7F7F"/>
        <w:left w:val="single" w:sz="4" w:space="0" w:color="7F7F7F"/>
        <w:right w:val="single" w:sz="4" w:space="0" w:color="7F7F7F"/>
      </w:pBdr>
      <w:shd w:val="clear" w:color="000000" w:fill="C5E0B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4">
    <w:name w:val="xl104"/>
    <w:basedOn w:val="a"/>
    <w:rsid w:val="006948A6"/>
    <w:pPr>
      <w:pBdr>
        <w:left w:val="single" w:sz="4" w:space="0" w:color="7F7F7F"/>
        <w:right w:val="single" w:sz="4" w:space="0" w:color="7F7F7F"/>
      </w:pBdr>
      <w:shd w:val="clear" w:color="000000" w:fill="C5E0B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table" w:styleId="-1">
    <w:name w:val="Grid Table 1 Light"/>
    <w:basedOn w:val="a1"/>
    <w:uiPriority w:val="46"/>
    <w:rsid w:val="006948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annotation reference"/>
    <w:basedOn w:val="a0"/>
    <w:uiPriority w:val="99"/>
    <w:semiHidden/>
    <w:unhideWhenUsed/>
    <w:rsid w:val="00F35E4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5E4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5E4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5E4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5E4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5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5E41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54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D6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45E33-DE40-4C5D-9C89-E6693F36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Tatarov, Evgeniy</dc:creator>
  <cp:keywords/>
  <dc:description/>
  <cp:lastModifiedBy>Ryseva, Liubov</cp:lastModifiedBy>
  <cp:revision>4</cp:revision>
  <cp:lastPrinted>2018-11-15T11:02:00Z</cp:lastPrinted>
  <dcterms:created xsi:type="dcterms:W3CDTF">2021-06-24T12:50:00Z</dcterms:created>
  <dcterms:modified xsi:type="dcterms:W3CDTF">2021-07-07T05:52:00Z</dcterms:modified>
</cp:coreProperties>
</file>