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6FB82">
      <w:pPr>
        <w:widowControl/>
        <w:spacing w:after="120" w:afterLines="50"/>
        <w:jc w:val="center"/>
        <w:rPr>
          <w:rFonts w:hint="eastAsia" w:ascii="黑体" w:hAnsi="黑体" w:eastAsia="黑体" w:cs="宋体"/>
          <w:sz w:val="32"/>
          <w:szCs w:val="32"/>
        </w:rPr>
      </w:pPr>
      <w:r>
        <w:rPr>
          <w:rFonts w:hint="eastAsia" w:ascii="黑体" w:hAnsi="黑体" w:eastAsia="黑体" w:cs="宋体"/>
          <w:sz w:val="32"/>
          <w:szCs w:val="32"/>
        </w:rPr>
        <w:t>海底地质岩心孔洞、粒度、裂缝图文分析系统</w:t>
      </w:r>
    </w:p>
    <w:sdt>
      <w:sdtPr>
        <w:rPr>
          <w:rFonts w:ascii="宋体" w:hAnsi="宋体" w:eastAsia="宋体" w:cs="Times New Roman"/>
          <w:kern w:val="2"/>
          <w:sz w:val="30"/>
          <w:szCs w:val="30"/>
          <w:lang w:val="en-US" w:eastAsia="zh-CN" w:bidi="ar-SA"/>
        </w:rPr>
        <w:id w:val="147467013"/>
        <w15:color w:val="DBDBDB"/>
        <w:docPartObj>
          <w:docPartGallery w:val="Table of Contents"/>
          <w:docPartUnique/>
        </w:docPartObj>
      </w:sdtPr>
      <w:sdtEndPr>
        <w:rPr>
          <w:rFonts w:hint="eastAsia" w:ascii="Times New Roman" w:hAnsi="Times New Roman" w:eastAsia="宋体" w:cs="Times New Roman"/>
          <w:b/>
          <w:bCs/>
          <w:kern w:val="44"/>
          <w:sz w:val="44"/>
          <w:szCs w:val="44"/>
          <w:lang w:val="en-US" w:eastAsia="zh-CN" w:bidi="ar-SA"/>
        </w:rPr>
      </w:sdtEndPr>
      <w:sdtContent>
        <w:p w14:paraId="6EA1FE1F">
          <w:pPr>
            <w:spacing w:before="0" w:beforeLines="0" w:after="0" w:afterLines="0" w:line="240" w:lineRule="auto"/>
            <w:ind w:left="0" w:leftChars="0" w:right="0" w:rightChars="0" w:firstLine="0" w:firstLineChars="0"/>
            <w:jc w:val="center"/>
            <w:rPr>
              <w:sz w:val="30"/>
              <w:szCs w:val="30"/>
            </w:rPr>
          </w:pPr>
          <w:bookmarkStart w:id="0" w:name="_Toc506358922"/>
          <w:r>
            <w:rPr>
              <w:rFonts w:ascii="宋体" w:hAnsi="宋体" w:eastAsia="宋体"/>
              <w:sz w:val="30"/>
              <w:szCs w:val="30"/>
            </w:rPr>
            <w:t>目录</w:t>
          </w:r>
        </w:p>
        <w:p w14:paraId="61E88448">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TOC \o "1-2" \h \u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_Toc6882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1．引言</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_Toc6882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D5EA9E2">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_Toc19927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1.1编写目的</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_Toc19927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82E77D0">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_Toc19391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1.2项目背景</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_Toc19391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B56C2DD">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_Toc6614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lang w:val="en-US" w:eastAsia="zh-CN"/>
            </w:rPr>
            <w:t>4</w:t>
          </w:r>
          <w:r>
            <w:rPr>
              <w:rFonts w:hint="eastAsia" w:asciiTheme="majorEastAsia" w:hAnsiTheme="majorEastAsia" w:eastAsiaTheme="majorEastAsia" w:cstheme="majorEastAsia"/>
              <w:sz w:val="24"/>
              <w:szCs w:val="24"/>
            </w:rPr>
            <w:t>定义</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_Toc6614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8E4EE10">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_Toc21392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lang w:val="en-US" w:eastAsia="zh-CN"/>
            </w:rPr>
            <w:t>5</w:t>
          </w:r>
          <w:r>
            <w:rPr>
              <w:rFonts w:hint="eastAsia" w:asciiTheme="majorEastAsia" w:hAnsiTheme="majorEastAsia" w:eastAsiaTheme="majorEastAsia" w:cstheme="majorEastAsia"/>
              <w:sz w:val="24"/>
              <w:szCs w:val="24"/>
            </w:rPr>
            <w:t>参考资料</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_Toc21392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185D20D">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_Toc16274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2．任务概述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_Toc16274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A7ABA6C">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_Toc24681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2.1目标</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_Toc24681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35F9DFA">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_Toc32257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2.3条件与限制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_Toc32257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02EDD13">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_Toc22738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3．数据描述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_Toc22738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833CF65">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_Toc20925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3.1静态数据</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_Toc20925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FFF28E6">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_Toc7763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3.2动态数据</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_Toc7763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6BCEA43">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_Toc22592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3.3数据库介绍</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_Toc22592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303940F">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_Toc14939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3.4数据词典</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_Toc14939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3EE6E9F">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_Toc22419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3.5数据采集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_Toc22419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69F83C8">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_Toc7109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4．功能需求</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_Toc7109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2A3A289">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_Toc2125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4.1功能划分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_Toc2125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89D6AA5">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_Toc12619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5.1数据精确度</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_Toc12619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6A05FC4">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_Toc23741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5.2时间特性</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_Toc23741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6CF94FE">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_Toc20630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5.3适应性</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_Toc20630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A324936">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_Toc5684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6．运行需求</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_Toc5684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8695E38">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_Toc5840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6.1用户界面</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_Toc5840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A31509E">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_Toc16839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6.2硬件接口</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_Toc16839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6B45021">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_Toc5871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6.3软件接口</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_Toc5871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82BA6E5">
          <w:pPr>
            <w:pStyle w:val="8"/>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_Toc16390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6.4故障处理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_Toc16390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717DA5A">
          <w:pPr>
            <w:pStyle w:val="7"/>
            <w:tabs>
              <w:tab w:val="right" w:leader="dot" w:pos="8306"/>
            </w:tabs>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_Toc2818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7．其它需求</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_Toc2818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38351BD">
          <w:pPr>
            <w:pStyle w:val="2"/>
            <w:rPr>
              <w:rFonts w:hint="eastAsia" w:ascii="Times New Roman" w:hAnsi="Times New Roman" w:eastAsia="宋体" w:cs="Times New Roman"/>
              <w:b/>
              <w:bCs/>
              <w:kern w:val="44"/>
              <w:sz w:val="44"/>
              <w:szCs w:val="44"/>
              <w:lang w:val="en-US" w:eastAsia="zh-CN" w:bidi="ar-SA"/>
            </w:rPr>
          </w:pPr>
          <w:r>
            <w:rPr>
              <w:rFonts w:hint="eastAsia" w:asciiTheme="majorEastAsia" w:hAnsiTheme="majorEastAsia" w:eastAsiaTheme="majorEastAsia" w:cstheme="majorEastAsia"/>
              <w:sz w:val="24"/>
              <w:szCs w:val="24"/>
            </w:rPr>
            <w:fldChar w:fldCharType="end"/>
          </w:r>
        </w:p>
      </w:sdtContent>
    </w:sdt>
    <w:p w14:paraId="7ED1A660">
      <w:pPr>
        <w:rPr>
          <w:rFonts w:hint="eastAsia"/>
        </w:rPr>
      </w:pPr>
    </w:p>
    <w:p w14:paraId="38CF02D6">
      <w:pPr>
        <w:rPr>
          <w:rFonts w:hint="eastAsia"/>
        </w:rPr>
      </w:pPr>
    </w:p>
    <w:p w14:paraId="24407D72">
      <w:pPr>
        <w:rPr>
          <w:rFonts w:hint="eastAsia"/>
        </w:rPr>
      </w:pPr>
    </w:p>
    <w:p w14:paraId="2149A132">
      <w:pPr>
        <w:rPr>
          <w:rFonts w:hint="eastAsia"/>
        </w:rPr>
      </w:pPr>
    </w:p>
    <w:p w14:paraId="2DC0E998">
      <w:pPr>
        <w:rPr>
          <w:rFonts w:hint="eastAsia"/>
        </w:rPr>
      </w:pPr>
    </w:p>
    <w:p w14:paraId="14E28295">
      <w:pPr>
        <w:rPr>
          <w:rFonts w:hint="eastAsia"/>
        </w:rPr>
      </w:pPr>
    </w:p>
    <w:p w14:paraId="6242C3BD">
      <w:pPr>
        <w:rPr>
          <w:rFonts w:hint="eastAsia"/>
        </w:rPr>
      </w:pPr>
    </w:p>
    <w:p w14:paraId="4A5522DB">
      <w:pPr>
        <w:rPr>
          <w:rFonts w:hint="eastAsia"/>
        </w:rPr>
      </w:pPr>
    </w:p>
    <w:p w14:paraId="265E4825">
      <w:pPr>
        <w:rPr>
          <w:rFonts w:hint="eastAsia"/>
        </w:rPr>
      </w:pPr>
      <w:bookmarkStart w:id="54" w:name="_GoBack"/>
      <w:bookmarkEnd w:id="54"/>
    </w:p>
    <w:p w14:paraId="0863197F">
      <w:pPr>
        <w:rPr>
          <w:rFonts w:hint="eastAsia"/>
        </w:rPr>
      </w:pPr>
    </w:p>
    <w:p w14:paraId="106DACFD">
      <w:pPr>
        <w:pStyle w:val="2"/>
        <w:rPr>
          <w:rFonts w:hint="eastAsia"/>
        </w:rPr>
      </w:pPr>
      <w:bookmarkStart w:id="1" w:name="_Toc6882"/>
      <w:r>
        <w:rPr>
          <w:rFonts w:hint="eastAsia"/>
        </w:rPr>
        <w:t>1．引言</w:t>
      </w:r>
      <w:bookmarkEnd w:id="0"/>
      <w:bookmarkEnd w:id="1"/>
    </w:p>
    <w:p w14:paraId="0B6A6883">
      <w:pPr>
        <w:pStyle w:val="3"/>
        <w:rPr>
          <w:rFonts w:hint="eastAsia"/>
        </w:rPr>
      </w:pPr>
      <w:bookmarkStart w:id="2" w:name="_Toc506358923"/>
      <w:bookmarkStart w:id="3" w:name="_Toc19927"/>
      <w:r>
        <w:rPr>
          <w:rFonts w:hint="eastAsia"/>
        </w:rPr>
        <w:t>1.1编写目的</w:t>
      </w:r>
      <w:bookmarkEnd w:id="2"/>
      <w:bookmarkEnd w:id="3"/>
    </w:p>
    <w:p w14:paraId="2E9421EA">
      <w:pPr>
        <w:pStyle w:val="3"/>
        <w:spacing w:line="360" w:lineRule="auto"/>
        <w:ind w:firstLine="480" w:firstLineChars="200"/>
        <w:rPr>
          <w:rFonts w:hint="eastAsia" w:ascii="宋体" w:hAnsi="宋体" w:eastAsia="宋体"/>
          <w:b w:val="0"/>
          <w:bCs w:val="0"/>
          <w:sz w:val="24"/>
        </w:rPr>
      </w:pPr>
      <w:bookmarkStart w:id="4" w:name="_Toc9530"/>
      <w:r>
        <w:rPr>
          <w:rFonts w:hint="eastAsia" w:ascii="宋体" w:hAnsi="宋体" w:eastAsia="宋体"/>
          <w:b w:val="0"/>
          <w:bCs w:val="0"/>
          <w:sz w:val="24"/>
        </w:rPr>
        <w:t>本需求规格说明书致力于全面且精确地阐明《海底地质岩心孔洞、粒度、裂缝图文分析系统》的各项需求内容。其主要目标是为该系统后续的设计、开发、测试工作以及长期的维护管理提供坚实且详细的指导依据，确保系统能够切实契合石油地质等相关专业在教学与科研过程中，对海底地质岩心进行深入分析的实际需求。通过该系统的构建，弥补传统教学模式下实体岩心资料匮乏的短板，助力高效开展实验实践活动，推动更深入地理解专业知识，同时为创新研究提供有力支持</w:t>
      </w:r>
      <w:bookmarkEnd w:id="4"/>
    </w:p>
    <w:p w14:paraId="5C7774C6">
      <w:pPr>
        <w:pStyle w:val="3"/>
        <w:rPr>
          <w:rFonts w:hint="eastAsia"/>
        </w:rPr>
      </w:pPr>
      <w:bookmarkStart w:id="5" w:name="_Toc506358924"/>
      <w:bookmarkStart w:id="6" w:name="_Toc19391"/>
      <w:r>
        <w:rPr>
          <w:rFonts w:hint="eastAsia"/>
        </w:rPr>
        <w:t>1.2项目背景</w:t>
      </w:r>
      <w:bookmarkEnd w:id="5"/>
      <w:bookmarkEnd w:id="6"/>
    </w:p>
    <w:p w14:paraId="46BCD0AB">
      <w:pPr>
        <w:spacing w:line="360" w:lineRule="auto"/>
        <w:ind w:firstLine="480" w:firstLineChars="200"/>
        <w:rPr>
          <w:rFonts w:hint="eastAsia" w:ascii="宋体" w:hAnsi="宋体" w:eastAsia="宋体" w:cs="Times New Roman"/>
          <w:b w:val="0"/>
          <w:bCs w:val="0"/>
          <w:kern w:val="2"/>
          <w:sz w:val="24"/>
          <w:szCs w:val="32"/>
          <w:lang w:val="en-US" w:eastAsia="zh-CN" w:bidi="ar-SA"/>
        </w:rPr>
      </w:pPr>
      <w:r>
        <w:rPr>
          <w:rFonts w:hint="eastAsia" w:ascii="宋体" w:hAnsi="宋体" w:eastAsia="宋体" w:cs="Times New Roman"/>
          <w:b w:val="0"/>
          <w:bCs w:val="0"/>
          <w:kern w:val="2"/>
          <w:sz w:val="24"/>
          <w:szCs w:val="32"/>
          <w:lang w:val="en-US" w:eastAsia="zh-CN" w:bidi="ar-SA"/>
        </w:rPr>
        <w:t>在地质相关专业的教学进程中，长期以来主要依赖教师对课本内容的讲解、数量有限的岩石标本展示，以及为数不多的野外地质实习机会。这种教学方式存在诸多局限性，难以帮助学生全方位、深层次地认识丰富多样的地质特征。海底地质岩心作为研究地层地质特征的核心资料，具有不可替代的重要性。然而，获取岩心的过程极为复杂且成本高昂，每米岩心的获取成本低则数万元，高则可达数十万元，并且每一口井所获取的岩心都具有唯一性，一旦出现丢失或破损的情况，将造成无法挽回的损失。基于这些特性，油田通常将岩心视为最为关键的资料加以严格保管，这使得石油地质院校在获取系统且详尽的岩心资料用于实验实践教学方面面临巨大困难。在多数情况下，学生仅能在地质博物馆中观察到个别的实体岩心，或者借助教师科研积累的少量资料查看有限的岩心图片。鉴于此，借助岩心数字化等先进技术，开发功能完善的互动教学系统已成为当务之急。而本《海底地质岩心孔洞、粒度、裂缝图文分析系统》作为其中的关键组成部分，对于改善当前教学与科研现状具有重要意义。</w:t>
      </w:r>
    </w:p>
    <w:p w14:paraId="7B64626C">
      <w:pPr>
        <w:spacing w:line="360" w:lineRule="auto"/>
        <w:rPr>
          <w:rFonts w:hint="eastAsia" w:ascii="Arial" w:hAnsi="Arial" w:eastAsia="黑体" w:cs="Times New Roman"/>
          <w:b/>
          <w:bCs/>
          <w:kern w:val="2"/>
          <w:sz w:val="32"/>
          <w:szCs w:val="32"/>
          <w:lang w:val="en-US" w:eastAsia="zh-CN" w:bidi="ar-SA"/>
        </w:rPr>
      </w:pPr>
    </w:p>
    <w:p w14:paraId="7A35C6BD">
      <w:pPr>
        <w:spacing w:line="360" w:lineRule="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1.3项目开发意义</w:t>
      </w:r>
    </w:p>
    <w:p w14:paraId="200AB2D3">
      <w:pPr>
        <w:spacing w:line="360" w:lineRule="auto"/>
        <w:ind w:firstLine="480" w:firstLineChars="200"/>
        <w:rPr>
          <w:rFonts w:hint="eastAsia" w:ascii="黑体" w:eastAsia="黑体"/>
          <w:sz w:val="24"/>
        </w:rPr>
      </w:pPr>
      <w:r>
        <w:rPr>
          <w:rFonts w:hint="eastAsia"/>
          <w:sz w:val="24"/>
          <w:lang w:val="en-US" w:eastAsia="zh-CN"/>
        </w:rPr>
        <w:t>该系统革新了地质教学模式，借助海量数字化岩心资料，打破时间与空间的束缚，让学生能够将理论知识与实践紧密结合，有效弥补传统教学中实体资料匮乏的短板，显著提升教学质量与学生的实际操作能力。在石油地质科研领域，系统整合多盆地的岩心数据，助力科研人员精准解析岩心与油气之间的内在关联，大幅提高科研效率，催生新的科研成果，加速成果转化进程。从行业角度来看，系统统一地质数据格式与标准，实现数据的高效整合与管理，为行业树立典范，有力推动业内合作与创新。在海洋资源勘探方面，系统能够帮助地质工作者精准掌握海底地质关键参数，合理规划海洋资源开发，切实维护国家海洋权益，保障海洋经济可持续发展。</w:t>
      </w:r>
    </w:p>
    <w:p w14:paraId="3FC35973">
      <w:pPr>
        <w:pStyle w:val="3"/>
        <w:rPr>
          <w:rFonts w:hint="eastAsia"/>
        </w:rPr>
      </w:pPr>
      <w:bookmarkStart w:id="7" w:name="_Toc506358925"/>
      <w:bookmarkStart w:id="8" w:name="_Toc6614"/>
      <w:r>
        <w:rPr>
          <w:rFonts w:hint="eastAsia"/>
        </w:rPr>
        <w:t>1.</w:t>
      </w:r>
      <w:r>
        <w:rPr>
          <w:rFonts w:hint="eastAsia"/>
          <w:lang w:val="en-US" w:eastAsia="zh-CN"/>
        </w:rPr>
        <w:t>4</w:t>
      </w:r>
      <w:r>
        <w:rPr>
          <w:rFonts w:hint="eastAsia"/>
        </w:rPr>
        <w:t>定义</w:t>
      </w:r>
      <w:bookmarkEnd w:id="7"/>
      <w:bookmarkEnd w:id="8"/>
    </w:p>
    <w:p w14:paraId="3B93801E">
      <w:pPr>
        <w:spacing w:line="360" w:lineRule="auto"/>
        <w:ind w:firstLine="482" w:firstLineChars="200"/>
        <w:rPr>
          <w:rFonts w:hint="eastAsia"/>
          <w:sz w:val="24"/>
          <w:lang w:val="en-US" w:eastAsia="zh-CN"/>
        </w:rPr>
      </w:pPr>
      <w:bookmarkStart w:id="9" w:name="_Toc506358926"/>
      <w:r>
        <w:rPr>
          <w:rFonts w:hint="eastAsia"/>
          <w:b/>
          <w:bCs/>
          <w:sz w:val="24"/>
          <w:lang w:val="en-US" w:eastAsia="zh-CN"/>
        </w:rPr>
        <w:t>岩心数字化技术</w:t>
      </w:r>
      <w:r>
        <w:rPr>
          <w:rFonts w:hint="default"/>
          <w:b/>
          <w:bCs/>
          <w:sz w:val="24"/>
          <w:lang w:val="en-US" w:eastAsia="zh-CN"/>
        </w:rPr>
        <w:t>：</w:t>
      </w:r>
      <w:r>
        <w:rPr>
          <w:rFonts w:hint="default"/>
          <w:sz w:val="24"/>
          <w:lang w:val="en-US" w:eastAsia="zh-CN"/>
        </w:rPr>
        <w:t>通过图像采集、数据处理等一系列手段，将实体岩心转化为数字形式进行存储、传输与分析的技术。</w:t>
      </w:r>
    </w:p>
    <w:p w14:paraId="044E2BD4">
      <w:pPr>
        <w:spacing w:line="360" w:lineRule="auto"/>
        <w:ind w:firstLine="482" w:firstLineChars="200"/>
        <w:rPr>
          <w:rFonts w:hint="eastAsia"/>
          <w:sz w:val="24"/>
          <w:lang w:val="en-US" w:eastAsia="zh-CN"/>
        </w:rPr>
      </w:pPr>
      <w:r>
        <w:rPr>
          <w:rFonts w:hint="default"/>
          <w:b/>
          <w:bCs/>
          <w:sz w:val="24"/>
          <w:lang w:val="en-US" w:eastAsia="zh-CN"/>
        </w:rPr>
        <w:t>数字岩心：</w:t>
      </w:r>
      <w:r>
        <w:rPr>
          <w:rFonts w:hint="default"/>
          <w:sz w:val="24"/>
          <w:lang w:val="en-US" w:eastAsia="zh-CN"/>
        </w:rPr>
        <w:t>经数字化技术处理后，以数字形式呈现的岩心，包含岩心的图像、相关属性及分析数据等信息。</w:t>
      </w:r>
    </w:p>
    <w:p w14:paraId="7C602FD6">
      <w:pPr>
        <w:spacing w:line="360" w:lineRule="auto"/>
        <w:ind w:firstLine="482" w:firstLineChars="200"/>
        <w:rPr>
          <w:rFonts w:hint="eastAsia"/>
          <w:sz w:val="24"/>
          <w:lang w:val="en-US" w:eastAsia="zh-CN"/>
        </w:rPr>
      </w:pPr>
      <w:r>
        <w:rPr>
          <w:rFonts w:hint="default"/>
          <w:b/>
          <w:bCs/>
          <w:sz w:val="24"/>
          <w:lang w:val="en-US" w:eastAsia="zh-CN"/>
        </w:rPr>
        <w:t>孔洞分析：</w:t>
      </w:r>
      <w:r>
        <w:rPr>
          <w:rFonts w:hint="default"/>
          <w:sz w:val="24"/>
          <w:lang w:val="en-US" w:eastAsia="zh-CN"/>
        </w:rPr>
        <w:t>对岩心中孔洞的大小、数量、分布等特征进行识别、测量与统计的过程。</w:t>
      </w:r>
    </w:p>
    <w:p w14:paraId="0E937D83">
      <w:pPr>
        <w:spacing w:line="360" w:lineRule="auto"/>
        <w:ind w:firstLine="482" w:firstLineChars="200"/>
        <w:rPr>
          <w:rFonts w:hint="eastAsia"/>
          <w:sz w:val="24"/>
          <w:lang w:val="en-US" w:eastAsia="zh-CN"/>
        </w:rPr>
      </w:pPr>
      <w:r>
        <w:rPr>
          <w:rFonts w:hint="default"/>
          <w:b/>
          <w:bCs/>
          <w:sz w:val="24"/>
          <w:lang w:val="en-US" w:eastAsia="zh-CN"/>
        </w:rPr>
        <w:t>粒度分析：</w:t>
      </w:r>
      <w:r>
        <w:rPr>
          <w:rFonts w:hint="default"/>
          <w:sz w:val="24"/>
          <w:lang w:val="en-US" w:eastAsia="zh-CN"/>
        </w:rPr>
        <w:t>确定岩心颗粒大小分布情况，并计算相关参数的分析方法。</w:t>
      </w:r>
    </w:p>
    <w:p w14:paraId="319AFE1D">
      <w:pPr>
        <w:spacing w:line="360" w:lineRule="auto"/>
        <w:ind w:firstLine="482" w:firstLineChars="200"/>
        <w:rPr>
          <w:rFonts w:hint="eastAsia"/>
          <w:sz w:val="24"/>
          <w:lang w:val="en-US" w:eastAsia="zh-CN"/>
        </w:rPr>
      </w:pPr>
      <w:r>
        <w:rPr>
          <w:rFonts w:hint="default"/>
          <w:b/>
          <w:bCs/>
          <w:sz w:val="24"/>
          <w:lang w:val="en-US" w:eastAsia="zh-CN"/>
        </w:rPr>
        <w:t>裂缝分析：</w:t>
      </w:r>
      <w:r>
        <w:rPr>
          <w:rFonts w:hint="default"/>
          <w:sz w:val="24"/>
          <w:lang w:val="en-US" w:eastAsia="zh-CN"/>
        </w:rPr>
        <w:t>检测岩心中裂缝的长度、宽度、方向、密度及网络结构等特征的操作。</w:t>
      </w:r>
    </w:p>
    <w:p w14:paraId="5E3F8D3A">
      <w:pPr>
        <w:pStyle w:val="3"/>
        <w:rPr>
          <w:rFonts w:hint="eastAsia"/>
        </w:rPr>
      </w:pPr>
      <w:bookmarkStart w:id="10" w:name="_Toc21392"/>
      <w:r>
        <w:rPr>
          <w:rFonts w:hint="eastAsia"/>
        </w:rPr>
        <w:t>1.</w:t>
      </w:r>
      <w:r>
        <w:rPr>
          <w:rFonts w:hint="eastAsia"/>
          <w:lang w:val="en-US" w:eastAsia="zh-CN"/>
        </w:rPr>
        <w:t>5</w:t>
      </w:r>
      <w:r>
        <w:rPr>
          <w:rFonts w:hint="eastAsia"/>
        </w:rPr>
        <w:t>参考资料</w:t>
      </w:r>
      <w:bookmarkEnd w:id="9"/>
      <w:bookmarkEnd w:id="10"/>
    </w:p>
    <w:p w14:paraId="45665340">
      <w:pPr>
        <w:pStyle w:val="9"/>
        <w:keepNext w:val="0"/>
        <w:keepLines w:val="0"/>
        <w:widowControl/>
        <w:suppressLineNumbers w:val="0"/>
        <w:spacing w:before="165" w:beforeAutospacing="0" w:after="165" w:afterAutospacing="0" w:line="343" w:lineRule="atLeast"/>
        <w:ind w:left="0" w:right="0" w:firstLine="0"/>
        <w:rPr>
          <w:rFonts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[1] 国家能源局. 岩心扫描技术规范: SY/T 5612-2019[S]. 北京: 石油工业出版社, 2019.</w:t>
      </w:r>
    </w:p>
    <w:p w14:paraId="4995C962">
      <w:pPr>
        <w:pStyle w:val="9"/>
        <w:keepNext w:val="0"/>
        <w:keepLines w:val="0"/>
        <w:widowControl/>
        <w:suppressLineNumbers w:val="0"/>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[2] 国家标准化管理委员会. 岩心分析方法: GB/T 29172-2012[S]. 北京: 中国标准出版社, 2012.</w:t>
      </w:r>
    </w:p>
    <w:p w14:paraId="154ED5BC">
      <w:pPr>
        <w:pStyle w:val="9"/>
        <w:keepNext w:val="0"/>
        <w:keepLines w:val="0"/>
        <w:widowControl/>
        <w:suppressLineNumbers w:val="0"/>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[3] 国家标准化管理委员会. 计算机软件文档编制规范: GB/T 8567-2006[S]. 北京: 中国标准出版社, 2006.</w:t>
      </w:r>
    </w:p>
    <w:p w14:paraId="201C7CE0">
      <w:pPr>
        <w:pStyle w:val="9"/>
        <w:keepNext w:val="0"/>
        <w:keepLines w:val="0"/>
        <w:widowControl/>
        <w:suppressLineNumbers w:val="0"/>
        <w:spacing w:before="165" w:beforeAutospacing="0" w:after="165" w:afterAutospacing="0" w:line="343" w:lineRule="atLeast"/>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t>[4] 教育部高等教育司. 关于推进虚拟仿真实验教学项目建设工作的通知[Z]. 教高司函〔2022〕5号, 2022.</w:t>
      </w:r>
    </w:p>
    <w:p w14:paraId="3AA13C97">
      <w:pPr>
        <w:pStyle w:val="9"/>
        <w:keepNext w:val="0"/>
        <w:keepLines w:val="0"/>
        <w:widowControl/>
        <w:suppressLineNumbers w:val="0"/>
        <w:spacing w:before="165" w:beforeAutospacing="0" w:after="165" w:afterAutospacing="0" w:line="343" w:lineRule="atLeast"/>
        <w:ind w:left="0" w:right="0" w:firstLine="0"/>
        <w:rPr>
          <w:rFonts w:ascii="Segoe UI" w:hAnsi="Segoe UI" w:eastAsia="Segoe UI" w:cs="Segoe UI"/>
          <w:i w:val="0"/>
          <w:iCs w:val="0"/>
          <w:caps w:val="0"/>
          <w:color w:val="404040"/>
          <w:spacing w:val="0"/>
          <w:sz w:val="19"/>
          <w:szCs w:val="19"/>
        </w:rPr>
      </w:pPr>
      <w:r>
        <w:rPr>
          <w:rFonts w:hint="eastAsia" w:ascii="Segoe UI" w:hAnsi="Segoe UI" w:cs="Segoe UI"/>
          <w:i w:val="0"/>
          <w:iCs w:val="0"/>
          <w:caps w:val="0"/>
          <w:color w:val="404040"/>
          <w:spacing w:val="0"/>
          <w:sz w:val="19"/>
          <w:szCs w:val="19"/>
          <w:lang w:val="en-US" w:eastAsia="zh-CN"/>
        </w:rPr>
        <w:t>[5</w:t>
      </w:r>
      <w:r>
        <w:rPr>
          <w:rFonts w:hint="default" w:ascii="Segoe UI" w:hAnsi="Segoe UI" w:eastAsia="Segoe UI" w:cs="Segoe UI"/>
          <w:i w:val="0"/>
          <w:iCs w:val="0"/>
          <w:caps w:val="0"/>
          <w:color w:val="404040"/>
          <w:spacing w:val="0"/>
          <w:sz w:val="19"/>
          <w:szCs w:val="19"/>
        </w:rPr>
        <w:t>] Bradski G, Kaehler A. Learning OpenCV: Computer vision with the OpenCV library[M]. O'Reilly Media, 2016.</w:t>
      </w:r>
    </w:p>
    <w:p w14:paraId="3CA6BCF2">
      <w:pPr>
        <w:pStyle w:val="9"/>
        <w:keepNext w:val="0"/>
        <w:keepLines w:val="0"/>
        <w:widowControl/>
        <w:suppressLineNumbers w:val="0"/>
        <w:spacing w:before="165" w:beforeAutospacing="0" w:after="165" w:afterAutospacing="0" w:line="343" w:lineRule="atLeast"/>
        <w:ind w:left="0" w:right="0" w:firstLine="0"/>
        <w:rPr>
          <w:rFonts w:hint="eastAsia"/>
        </w:rPr>
      </w:pPr>
      <w:r>
        <w:rPr>
          <w:rFonts w:hint="default" w:ascii="Segoe UI" w:hAnsi="Segoe UI" w:eastAsia="Segoe UI" w:cs="Segoe UI"/>
          <w:i w:val="0"/>
          <w:iCs w:val="0"/>
          <w:caps w:val="0"/>
          <w:color w:val="404040"/>
          <w:spacing w:val="0"/>
          <w:sz w:val="19"/>
          <w:szCs w:val="19"/>
        </w:rPr>
        <w:t>[</w:t>
      </w:r>
      <w:r>
        <w:rPr>
          <w:rFonts w:hint="eastAsia" w:ascii="Segoe UI" w:hAnsi="Segoe UI" w:cs="Segoe UI"/>
          <w:i w:val="0"/>
          <w:iCs w:val="0"/>
          <w:caps w:val="0"/>
          <w:color w:val="404040"/>
          <w:spacing w:val="0"/>
          <w:sz w:val="19"/>
          <w:szCs w:val="19"/>
          <w:lang w:val="en-US" w:eastAsia="zh-CN"/>
        </w:rPr>
        <w:t>6</w:t>
      </w:r>
      <w:r>
        <w:rPr>
          <w:rFonts w:hint="default" w:ascii="Segoe UI" w:hAnsi="Segoe UI" w:eastAsia="Segoe UI" w:cs="Segoe UI"/>
          <w:i w:val="0"/>
          <w:iCs w:val="0"/>
          <w:caps w:val="0"/>
          <w:color w:val="404040"/>
          <w:spacing w:val="0"/>
          <w:sz w:val="19"/>
          <w:szCs w:val="19"/>
        </w:rPr>
        <w:t>] IEEE Computer Society. IEEE Recommended Practice for Software Requirements Specifications: IEEE Std 830-1998[S]. 1998.</w:t>
      </w:r>
    </w:p>
    <w:p w14:paraId="1B6F4B09">
      <w:pPr>
        <w:pStyle w:val="2"/>
        <w:rPr>
          <w:rFonts w:hint="eastAsia"/>
        </w:rPr>
      </w:pPr>
      <w:bookmarkStart w:id="11" w:name="_Toc506358927"/>
      <w:bookmarkStart w:id="12" w:name="_Toc16274"/>
      <w:r>
        <w:rPr>
          <w:rFonts w:hint="eastAsia"/>
        </w:rPr>
        <w:t>2．任务概述</w:t>
      </w:r>
      <w:bookmarkEnd w:id="11"/>
      <w:bookmarkEnd w:id="12"/>
    </w:p>
    <w:p w14:paraId="17AB8884">
      <w:pPr>
        <w:pStyle w:val="3"/>
        <w:rPr>
          <w:rFonts w:hint="eastAsia"/>
        </w:rPr>
      </w:pPr>
      <w:bookmarkStart w:id="13" w:name="_Toc506358928"/>
      <w:bookmarkStart w:id="14" w:name="_Toc24681"/>
      <w:r>
        <w:rPr>
          <w:rFonts w:hint="eastAsia"/>
        </w:rPr>
        <w:t>2.1目标</w:t>
      </w:r>
      <w:bookmarkEnd w:id="13"/>
      <w:bookmarkEnd w:id="14"/>
    </w:p>
    <w:p w14:paraId="7563E2CF">
      <w:pPr>
        <w:spacing w:line="360" w:lineRule="auto"/>
        <w:ind w:firstLine="480" w:firstLineChars="200"/>
        <w:rPr>
          <w:rFonts w:hint="eastAsia" w:ascii="宋体" w:hAnsi="宋体"/>
          <w:sz w:val="24"/>
        </w:rPr>
      </w:pPr>
      <w:bookmarkStart w:id="15" w:name="_Toc506358929"/>
      <w:r>
        <w:rPr>
          <w:rFonts w:hint="eastAsia" w:ascii="宋体" w:hAnsi="宋体"/>
          <w:sz w:val="24"/>
        </w:rPr>
        <w:t>打造一个功能齐全、性能卓越的图文分析系统，实现对海底地质岩心孔洞、粒度、裂缝的精准分析。为石油地质等专业师生搭建便捷的在线学习与研究平台，使其能够随时随地访问海量岩心数据。有效解决高校教学中实体岩心资料不足的问题，为相关课程实验实践教学提供有力支撑，同时为科研创新提供丰富的数据资源。</w:t>
      </w:r>
    </w:p>
    <w:p w14:paraId="2C2D37D3">
      <w:pPr>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2.2运行环境</w:t>
      </w:r>
      <w:bookmarkEnd w:id="15"/>
    </w:p>
    <w:p w14:paraId="52780118">
      <w:pPr>
        <w:rPr>
          <w:rFonts w:hint="eastAsia"/>
          <w:sz w:val="24"/>
          <w:szCs w:val="24"/>
        </w:rPr>
      </w:pPr>
      <w:r>
        <w:rPr>
          <w:rFonts w:hint="eastAsia"/>
          <w:sz w:val="24"/>
          <w:szCs w:val="24"/>
        </w:rPr>
        <w:t>操作系统：</w:t>
      </w:r>
      <w:r>
        <w:rPr>
          <w:rFonts w:ascii="Segoe UI" w:hAnsi="Segoe UI" w:eastAsia="Segoe UI" w:cs="Segoe UI"/>
          <w:i w:val="0"/>
          <w:iCs w:val="0"/>
          <w:caps w:val="0"/>
          <w:spacing w:val="0"/>
          <w:sz w:val="24"/>
          <w:szCs w:val="24"/>
          <w:shd w:val="clear" w:fill="FFFFFF"/>
        </w:rPr>
        <w:t>Windows 10 及以上版本。</w:t>
      </w:r>
    </w:p>
    <w:p w14:paraId="5F9464E7">
      <w:pPr>
        <w:rPr>
          <w:rFonts w:hint="eastAsia"/>
          <w:sz w:val="24"/>
          <w:szCs w:val="24"/>
        </w:rPr>
      </w:pPr>
      <w:r>
        <w:rPr>
          <w:rFonts w:hint="eastAsia"/>
          <w:sz w:val="24"/>
          <w:szCs w:val="24"/>
        </w:rPr>
        <w:t>支持环境：</w:t>
      </w:r>
      <w:r>
        <w:rPr>
          <w:rFonts w:ascii="Segoe UI" w:hAnsi="Segoe UI" w:eastAsia="Segoe UI" w:cs="Segoe UI"/>
          <w:i w:val="0"/>
          <w:iCs w:val="0"/>
          <w:caps w:val="0"/>
          <w:spacing w:val="0"/>
          <w:sz w:val="24"/>
          <w:szCs w:val="24"/>
          <w:shd w:val="clear" w:fill="FFFFFF"/>
        </w:rPr>
        <w:t>Java 运行环境（JRE 1.8 及以上版本）</w:t>
      </w:r>
    </w:p>
    <w:p w14:paraId="0E465C13">
      <w:pPr>
        <w:rPr>
          <w:rFonts w:hint="eastAsia"/>
          <w:sz w:val="24"/>
          <w:szCs w:val="24"/>
        </w:rPr>
      </w:pPr>
      <w:r>
        <w:rPr>
          <w:rFonts w:hint="eastAsia"/>
          <w:sz w:val="24"/>
          <w:szCs w:val="24"/>
        </w:rPr>
        <w:t>数 据 库：</w:t>
      </w:r>
      <w:r>
        <w:rPr>
          <w:rFonts w:ascii="Segoe UI" w:hAnsi="Segoe UI" w:eastAsia="Segoe UI" w:cs="Segoe UI"/>
          <w:i w:val="0"/>
          <w:iCs w:val="0"/>
          <w:caps w:val="0"/>
          <w:spacing w:val="0"/>
          <w:sz w:val="24"/>
          <w:szCs w:val="24"/>
          <w:shd w:val="clear" w:fill="FFFFFF"/>
        </w:rPr>
        <w:t>MySQL 数据库</w:t>
      </w:r>
    </w:p>
    <w:p w14:paraId="62F4C2DC">
      <w:pPr>
        <w:pStyle w:val="3"/>
        <w:rPr>
          <w:rFonts w:hint="eastAsia" w:ascii="宋体" w:hAnsi="宋体"/>
          <w:sz w:val="24"/>
        </w:rPr>
      </w:pPr>
      <w:bookmarkStart w:id="16" w:name="_Toc506358930"/>
      <w:bookmarkStart w:id="17" w:name="_Toc32257"/>
      <w:r>
        <w:rPr>
          <w:rFonts w:hint="eastAsia"/>
        </w:rPr>
        <w:t>2.3条件与限制</w:t>
      </w:r>
      <w:bookmarkEnd w:id="16"/>
      <w:bookmarkEnd w:id="17"/>
    </w:p>
    <w:p w14:paraId="70E07CCF">
      <w:pPr>
        <w:spacing w:line="360" w:lineRule="auto"/>
        <w:rPr>
          <w:rFonts w:hint="eastAsia" w:ascii="宋体" w:hAnsi="宋体"/>
          <w:sz w:val="24"/>
        </w:rPr>
      </w:pPr>
      <w:r>
        <w:rPr>
          <w:rFonts w:hint="eastAsia" w:ascii="宋体" w:hAnsi="宋体"/>
          <w:sz w:val="24"/>
        </w:rPr>
        <w:t>岩心图像数据需符合行业扫描标准</w:t>
      </w:r>
    </w:p>
    <w:p w14:paraId="7FFC66E7">
      <w:pPr>
        <w:spacing w:line="360" w:lineRule="auto"/>
        <w:rPr>
          <w:rFonts w:hint="eastAsia" w:ascii="宋体" w:hAnsi="宋体"/>
          <w:sz w:val="24"/>
        </w:rPr>
      </w:pPr>
      <w:r>
        <w:rPr>
          <w:rFonts w:hint="eastAsia" w:ascii="宋体" w:hAnsi="宋体"/>
          <w:sz w:val="24"/>
        </w:rPr>
        <w:t>系统需支持100+并发用户访问</w:t>
      </w:r>
    </w:p>
    <w:p w14:paraId="0BAA60AB">
      <w:pPr>
        <w:spacing w:line="360" w:lineRule="auto"/>
        <w:rPr>
          <w:rFonts w:hint="eastAsia" w:ascii="宋体" w:hAnsi="宋体"/>
          <w:sz w:val="24"/>
        </w:rPr>
      </w:pPr>
      <w:r>
        <w:rPr>
          <w:rFonts w:hint="eastAsia" w:ascii="宋体" w:hAnsi="宋体"/>
          <w:sz w:val="24"/>
        </w:rPr>
        <w:t>三维恢复功能需在普通PC上10秒内完成局部重建</w:t>
      </w:r>
    </w:p>
    <w:p w14:paraId="5AD1F607">
      <w:pPr>
        <w:spacing w:line="360" w:lineRule="auto"/>
        <w:rPr>
          <w:rFonts w:hint="eastAsia" w:ascii="宋体" w:hAnsi="宋体"/>
          <w:sz w:val="24"/>
        </w:rPr>
      </w:pPr>
      <w:r>
        <w:rPr>
          <w:rFonts w:hint="eastAsia" w:ascii="宋体" w:hAnsi="宋体"/>
          <w:sz w:val="24"/>
        </w:rPr>
        <w:t>需兼容主流浏览器无需额外插件</w:t>
      </w:r>
    </w:p>
    <w:p w14:paraId="713856CE">
      <w:pPr>
        <w:pStyle w:val="2"/>
        <w:rPr>
          <w:rFonts w:hint="eastAsia"/>
        </w:rPr>
      </w:pPr>
      <w:bookmarkStart w:id="18" w:name="_Toc506358931"/>
      <w:bookmarkStart w:id="19" w:name="_Toc22738"/>
      <w:r>
        <w:rPr>
          <w:rFonts w:hint="eastAsia"/>
        </w:rPr>
        <w:t>3．数据描述</w:t>
      </w:r>
      <w:bookmarkEnd w:id="18"/>
      <w:bookmarkEnd w:id="19"/>
    </w:p>
    <w:p w14:paraId="085592D3">
      <w:pPr>
        <w:pStyle w:val="3"/>
        <w:rPr>
          <w:rFonts w:hint="eastAsia"/>
        </w:rPr>
      </w:pPr>
      <w:bookmarkStart w:id="20" w:name="_Toc506358932"/>
      <w:bookmarkStart w:id="21" w:name="_Toc20925"/>
      <w:r>
        <w:rPr>
          <w:rFonts w:hint="eastAsia"/>
        </w:rPr>
        <w:t>3.1静态数据</w:t>
      </w:r>
      <w:bookmarkEnd w:id="20"/>
      <w:bookmarkEnd w:id="21"/>
    </w:p>
    <w:p w14:paraId="0DF7867E">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宋体" w:hAnsi="宋体"/>
          <w:b w:val="0"/>
          <w:bCs w:val="0"/>
          <w:sz w:val="24"/>
          <w:lang w:val="en-US" w:eastAsia="zh-CN"/>
        </w:rPr>
      </w:pPr>
      <w:r>
        <w:rPr>
          <w:rFonts w:hint="default" w:ascii="宋体" w:hAnsi="宋体"/>
          <w:b/>
          <w:bCs/>
          <w:sz w:val="24"/>
          <w:lang w:val="en-US" w:eastAsia="zh-CN"/>
        </w:rPr>
        <w:t>3.1.1</w:t>
      </w:r>
      <w:r>
        <w:rPr>
          <w:rFonts w:hint="default" w:ascii="Segoe UI" w:hAnsi="Segoe UI" w:eastAsia="Segoe UI" w:cs="Segoe UI"/>
          <w:b/>
          <w:bCs/>
          <w:i w:val="0"/>
          <w:iCs w:val="0"/>
          <w:caps w:val="0"/>
          <w:color w:val="000000"/>
          <w:spacing w:val="0"/>
          <w:sz w:val="21"/>
          <w:szCs w:val="21"/>
          <w:shd w:val="clear" w:fill="FFFFFF"/>
        </w:rPr>
        <w:t>岩心基础属性数据</w:t>
      </w:r>
    </w:p>
    <w:p w14:paraId="72B7B815">
      <w:pPr>
        <w:spacing w:line="360" w:lineRule="auto"/>
        <w:ind w:firstLine="482" w:firstLineChars="200"/>
        <w:rPr>
          <w:rFonts w:hint="default" w:ascii="宋体" w:hAnsi="宋体"/>
          <w:b w:val="0"/>
          <w:bCs w:val="0"/>
          <w:sz w:val="24"/>
        </w:rPr>
      </w:pPr>
      <w:r>
        <w:rPr>
          <w:rFonts w:hint="default" w:ascii="宋体" w:hAnsi="宋体"/>
          <w:b/>
          <w:bCs/>
          <w:sz w:val="24"/>
        </w:rPr>
        <w:t>岩心标识：</w:t>
      </w:r>
      <w:r>
        <w:rPr>
          <w:rFonts w:hint="default" w:ascii="宋体" w:hAnsi="宋体"/>
          <w:b w:val="0"/>
          <w:bCs w:val="0"/>
          <w:sz w:val="24"/>
        </w:rPr>
        <w:t>系统赋予每块海底地质岩心独一无二的 10 位数字岩心 ID，如 “0000000001”，用于精准定位和关联岩心全部数据。</w:t>
      </w:r>
    </w:p>
    <w:p w14:paraId="43B7573D">
      <w:pPr>
        <w:spacing w:line="360" w:lineRule="auto"/>
        <w:ind w:firstLine="482" w:firstLineChars="200"/>
        <w:rPr>
          <w:rFonts w:hint="default" w:ascii="宋体" w:hAnsi="宋体"/>
          <w:b w:val="0"/>
          <w:bCs w:val="0"/>
          <w:sz w:val="24"/>
        </w:rPr>
      </w:pPr>
      <w:r>
        <w:rPr>
          <w:rFonts w:hint="default" w:ascii="宋体" w:hAnsi="宋体"/>
          <w:b/>
          <w:bCs/>
          <w:sz w:val="24"/>
        </w:rPr>
        <w:t>地理位置：</w:t>
      </w:r>
      <w:r>
        <w:rPr>
          <w:rFonts w:hint="default" w:ascii="宋体" w:hAnsi="宋体"/>
          <w:b w:val="0"/>
          <w:bCs w:val="0"/>
          <w:sz w:val="24"/>
        </w:rPr>
        <w:t>以不超 50 字符中文记录所属盆地名，像 “南海盆地”；层位精确到组段，约 30 字符，如 “珠江组一段”，为地质区域定位与地层对比提供关键信息。</w:t>
      </w:r>
    </w:p>
    <w:p w14:paraId="7043550B">
      <w:pPr>
        <w:spacing w:line="360" w:lineRule="auto"/>
        <w:ind w:firstLine="482" w:firstLineChars="200"/>
        <w:rPr>
          <w:rFonts w:hint="default" w:ascii="宋体" w:hAnsi="宋体"/>
          <w:b w:val="0"/>
          <w:bCs w:val="0"/>
          <w:sz w:val="24"/>
        </w:rPr>
      </w:pPr>
      <w:r>
        <w:rPr>
          <w:rFonts w:hint="default" w:ascii="宋体" w:hAnsi="宋体"/>
          <w:b/>
          <w:bCs/>
          <w:sz w:val="24"/>
        </w:rPr>
        <w:t>岩性特征：</w:t>
      </w:r>
      <w:r>
        <w:rPr>
          <w:rFonts w:hint="default" w:ascii="宋体" w:hAnsi="宋体"/>
          <w:b w:val="0"/>
          <w:bCs w:val="0"/>
          <w:sz w:val="24"/>
        </w:rPr>
        <w:t>用专业术语描述岩性，如 “细粒长石砂岩”，一般 30 字符左右，并补充岩石成分占比，如某砂岩中石英 60%、长石 30%、岩屑 10%，明确物质构成。</w:t>
      </w:r>
    </w:p>
    <w:p w14:paraId="5F10D72F">
      <w:pPr>
        <w:spacing w:line="360" w:lineRule="auto"/>
        <w:ind w:firstLine="482" w:firstLineChars="200"/>
        <w:rPr>
          <w:rFonts w:hint="default" w:ascii="宋体" w:hAnsi="宋体"/>
          <w:b w:val="0"/>
          <w:bCs w:val="0"/>
          <w:sz w:val="24"/>
        </w:rPr>
      </w:pPr>
      <w:r>
        <w:rPr>
          <w:rFonts w:hint="default" w:ascii="宋体" w:hAnsi="宋体"/>
          <w:b/>
          <w:bCs/>
          <w:sz w:val="24"/>
        </w:rPr>
        <w:t>沉积构造：</w:t>
      </w:r>
      <w:r>
        <w:rPr>
          <w:rFonts w:hint="default" w:ascii="宋体" w:hAnsi="宋体"/>
          <w:b w:val="0"/>
          <w:bCs w:val="0"/>
          <w:sz w:val="24"/>
        </w:rPr>
        <w:t>记录沉积构造类型，如 “水平层理”，约 20 字符，若有特殊构造则附加特征及形成环境说明，辅助理解岩心形成古地理环境。</w:t>
      </w:r>
    </w:p>
    <w:p w14:paraId="0F15DEB1">
      <w:pPr>
        <w:spacing w:line="360" w:lineRule="auto"/>
        <w:ind w:firstLine="482" w:firstLineChars="200"/>
        <w:rPr>
          <w:rFonts w:hint="default" w:ascii="宋体" w:hAnsi="宋体"/>
          <w:b/>
          <w:bCs/>
          <w:sz w:val="24"/>
        </w:rPr>
      </w:pPr>
      <w:r>
        <w:rPr>
          <w:rFonts w:hint="default" w:ascii="宋体" w:hAnsi="宋体"/>
          <w:b/>
          <w:bCs/>
          <w:sz w:val="24"/>
        </w:rPr>
        <w:t>3.1.2 分析标准与参考数据</w:t>
      </w:r>
    </w:p>
    <w:p w14:paraId="7046D507">
      <w:pPr>
        <w:spacing w:line="360" w:lineRule="auto"/>
        <w:ind w:firstLine="482" w:firstLineChars="200"/>
        <w:rPr>
          <w:rFonts w:hint="default" w:ascii="宋体" w:hAnsi="宋体"/>
          <w:b w:val="0"/>
          <w:bCs w:val="0"/>
          <w:sz w:val="24"/>
        </w:rPr>
      </w:pPr>
      <w:r>
        <w:rPr>
          <w:rFonts w:hint="default" w:ascii="宋体" w:hAnsi="宋体"/>
          <w:b/>
          <w:bCs/>
          <w:sz w:val="24"/>
        </w:rPr>
        <w:t>粒度分析标准：</w:t>
      </w:r>
      <w:r>
        <w:rPr>
          <w:rFonts w:hint="default" w:ascii="宋体" w:hAnsi="宋体"/>
          <w:b w:val="0"/>
          <w:bCs w:val="0"/>
          <w:sz w:val="24"/>
        </w:rPr>
        <w:t>针对不同岩性预设粒度划分标准，如碎屑岩中，砾石大于 2 毫米，粗砂 0.5 - 2 毫米，中砂 0.25 - 0.5 毫米，细砂 0.1 - 0.25 毫米，粉砂 0.005 - 0.1 毫米，黏土小于 0.005 毫米，以结构化数据存储，方便粒度分析比对计算。</w:t>
      </w:r>
    </w:p>
    <w:p w14:paraId="6C011CFD">
      <w:pPr>
        <w:spacing w:line="360" w:lineRule="auto"/>
        <w:ind w:firstLine="482" w:firstLineChars="200"/>
        <w:rPr>
          <w:rFonts w:hint="default" w:ascii="宋体" w:hAnsi="宋体"/>
          <w:b w:val="0"/>
          <w:bCs w:val="0"/>
          <w:sz w:val="24"/>
        </w:rPr>
      </w:pPr>
      <w:r>
        <w:rPr>
          <w:rFonts w:hint="default" w:ascii="宋体" w:hAnsi="宋体"/>
          <w:b/>
          <w:bCs/>
          <w:sz w:val="24"/>
        </w:rPr>
        <w:t>裂缝特征分级标准：</w:t>
      </w:r>
      <w:r>
        <w:rPr>
          <w:rFonts w:hint="default" w:ascii="宋体" w:hAnsi="宋体"/>
          <w:b w:val="0"/>
          <w:bCs w:val="0"/>
          <w:sz w:val="24"/>
        </w:rPr>
        <w:t>裂缝宽度分极细（＜0.1 毫米）、细（0.1 - 1 毫米）、中（1 - 5 毫米）、宽（＞5 毫米）四级；密度按每平方米裂缝数分低密度（＜10 条）、中密度（10 - 50 条）、高密度（＞50 条）三级，以表格存于数据库，便于调用更新。</w:t>
      </w:r>
    </w:p>
    <w:p w14:paraId="01DC695C">
      <w:pPr>
        <w:spacing w:line="360" w:lineRule="auto"/>
        <w:ind w:firstLine="482" w:firstLineChars="200"/>
        <w:rPr>
          <w:rFonts w:hint="eastAsia"/>
        </w:rPr>
      </w:pPr>
      <w:r>
        <w:rPr>
          <w:rFonts w:hint="default" w:ascii="宋体" w:hAnsi="宋体"/>
          <w:b/>
          <w:bCs/>
          <w:sz w:val="24"/>
        </w:rPr>
        <w:t>地质行业通用参考数据：</w:t>
      </w:r>
      <w:r>
        <w:rPr>
          <w:rFonts w:hint="default" w:ascii="宋体" w:hAnsi="宋体"/>
          <w:b w:val="0"/>
          <w:bCs w:val="0"/>
          <w:sz w:val="24"/>
        </w:rPr>
        <w:t>存储不同岩性孔隙度、渗透率参考范围，如砂岩孔隙度 5% - 30%、渗透率 0.1 - 1000 毫达西；页岩孔隙度 1% - 10%、渗透率＜0.1 毫达西。数据源于权威报告与标准，以文本和数值结合存储，定期依最新研究成果更新，供用户对比实际测量数据。</w:t>
      </w:r>
    </w:p>
    <w:p w14:paraId="6E9A13F3">
      <w:pPr>
        <w:pStyle w:val="3"/>
        <w:rPr>
          <w:rFonts w:hint="eastAsia"/>
        </w:rPr>
      </w:pPr>
      <w:bookmarkStart w:id="22" w:name="_Toc506358933"/>
      <w:bookmarkStart w:id="23" w:name="_Toc7763"/>
      <w:r>
        <w:rPr>
          <w:rFonts w:hint="eastAsia"/>
        </w:rPr>
        <w:t>3.2动态数据</w:t>
      </w:r>
      <w:bookmarkEnd w:id="22"/>
      <w:bookmarkEnd w:id="23"/>
    </w:p>
    <w:p w14:paraId="26DB8160">
      <w:pPr>
        <w:spacing w:line="360" w:lineRule="auto"/>
        <w:ind w:firstLine="482" w:firstLineChars="200"/>
        <w:rPr>
          <w:rFonts w:hint="default" w:ascii="宋体" w:hAnsi="宋体"/>
          <w:b/>
          <w:bCs/>
          <w:sz w:val="24"/>
          <w:lang w:val="en-US" w:eastAsia="zh-CN"/>
        </w:rPr>
      </w:pPr>
      <w:bookmarkStart w:id="24" w:name="_Toc506358934"/>
      <w:r>
        <w:rPr>
          <w:rFonts w:hint="eastAsia" w:ascii="宋体" w:hAnsi="宋体"/>
          <w:b/>
          <w:bCs/>
          <w:sz w:val="24"/>
          <w:lang w:val="en-US" w:eastAsia="zh-CN"/>
        </w:rPr>
        <w:t>3.2.1输入数据</w:t>
      </w:r>
    </w:p>
    <w:p w14:paraId="3E909108">
      <w:pPr>
        <w:spacing w:line="360" w:lineRule="auto"/>
        <w:ind w:firstLine="482" w:firstLineChars="200"/>
        <w:rPr>
          <w:rFonts w:hint="eastAsia" w:ascii="宋体" w:hAnsi="宋体"/>
          <w:b/>
          <w:bCs/>
          <w:sz w:val="24"/>
          <w:lang w:val="en-US" w:eastAsia="zh-CN"/>
        </w:rPr>
      </w:pPr>
      <w:r>
        <w:rPr>
          <w:rFonts w:hint="eastAsia" w:ascii="宋体" w:hAnsi="宋体"/>
          <w:b/>
          <w:bCs/>
          <w:sz w:val="24"/>
        </w:rPr>
        <w:t>用户操作指令数据</w:t>
      </w:r>
      <w:r>
        <w:rPr>
          <w:rFonts w:hint="default" w:ascii="宋体" w:hAnsi="宋体"/>
          <w:b/>
          <w:bCs/>
          <w:sz w:val="24"/>
        </w:rPr>
        <w:t>：</w:t>
      </w:r>
      <w:r>
        <w:rPr>
          <w:rFonts w:hint="default" w:ascii="宋体" w:hAnsi="宋体"/>
          <w:sz w:val="24"/>
        </w:rPr>
        <w:t>用户在使用系统过程中产生的各类操作指令，包括登录系统时输入的账号（由 6 - 20 位字母、数字组合而成）与密码（8 - 20 位包含字母、数字、特殊字符的组合）；在岩心数据查询界面输入的查询条件，如岩心 ID、盆地名称、层位、岩性等，以文本或数值形式实时记录；在进行岩心分析任务时，用户选择的分析参数设置，如孔洞分析中设定的最小孔洞面积筛选值、粒度分析中选择的粒度测量方法等，均以结构化数据形式记录，用于系统执行相应操作及分析流程。</w:t>
      </w:r>
    </w:p>
    <w:p w14:paraId="28A329EE">
      <w:pPr>
        <w:spacing w:line="360" w:lineRule="auto"/>
        <w:ind w:firstLine="482" w:firstLineChars="200"/>
        <w:rPr>
          <w:rFonts w:hint="default" w:ascii="宋体" w:hAnsi="宋体"/>
          <w:sz w:val="24"/>
        </w:rPr>
      </w:pPr>
      <w:r>
        <w:rPr>
          <w:rFonts w:hint="default" w:ascii="宋体" w:hAnsi="宋体"/>
          <w:b/>
          <w:bCs/>
          <w:sz w:val="24"/>
        </w:rPr>
        <w:t>岩心图像上传数据：</w:t>
      </w:r>
      <w:r>
        <w:rPr>
          <w:rFonts w:hint="default" w:ascii="宋体" w:hAnsi="宋体"/>
          <w:sz w:val="24"/>
        </w:rPr>
        <w:t>当有新的海底地质岩心图像需要纳入系统时，用户可通过系统提供的上传功能提交图像文件。图像文件格式支持 JPEG、PNG、TIFF 等常见格式，图像分辨率要求不低于 300dpi，以确保能够清晰展现岩心细微特征。上传的图像文件会被自动命名，命名规则结合岩心 ID 与上传时间</w:t>
      </w:r>
      <w:r>
        <w:rPr>
          <w:rFonts w:hint="eastAsia" w:ascii="宋体" w:hAnsi="宋体"/>
          <w:sz w:val="24"/>
          <w:lang w:eastAsia="zh-CN"/>
        </w:rPr>
        <w:t>，</w:t>
      </w:r>
      <w:r>
        <w:rPr>
          <w:rFonts w:hint="default" w:ascii="宋体" w:hAnsi="宋体"/>
          <w:sz w:val="24"/>
        </w:rPr>
        <w:t>并存储至指定的服务器存储路径下，同时在数据库的岩心图像表中记录图像文件名、存储路径、上传时间、上传用户等相关信息。</w:t>
      </w:r>
    </w:p>
    <w:p w14:paraId="0C9AE2A8">
      <w:pPr>
        <w:spacing w:line="360" w:lineRule="auto"/>
        <w:ind w:firstLine="482" w:firstLineChars="200"/>
        <w:rPr>
          <w:rFonts w:hint="eastAsia" w:ascii="宋体" w:hAnsi="宋体"/>
          <w:b/>
          <w:bCs/>
          <w:sz w:val="24"/>
        </w:rPr>
      </w:pPr>
      <w:r>
        <w:rPr>
          <w:rFonts w:hint="eastAsia" w:ascii="宋体" w:hAnsi="宋体"/>
          <w:b/>
          <w:bCs/>
          <w:sz w:val="24"/>
        </w:rPr>
        <w:t>3.2.2 输出数据</w:t>
      </w:r>
    </w:p>
    <w:p w14:paraId="1BE28EF1">
      <w:pPr>
        <w:spacing w:line="360" w:lineRule="auto"/>
        <w:ind w:firstLine="482" w:firstLineChars="200"/>
        <w:rPr>
          <w:rFonts w:hint="default" w:ascii="宋体" w:hAnsi="宋体" w:eastAsia="宋体"/>
          <w:b/>
          <w:bCs/>
          <w:sz w:val="24"/>
          <w:lang w:val="en-US" w:eastAsia="zh-CN"/>
        </w:rPr>
      </w:pPr>
      <w:r>
        <w:rPr>
          <w:rFonts w:hint="eastAsia" w:ascii="宋体" w:hAnsi="宋体"/>
          <w:b/>
          <w:bCs/>
          <w:sz w:val="24"/>
          <w:lang w:val="en-US" w:eastAsia="zh-CN"/>
        </w:rPr>
        <w:t>岩心分析结果：</w:t>
      </w:r>
    </w:p>
    <w:p w14:paraId="74700F4F">
      <w:pPr>
        <w:spacing w:line="360" w:lineRule="auto"/>
        <w:ind w:firstLine="482" w:firstLineChars="200"/>
        <w:rPr>
          <w:rFonts w:hint="eastAsia" w:ascii="宋体" w:hAnsi="宋体"/>
          <w:sz w:val="24"/>
        </w:rPr>
      </w:pPr>
      <w:r>
        <w:rPr>
          <w:rFonts w:hint="eastAsia" w:ascii="宋体" w:hAnsi="宋体"/>
          <w:b/>
          <w:bCs/>
          <w:sz w:val="24"/>
        </w:rPr>
        <w:t>孔洞分析：</w:t>
      </w:r>
      <w:r>
        <w:rPr>
          <w:rFonts w:hint="eastAsia" w:ascii="宋体" w:hAnsi="宋体"/>
          <w:sz w:val="24"/>
        </w:rPr>
        <w:t>输出孔洞面积（平方毫米，精确到 0.01）、周长（毫米，精确到 0.1）、等效直径（毫米，精确到 0.01）、数量（整数），以坐标数据和可视化图表展示分布。</w:t>
      </w:r>
    </w:p>
    <w:p w14:paraId="6ACB4EF6">
      <w:pPr>
        <w:spacing w:line="360" w:lineRule="auto"/>
        <w:ind w:firstLine="482" w:firstLineChars="200"/>
        <w:rPr>
          <w:rFonts w:hint="eastAsia" w:ascii="宋体" w:hAnsi="宋体"/>
          <w:sz w:val="24"/>
        </w:rPr>
      </w:pPr>
      <w:r>
        <w:rPr>
          <w:rFonts w:hint="eastAsia" w:ascii="宋体" w:hAnsi="宋体"/>
          <w:b/>
          <w:bCs/>
          <w:sz w:val="24"/>
        </w:rPr>
        <w:t>粒度分析：</w:t>
      </w:r>
      <w:r>
        <w:rPr>
          <w:rFonts w:hint="eastAsia" w:ascii="宋体" w:hAnsi="宋体"/>
          <w:sz w:val="24"/>
        </w:rPr>
        <w:t>给出粒度测量值（毫米，依实际精度）、不同粒径占比（百分比，精确到 0.1%），以二维图表呈现粒度分布曲线，输出粒度中值（毫米，精确到 0.01）、分选系数（精确到 0.01）。</w:t>
      </w:r>
    </w:p>
    <w:p w14:paraId="293E85CE">
      <w:pPr>
        <w:spacing w:line="360" w:lineRule="auto"/>
        <w:ind w:firstLine="482" w:firstLineChars="200"/>
        <w:rPr>
          <w:rFonts w:hint="eastAsia" w:ascii="宋体" w:hAnsi="宋体"/>
          <w:sz w:val="24"/>
        </w:rPr>
      </w:pPr>
      <w:r>
        <w:rPr>
          <w:rFonts w:hint="eastAsia" w:ascii="宋体" w:hAnsi="宋体"/>
          <w:b/>
          <w:bCs/>
          <w:sz w:val="24"/>
        </w:rPr>
        <w:t>裂缝分析：</w:t>
      </w:r>
      <w:r>
        <w:rPr>
          <w:rFonts w:hint="eastAsia" w:ascii="宋体" w:hAnsi="宋体"/>
          <w:sz w:val="24"/>
        </w:rPr>
        <w:t>呈现裂缝长度（毫米，整数）、宽度（毫米，精确到 0.01）、方向（度，整数）、密度（毫米 / 平方厘米或条 / 平方厘米，依单位设精度），用三维模型或二维拓扑图展示网络结构，输出分形维数（精确到 0.01）评估复杂程度。</w:t>
      </w:r>
    </w:p>
    <w:p w14:paraId="297E3296">
      <w:pPr>
        <w:spacing w:line="360" w:lineRule="auto"/>
        <w:ind w:firstLine="482" w:firstLineChars="200"/>
        <w:rPr>
          <w:rFonts w:hint="eastAsia" w:ascii="宋体" w:hAnsi="宋体" w:eastAsia="宋体"/>
          <w:sz w:val="24"/>
          <w:lang w:eastAsia="zh-CN"/>
        </w:rPr>
      </w:pPr>
      <w:r>
        <w:rPr>
          <w:rFonts w:hint="eastAsia" w:ascii="宋体" w:hAnsi="宋体"/>
          <w:b/>
          <w:bCs/>
          <w:sz w:val="24"/>
        </w:rPr>
        <w:t>用户操作反馈：</w:t>
      </w:r>
      <w:r>
        <w:rPr>
          <w:rFonts w:hint="eastAsia" w:ascii="宋体" w:hAnsi="宋体"/>
          <w:sz w:val="24"/>
        </w:rPr>
        <w:t>以弹窗或页面提示呈现登录、查询、分析任务等操作的反馈，如登录成功与否、查询有无结果、分析任务完成及查看结果链接，让用户知晓操作状态。</w:t>
      </w:r>
    </w:p>
    <w:p w14:paraId="1364BA81">
      <w:pPr>
        <w:pStyle w:val="3"/>
        <w:rPr>
          <w:rFonts w:hint="eastAsia"/>
        </w:rPr>
      </w:pPr>
      <w:bookmarkStart w:id="25" w:name="_Toc22592"/>
      <w:r>
        <w:rPr>
          <w:rFonts w:hint="eastAsia"/>
        </w:rPr>
        <w:t>3.3数据库介绍</w:t>
      </w:r>
      <w:bookmarkEnd w:id="24"/>
      <w:bookmarkEnd w:id="25"/>
    </w:p>
    <w:p w14:paraId="7786060C">
      <w:pPr>
        <w:spacing w:line="360" w:lineRule="auto"/>
        <w:ind w:firstLine="480" w:firstLineChars="200"/>
        <w:rPr>
          <w:rFonts w:hint="eastAsia" w:ascii="宋体" w:hAnsi="宋体"/>
          <w:sz w:val="24"/>
        </w:rPr>
      </w:pPr>
      <w:r>
        <w:rPr>
          <w:rFonts w:hint="eastAsia" w:ascii="宋体" w:hAnsi="宋体"/>
          <w:sz w:val="24"/>
        </w:rPr>
        <w:t xml:space="preserve">本系统选用MySQL关系型数据库，其开源、高效、稳定，契合系统数据管理需求。 </w:t>
      </w:r>
    </w:p>
    <w:p w14:paraId="12A8A723">
      <w:pPr>
        <w:spacing w:line="360" w:lineRule="auto"/>
        <w:ind w:firstLine="241" w:firstLineChars="100"/>
        <w:rPr>
          <w:rFonts w:hint="eastAsia" w:ascii="宋体" w:hAnsi="宋体"/>
          <w:b/>
          <w:bCs/>
          <w:sz w:val="24"/>
        </w:rPr>
      </w:pPr>
      <w:r>
        <w:rPr>
          <w:rFonts w:hint="eastAsia" w:ascii="宋体" w:hAnsi="宋体"/>
          <w:b/>
          <w:bCs/>
          <w:sz w:val="24"/>
        </w:rPr>
        <w:t>数据库表结构</w:t>
      </w:r>
    </w:p>
    <w:p w14:paraId="72935358">
      <w:pPr>
        <w:spacing w:line="360" w:lineRule="auto"/>
        <w:rPr>
          <w:rFonts w:hint="eastAsia" w:ascii="宋体" w:hAnsi="宋体"/>
          <w:b/>
          <w:bCs/>
          <w:sz w:val="24"/>
        </w:rPr>
      </w:pPr>
      <w:r>
        <w:rPr>
          <w:rFonts w:hint="default" w:ascii="宋体" w:hAnsi="宋体"/>
          <w:b/>
          <w:bCs/>
          <w:sz w:val="24"/>
        </w:rPr>
        <w:t>岩心基本信息表（core_info）</w:t>
      </w:r>
    </w:p>
    <w:p w14:paraId="1766853B">
      <w:pPr>
        <w:spacing w:line="360" w:lineRule="auto"/>
        <w:ind w:firstLine="480" w:firstLineChars="200"/>
        <w:rPr>
          <w:rFonts w:hint="eastAsia" w:ascii="宋体" w:hAnsi="宋体"/>
          <w:sz w:val="24"/>
        </w:rPr>
      </w:pPr>
      <w:r>
        <w:rPr>
          <w:rFonts w:hint="default" w:ascii="宋体" w:hAnsi="宋体"/>
          <w:sz w:val="24"/>
        </w:rPr>
        <w:t>core_id：自增整数主键，唯一标识岩心。</w:t>
      </w:r>
    </w:p>
    <w:p w14:paraId="0874F82C">
      <w:pPr>
        <w:spacing w:line="360" w:lineRule="auto"/>
        <w:ind w:firstLine="480" w:firstLineChars="200"/>
        <w:rPr>
          <w:rFonts w:hint="eastAsia" w:ascii="宋体" w:hAnsi="宋体"/>
          <w:sz w:val="24"/>
        </w:rPr>
      </w:pPr>
      <w:r>
        <w:rPr>
          <w:rFonts w:hint="default" w:ascii="宋体" w:hAnsi="宋体"/>
          <w:sz w:val="24"/>
        </w:rPr>
        <w:t>basin_name：VARCHAR (50)，记录所属盆地名称。</w:t>
      </w:r>
    </w:p>
    <w:p w14:paraId="072A2290">
      <w:pPr>
        <w:spacing w:line="360" w:lineRule="auto"/>
        <w:ind w:firstLine="480" w:firstLineChars="200"/>
        <w:rPr>
          <w:rFonts w:hint="eastAsia" w:ascii="宋体" w:hAnsi="宋体"/>
          <w:sz w:val="24"/>
        </w:rPr>
      </w:pPr>
      <w:r>
        <w:rPr>
          <w:rFonts w:hint="default" w:ascii="宋体" w:hAnsi="宋体"/>
          <w:sz w:val="24"/>
        </w:rPr>
        <w:t>stratum：VARCHAR (30)，标注地层信息。</w:t>
      </w:r>
    </w:p>
    <w:p w14:paraId="0CC21893">
      <w:pPr>
        <w:spacing w:line="360" w:lineRule="auto"/>
        <w:ind w:firstLine="480" w:firstLineChars="200"/>
        <w:rPr>
          <w:rFonts w:hint="eastAsia" w:ascii="宋体" w:hAnsi="宋体"/>
          <w:sz w:val="24"/>
        </w:rPr>
      </w:pPr>
      <w:r>
        <w:rPr>
          <w:rFonts w:hint="default" w:ascii="宋体" w:hAnsi="宋体"/>
          <w:sz w:val="24"/>
        </w:rPr>
        <w:t>lithology：VARCHAR (30)，描述岩性。</w:t>
      </w:r>
    </w:p>
    <w:p w14:paraId="1FAD0845">
      <w:pPr>
        <w:spacing w:line="360" w:lineRule="auto"/>
        <w:ind w:firstLine="480" w:firstLineChars="200"/>
        <w:rPr>
          <w:rFonts w:hint="eastAsia" w:ascii="宋体" w:hAnsi="宋体"/>
          <w:sz w:val="24"/>
        </w:rPr>
      </w:pPr>
      <w:r>
        <w:rPr>
          <w:rFonts w:hint="default" w:ascii="宋体" w:hAnsi="宋体"/>
          <w:sz w:val="24"/>
        </w:rPr>
        <w:t>sedimentary_structure：VARCHAR (20)，记录沉积构造。</w:t>
      </w:r>
    </w:p>
    <w:p w14:paraId="55F8F97B">
      <w:pPr>
        <w:spacing w:line="360" w:lineRule="auto"/>
        <w:rPr>
          <w:rFonts w:hint="default" w:ascii="宋体" w:hAnsi="宋体"/>
          <w:b/>
          <w:bCs/>
          <w:sz w:val="24"/>
        </w:rPr>
      </w:pPr>
      <w:r>
        <w:rPr>
          <w:rFonts w:hint="default" w:ascii="宋体" w:hAnsi="宋体"/>
          <w:b/>
          <w:bCs/>
          <w:sz w:val="24"/>
        </w:rPr>
        <w:t>岩心图像表（core_image）</w:t>
      </w:r>
    </w:p>
    <w:p w14:paraId="110959C3">
      <w:pPr>
        <w:spacing w:line="360" w:lineRule="auto"/>
        <w:ind w:firstLine="480" w:firstLineChars="200"/>
        <w:rPr>
          <w:rFonts w:hint="eastAsia" w:ascii="宋体" w:hAnsi="宋体"/>
          <w:sz w:val="24"/>
        </w:rPr>
      </w:pPr>
      <w:r>
        <w:rPr>
          <w:rFonts w:hint="default" w:ascii="宋体" w:hAnsi="宋体"/>
          <w:sz w:val="24"/>
        </w:rPr>
        <w:t>image_id：自增整数主键。</w:t>
      </w:r>
    </w:p>
    <w:p w14:paraId="7A5DBEB2">
      <w:pPr>
        <w:spacing w:line="360" w:lineRule="auto"/>
        <w:ind w:firstLine="480" w:firstLineChars="200"/>
        <w:rPr>
          <w:rFonts w:hint="eastAsia" w:ascii="宋体" w:hAnsi="宋体"/>
          <w:sz w:val="24"/>
        </w:rPr>
      </w:pPr>
      <w:r>
        <w:rPr>
          <w:rFonts w:hint="default" w:ascii="宋体" w:hAnsi="宋体"/>
          <w:sz w:val="24"/>
        </w:rPr>
        <w:t>core_id：关联岩心表的外键。</w:t>
      </w:r>
    </w:p>
    <w:p w14:paraId="054657DC">
      <w:pPr>
        <w:spacing w:line="360" w:lineRule="auto"/>
        <w:ind w:firstLine="480" w:firstLineChars="200"/>
        <w:rPr>
          <w:rFonts w:hint="eastAsia" w:ascii="宋体" w:hAnsi="宋体"/>
          <w:sz w:val="24"/>
        </w:rPr>
      </w:pPr>
      <w:r>
        <w:rPr>
          <w:rFonts w:hint="default" w:ascii="宋体" w:hAnsi="宋体"/>
          <w:sz w:val="24"/>
        </w:rPr>
        <w:t>image_path：VARCHAR (255)，存图像存储路径。</w:t>
      </w:r>
    </w:p>
    <w:p w14:paraId="6DBDCF05">
      <w:pPr>
        <w:spacing w:line="360" w:lineRule="auto"/>
        <w:ind w:firstLine="480" w:firstLineChars="200"/>
        <w:rPr>
          <w:rFonts w:hint="eastAsia" w:ascii="宋体" w:hAnsi="宋体"/>
          <w:sz w:val="24"/>
        </w:rPr>
      </w:pPr>
      <w:r>
        <w:rPr>
          <w:rFonts w:hint="default" w:ascii="宋体" w:hAnsi="宋体"/>
          <w:sz w:val="24"/>
        </w:rPr>
        <w:t>upload_time：DATETIME，记录上传时间。</w:t>
      </w:r>
    </w:p>
    <w:p w14:paraId="72FC4F2F">
      <w:pPr>
        <w:spacing w:line="360" w:lineRule="auto"/>
        <w:rPr>
          <w:rFonts w:hint="default" w:ascii="宋体" w:hAnsi="宋体"/>
          <w:b/>
          <w:bCs/>
          <w:sz w:val="24"/>
        </w:rPr>
      </w:pPr>
      <w:r>
        <w:rPr>
          <w:rFonts w:hint="default" w:ascii="宋体" w:hAnsi="宋体"/>
          <w:b/>
          <w:bCs/>
          <w:sz w:val="24"/>
        </w:rPr>
        <w:t>分析结果表（analysis_result）</w:t>
      </w:r>
    </w:p>
    <w:p w14:paraId="1BAA193C">
      <w:pPr>
        <w:spacing w:line="360" w:lineRule="auto"/>
        <w:ind w:firstLine="480" w:firstLineChars="200"/>
        <w:rPr>
          <w:rFonts w:hint="eastAsia" w:ascii="宋体" w:hAnsi="宋体"/>
          <w:sz w:val="24"/>
        </w:rPr>
      </w:pPr>
      <w:r>
        <w:rPr>
          <w:rFonts w:hint="default" w:ascii="宋体" w:hAnsi="宋体"/>
          <w:sz w:val="24"/>
        </w:rPr>
        <w:t>result_id：自增整数主键。</w:t>
      </w:r>
    </w:p>
    <w:p w14:paraId="77F69D5A">
      <w:pPr>
        <w:spacing w:line="360" w:lineRule="auto"/>
        <w:ind w:firstLine="480" w:firstLineChars="200"/>
        <w:rPr>
          <w:rFonts w:hint="eastAsia" w:ascii="宋体" w:hAnsi="宋体"/>
          <w:sz w:val="24"/>
        </w:rPr>
      </w:pPr>
      <w:r>
        <w:rPr>
          <w:rFonts w:hint="default" w:ascii="宋体" w:hAnsi="宋体"/>
          <w:sz w:val="24"/>
        </w:rPr>
        <w:t>core_id：关联岩心表外键。</w:t>
      </w:r>
    </w:p>
    <w:p w14:paraId="19A438E9">
      <w:pPr>
        <w:spacing w:line="360" w:lineRule="auto"/>
        <w:ind w:firstLine="480" w:firstLineChars="200"/>
        <w:rPr>
          <w:rFonts w:hint="eastAsia" w:ascii="宋体" w:hAnsi="宋体"/>
          <w:sz w:val="24"/>
        </w:rPr>
      </w:pPr>
      <w:r>
        <w:rPr>
          <w:rFonts w:hint="default" w:ascii="宋体" w:hAnsi="宋体"/>
          <w:sz w:val="24"/>
        </w:rPr>
        <w:t>analysis_type：VARCHAR (20)，区分分析类型。</w:t>
      </w:r>
    </w:p>
    <w:p w14:paraId="731432C4">
      <w:pPr>
        <w:spacing w:line="360" w:lineRule="auto"/>
        <w:ind w:firstLine="480" w:firstLineChars="200"/>
        <w:rPr>
          <w:rFonts w:hint="eastAsia" w:ascii="宋体" w:hAnsi="宋体" w:eastAsia="宋体"/>
          <w:b/>
          <w:bCs/>
          <w:sz w:val="24"/>
          <w:lang w:eastAsia="zh-CN"/>
        </w:rPr>
      </w:pPr>
      <w:r>
        <w:rPr>
          <w:rFonts w:hint="default" w:ascii="宋体" w:hAnsi="宋体"/>
          <w:sz w:val="24"/>
        </w:rPr>
        <w:t>依分析类型设对应结果字段，如孔洞面积、粒度中值等，用 FLOAT 等类型存储</w:t>
      </w:r>
      <w:r>
        <w:rPr>
          <w:rFonts w:hint="eastAsia" w:ascii="宋体" w:hAnsi="宋体"/>
          <w:sz w:val="24"/>
          <w:lang w:eastAsia="zh-CN"/>
        </w:rPr>
        <w:t>。</w:t>
      </w:r>
    </w:p>
    <w:p w14:paraId="5BCD5F74">
      <w:pPr>
        <w:spacing w:line="360" w:lineRule="auto"/>
        <w:rPr>
          <w:rFonts w:hint="default" w:ascii="宋体" w:hAnsi="宋体"/>
          <w:b/>
          <w:bCs/>
          <w:sz w:val="24"/>
        </w:rPr>
      </w:pPr>
      <w:r>
        <w:rPr>
          <w:rFonts w:hint="default" w:ascii="宋体" w:hAnsi="宋体"/>
          <w:b/>
          <w:bCs/>
          <w:sz w:val="24"/>
        </w:rPr>
        <w:t>用户信息表（user_info）</w:t>
      </w:r>
    </w:p>
    <w:p w14:paraId="7DC53DB3">
      <w:pPr>
        <w:spacing w:line="360" w:lineRule="auto"/>
        <w:ind w:firstLine="480" w:firstLineChars="200"/>
        <w:rPr>
          <w:rFonts w:hint="eastAsia" w:ascii="宋体" w:hAnsi="宋体"/>
          <w:sz w:val="24"/>
        </w:rPr>
      </w:pPr>
      <w:r>
        <w:rPr>
          <w:rFonts w:hint="default" w:ascii="宋体" w:hAnsi="宋体"/>
          <w:sz w:val="24"/>
        </w:rPr>
        <w:t>user_id：自增整数主键。</w:t>
      </w:r>
    </w:p>
    <w:p w14:paraId="6C7808DF">
      <w:pPr>
        <w:spacing w:line="360" w:lineRule="auto"/>
        <w:ind w:firstLine="480" w:firstLineChars="200"/>
        <w:rPr>
          <w:rFonts w:hint="eastAsia" w:ascii="宋体" w:hAnsi="宋体"/>
          <w:sz w:val="24"/>
        </w:rPr>
      </w:pPr>
      <w:r>
        <w:rPr>
          <w:rFonts w:hint="default" w:ascii="宋体" w:hAnsi="宋体"/>
          <w:sz w:val="24"/>
        </w:rPr>
        <w:t>username：VARCHAR (20)，唯一登录账号。</w:t>
      </w:r>
    </w:p>
    <w:p w14:paraId="111CDFEC">
      <w:pPr>
        <w:spacing w:line="360" w:lineRule="auto"/>
        <w:ind w:firstLine="480" w:firstLineChars="200"/>
        <w:rPr>
          <w:rFonts w:hint="eastAsia" w:ascii="宋体" w:hAnsi="宋体"/>
          <w:sz w:val="24"/>
        </w:rPr>
      </w:pPr>
      <w:r>
        <w:rPr>
          <w:rFonts w:hint="default" w:ascii="宋体" w:hAnsi="宋体"/>
          <w:sz w:val="24"/>
        </w:rPr>
        <w:t>password：VARCHAR (255)，加密密码。</w:t>
      </w:r>
    </w:p>
    <w:p w14:paraId="62B50BC7">
      <w:pPr>
        <w:spacing w:line="360" w:lineRule="auto"/>
        <w:ind w:firstLine="480" w:firstLineChars="200"/>
        <w:rPr>
          <w:rFonts w:hint="eastAsia" w:ascii="宋体" w:hAnsi="宋体"/>
          <w:sz w:val="24"/>
        </w:rPr>
      </w:pPr>
      <w:r>
        <w:rPr>
          <w:rFonts w:hint="default" w:ascii="宋体" w:hAnsi="宋体"/>
          <w:sz w:val="24"/>
        </w:rPr>
        <w:t>user_role：INT，区分用户角色（1 普通、2 教师、3 管理员）。</w:t>
      </w:r>
    </w:p>
    <w:p w14:paraId="6F680A36">
      <w:pPr>
        <w:spacing w:line="360" w:lineRule="auto"/>
        <w:rPr>
          <w:rFonts w:hint="default" w:ascii="宋体" w:hAnsi="宋体"/>
          <w:b/>
          <w:bCs/>
          <w:sz w:val="24"/>
        </w:rPr>
      </w:pPr>
      <w:r>
        <w:rPr>
          <w:rFonts w:hint="default" w:ascii="宋体" w:hAnsi="宋体"/>
          <w:b/>
          <w:bCs/>
          <w:sz w:val="24"/>
        </w:rPr>
        <w:t>数据库索引</w:t>
      </w:r>
    </w:p>
    <w:p w14:paraId="31211A09">
      <w:pPr>
        <w:spacing w:line="360" w:lineRule="auto"/>
        <w:ind w:firstLine="480" w:firstLineChars="200"/>
        <w:rPr>
          <w:rFonts w:hint="default" w:ascii="宋体" w:hAnsi="宋体"/>
          <w:sz w:val="24"/>
        </w:rPr>
      </w:pPr>
      <w:r>
        <w:rPr>
          <w:rFonts w:hint="default" w:ascii="宋体" w:hAnsi="宋体"/>
          <w:sz w:val="24"/>
          <w:lang w:val="en-US" w:eastAsia="zh-CN"/>
        </w:rPr>
        <w:t>对岩心基本信息表的 core_id、basin_name、stratum，岩心图像表的 core_id，分析结果表的 core_id 和 analysis_type，用户信息表的 username 字段建索引，提升查询效率，username 设唯一索引。</w:t>
      </w:r>
    </w:p>
    <w:p w14:paraId="1DFD4E43">
      <w:pPr>
        <w:spacing w:line="360" w:lineRule="auto"/>
        <w:rPr>
          <w:rFonts w:hint="default" w:ascii="宋体" w:hAnsi="宋体"/>
          <w:b/>
          <w:bCs/>
          <w:sz w:val="24"/>
        </w:rPr>
      </w:pPr>
      <w:r>
        <w:rPr>
          <w:rFonts w:hint="default" w:ascii="宋体" w:hAnsi="宋体"/>
          <w:b/>
          <w:bCs/>
          <w:sz w:val="24"/>
        </w:rPr>
        <w:t>数据库安全与备份</w:t>
      </w:r>
    </w:p>
    <w:p w14:paraId="53E78497">
      <w:pPr>
        <w:spacing w:line="360" w:lineRule="auto"/>
        <w:ind w:firstLine="480" w:firstLineChars="200"/>
        <w:rPr>
          <w:rFonts w:hint="default" w:ascii="宋体" w:hAnsi="宋体"/>
          <w:sz w:val="24"/>
        </w:rPr>
      </w:pPr>
      <w:r>
        <w:rPr>
          <w:rFonts w:hint="default" w:ascii="宋体" w:hAnsi="宋体"/>
          <w:sz w:val="24"/>
          <w:lang w:val="en-US" w:eastAsia="zh-CN"/>
        </w:rPr>
        <w:t>安全：依用户角色设权限，管理员可全操作，普通用户仅能查询。加密数据库连接防数据泄露。备份：定期全量备份，备份文件存于外部安全设备，记录备份时间与内容，以便故障时恢复数据。</w:t>
      </w:r>
    </w:p>
    <w:p w14:paraId="7A61712B">
      <w:pPr>
        <w:spacing w:line="360" w:lineRule="auto"/>
        <w:ind w:firstLine="480" w:firstLineChars="200"/>
        <w:rPr>
          <w:rFonts w:hint="eastAsia" w:ascii="宋体" w:hAnsi="宋体"/>
          <w:sz w:val="24"/>
        </w:rPr>
      </w:pPr>
    </w:p>
    <w:p w14:paraId="6A09C124">
      <w:pPr>
        <w:pStyle w:val="3"/>
        <w:rPr>
          <w:rFonts w:hint="eastAsia"/>
        </w:rPr>
      </w:pPr>
      <w:bookmarkStart w:id="26" w:name="_Toc506358935"/>
      <w:bookmarkStart w:id="27" w:name="_Toc14939"/>
      <w:r>
        <w:rPr>
          <w:rFonts w:hint="eastAsia"/>
        </w:rPr>
        <w:t>3.4数据词典</w:t>
      </w:r>
      <w:bookmarkEnd w:id="26"/>
      <w:bookmarkEnd w:id="27"/>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2"/>
        <w:gridCol w:w="1158"/>
        <w:gridCol w:w="3348"/>
        <w:gridCol w:w="2690"/>
      </w:tblGrid>
      <w:tr w14:paraId="05443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FFFFFF" w:sz="8" w:space="0"/>
              <w:left w:val="single" w:color="FFFFFF" w:sz="8" w:space="0"/>
              <w:bottom w:val="single" w:color="FFFFFF" w:sz="8" w:space="0"/>
              <w:right w:val="single" w:color="FFFFFF" w:sz="8" w:space="0"/>
            </w:tcBorders>
            <w:shd w:val="clear" w:color="auto" w:fill="4874CB" w:themeFill="accent1"/>
            <w:tcMar>
              <w:top w:w="144" w:type="dxa"/>
              <w:left w:w="216" w:type="dxa"/>
              <w:bottom w:w="144" w:type="dxa"/>
              <w:right w:w="216" w:type="dxa"/>
            </w:tcMar>
            <w:vAlign w:val="center"/>
          </w:tcPr>
          <w:p w14:paraId="3B5437C0">
            <w:pPr>
              <w:keepNext w:val="0"/>
              <w:keepLines w:val="0"/>
              <w:widowControl/>
              <w:suppressLineNumbers w:val="0"/>
              <w:spacing w:line="336" w:lineRule="atLeast"/>
              <w:jc w:val="center"/>
              <w:rPr>
                <w:rFonts w:ascii="Segoe UI" w:hAnsi="Segoe UI" w:eastAsia="Segoe UI" w:cs="Segoe UI"/>
                <w:b/>
                <w:bCs/>
                <w:i w:val="0"/>
                <w:iCs w:val="0"/>
                <w:caps w:val="0"/>
                <w:color w:val="FFFFFF"/>
                <w:spacing w:val="0"/>
                <w:sz w:val="19"/>
                <w:szCs w:val="19"/>
              </w:rPr>
            </w:pPr>
            <w:r>
              <w:rPr>
                <w:rFonts w:hint="default" w:ascii="Segoe UI" w:hAnsi="Segoe UI" w:eastAsia="Segoe UI" w:cs="Segoe UI"/>
                <w:b/>
                <w:bCs/>
                <w:i w:val="0"/>
                <w:iCs w:val="0"/>
                <w:caps w:val="0"/>
                <w:color w:val="FFFFFF"/>
                <w:spacing w:val="0"/>
                <w:kern w:val="0"/>
                <w:sz w:val="19"/>
                <w:szCs w:val="19"/>
                <w:lang w:val="en-US" w:eastAsia="zh-CN" w:bidi="ar"/>
              </w:rPr>
              <w:t>数据项名称</w:t>
            </w:r>
          </w:p>
        </w:tc>
        <w:tc>
          <w:tcPr>
            <w:tcW w:w="0" w:type="auto"/>
            <w:tcBorders>
              <w:top w:val="single" w:color="FFFFFF" w:sz="8" w:space="0"/>
              <w:left w:val="single" w:color="FFFFFF" w:sz="8" w:space="0"/>
              <w:bottom w:val="single" w:color="FFFFFF" w:sz="8" w:space="0"/>
              <w:right w:val="single" w:color="FFFFFF" w:sz="8" w:space="0"/>
            </w:tcBorders>
            <w:shd w:val="clear" w:color="auto" w:fill="4874CB" w:themeFill="accent1"/>
            <w:tcMar>
              <w:top w:w="144" w:type="dxa"/>
              <w:left w:w="216" w:type="dxa"/>
              <w:bottom w:w="144" w:type="dxa"/>
              <w:right w:w="216" w:type="dxa"/>
            </w:tcMar>
            <w:vAlign w:val="center"/>
          </w:tcPr>
          <w:p w14:paraId="03C4AACE">
            <w:pPr>
              <w:keepNext w:val="0"/>
              <w:keepLines w:val="0"/>
              <w:widowControl/>
              <w:suppressLineNumbers w:val="0"/>
              <w:spacing w:line="336" w:lineRule="atLeast"/>
              <w:jc w:val="center"/>
              <w:rPr>
                <w:rFonts w:hint="default" w:ascii="Segoe UI" w:hAnsi="Segoe UI" w:eastAsia="Segoe UI" w:cs="Segoe UI"/>
                <w:b/>
                <w:bCs/>
                <w:i w:val="0"/>
                <w:iCs w:val="0"/>
                <w:caps w:val="0"/>
                <w:color w:val="FFFFFF"/>
                <w:spacing w:val="0"/>
                <w:sz w:val="19"/>
                <w:szCs w:val="19"/>
              </w:rPr>
            </w:pPr>
            <w:r>
              <w:rPr>
                <w:rFonts w:hint="default" w:ascii="Segoe UI" w:hAnsi="Segoe UI" w:eastAsia="Segoe UI" w:cs="Segoe UI"/>
                <w:b/>
                <w:bCs/>
                <w:i w:val="0"/>
                <w:iCs w:val="0"/>
                <w:caps w:val="0"/>
                <w:color w:val="FFFFFF"/>
                <w:spacing w:val="0"/>
                <w:kern w:val="0"/>
                <w:sz w:val="19"/>
                <w:szCs w:val="19"/>
                <w:lang w:val="en-US" w:eastAsia="zh-CN" w:bidi="ar"/>
              </w:rPr>
              <w:t>数据类型</w:t>
            </w:r>
          </w:p>
        </w:tc>
        <w:tc>
          <w:tcPr>
            <w:tcW w:w="0" w:type="auto"/>
            <w:tcBorders>
              <w:top w:val="single" w:color="FFFFFF" w:sz="8" w:space="0"/>
              <w:left w:val="single" w:color="FFFFFF" w:sz="8" w:space="0"/>
              <w:bottom w:val="single" w:color="FFFFFF" w:sz="8" w:space="0"/>
              <w:right w:val="single" w:color="FFFFFF" w:sz="8" w:space="0"/>
            </w:tcBorders>
            <w:shd w:val="clear" w:color="auto" w:fill="4874CB" w:themeFill="accent1"/>
            <w:tcMar>
              <w:top w:w="144" w:type="dxa"/>
              <w:left w:w="216" w:type="dxa"/>
              <w:bottom w:w="144" w:type="dxa"/>
              <w:right w:w="216" w:type="dxa"/>
            </w:tcMar>
            <w:vAlign w:val="center"/>
          </w:tcPr>
          <w:p w14:paraId="780E5EC9">
            <w:pPr>
              <w:keepNext w:val="0"/>
              <w:keepLines w:val="0"/>
              <w:widowControl/>
              <w:suppressLineNumbers w:val="0"/>
              <w:spacing w:line="336" w:lineRule="atLeast"/>
              <w:jc w:val="center"/>
              <w:rPr>
                <w:rFonts w:hint="default" w:ascii="Segoe UI" w:hAnsi="Segoe UI" w:eastAsia="Segoe UI" w:cs="Segoe UI"/>
                <w:b/>
                <w:bCs/>
                <w:i w:val="0"/>
                <w:iCs w:val="0"/>
                <w:caps w:val="0"/>
                <w:color w:val="FFFFFF"/>
                <w:spacing w:val="0"/>
                <w:sz w:val="19"/>
                <w:szCs w:val="19"/>
              </w:rPr>
            </w:pPr>
            <w:r>
              <w:rPr>
                <w:rFonts w:hint="default" w:ascii="Segoe UI" w:hAnsi="Segoe UI" w:eastAsia="Segoe UI" w:cs="Segoe UI"/>
                <w:b/>
                <w:bCs/>
                <w:i w:val="0"/>
                <w:iCs w:val="0"/>
                <w:caps w:val="0"/>
                <w:color w:val="FFFFFF"/>
                <w:spacing w:val="0"/>
                <w:kern w:val="0"/>
                <w:sz w:val="19"/>
                <w:szCs w:val="19"/>
                <w:lang w:val="en-US" w:eastAsia="zh-CN" w:bidi="ar"/>
              </w:rPr>
              <w:t>长度 / 精度</w:t>
            </w:r>
          </w:p>
        </w:tc>
        <w:tc>
          <w:tcPr>
            <w:tcW w:w="0" w:type="auto"/>
            <w:tcBorders>
              <w:top w:val="single" w:color="FFFFFF" w:sz="8" w:space="0"/>
              <w:left w:val="single" w:color="FFFFFF" w:sz="8" w:space="0"/>
              <w:bottom w:val="single" w:color="FFFFFF" w:sz="8" w:space="0"/>
              <w:right w:val="single" w:color="FFFFFF" w:sz="8" w:space="0"/>
            </w:tcBorders>
            <w:shd w:val="clear" w:color="auto" w:fill="4874CB" w:themeFill="accent1"/>
            <w:tcMar>
              <w:top w:w="144" w:type="dxa"/>
              <w:left w:w="216" w:type="dxa"/>
              <w:bottom w:w="144" w:type="dxa"/>
              <w:right w:w="216" w:type="dxa"/>
            </w:tcMar>
            <w:vAlign w:val="center"/>
          </w:tcPr>
          <w:p w14:paraId="5385DBAB">
            <w:pPr>
              <w:keepNext w:val="0"/>
              <w:keepLines w:val="0"/>
              <w:widowControl/>
              <w:suppressLineNumbers w:val="0"/>
              <w:spacing w:line="336" w:lineRule="atLeast"/>
              <w:jc w:val="center"/>
              <w:rPr>
                <w:rFonts w:hint="default" w:ascii="Segoe UI" w:hAnsi="Segoe UI" w:eastAsia="Segoe UI" w:cs="Segoe UI"/>
                <w:b/>
                <w:bCs/>
                <w:i w:val="0"/>
                <w:iCs w:val="0"/>
                <w:caps w:val="0"/>
                <w:color w:val="FFFFFF"/>
                <w:spacing w:val="0"/>
                <w:sz w:val="19"/>
                <w:szCs w:val="19"/>
              </w:rPr>
            </w:pPr>
            <w:r>
              <w:rPr>
                <w:rFonts w:hint="default" w:ascii="Segoe UI" w:hAnsi="Segoe UI" w:eastAsia="Segoe UI" w:cs="Segoe UI"/>
                <w:b/>
                <w:bCs/>
                <w:i w:val="0"/>
                <w:iCs w:val="0"/>
                <w:caps w:val="0"/>
                <w:color w:val="FFFFFF"/>
                <w:spacing w:val="0"/>
                <w:kern w:val="0"/>
                <w:sz w:val="19"/>
                <w:szCs w:val="19"/>
                <w:lang w:val="en-US" w:eastAsia="zh-CN" w:bidi="ar"/>
              </w:rPr>
              <w:t>描述</w:t>
            </w:r>
          </w:p>
        </w:tc>
      </w:tr>
      <w:tr w14:paraId="245EA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E09FE4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岩心 ID</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139DEF3">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int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599C01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10 位数字</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C2447F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唯一标识编码，用于数据关联定位</w:t>
            </w:r>
          </w:p>
        </w:tc>
      </w:tr>
      <w:tr w14:paraId="005BE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245494C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盆地名称</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E05116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1A828D4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50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1115BB8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岩心采集所属地质盆地名</w:t>
            </w:r>
          </w:p>
        </w:tc>
      </w:tr>
      <w:tr w14:paraId="7184F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372BB8CE">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层位</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DE7B15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3FA9B972">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30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1E94A82">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岩心在地层中的位置标识</w:t>
            </w:r>
          </w:p>
        </w:tc>
      </w:tr>
      <w:tr w14:paraId="6DFC6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DD4E40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岩性</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A8F762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C8F4A8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30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24AC6E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描述岩石类型及成分的专业术语</w:t>
            </w:r>
          </w:p>
        </w:tc>
      </w:tr>
      <w:tr w14:paraId="5C672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79D6636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沉积构造</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2C02700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75821BC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20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01BAD78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记录岩心沉积构造类型</w:t>
            </w:r>
          </w:p>
        </w:tc>
      </w:tr>
      <w:tr w14:paraId="4F14D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0150042">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孔洞面积</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037076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0BCF592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小数点后两位</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88732D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孔洞面积测量值，单位平方毫米</w:t>
            </w:r>
          </w:p>
        </w:tc>
      </w:tr>
      <w:tr w14:paraId="5A7E5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E2045E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孔洞周长</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5DD354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34742853">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小数点后一位</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9194AA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孔洞边缘长度，单位毫米</w:t>
            </w:r>
          </w:p>
        </w:tc>
      </w:tr>
      <w:tr w14:paraId="4E0A1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26F8845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孔洞等效直径</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7C80A35F">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51C52FB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小数点后两位</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1B032C4B">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换算出的等效直径，单位毫米</w:t>
            </w:r>
          </w:p>
        </w:tc>
      </w:tr>
      <w:tr w14:paraId="2E799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316D211F">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孔洞数量</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68DD118F">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int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23CE89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整数</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0EDF912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岩心图像中孔洞总数</w:t>
            </w:r>
          </w:p>
        </w:tc>
      </w:tr>
      <w:tr w14:paraId="444E9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D4C6CE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粒度测量值</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6B6414C">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0F7F28DC">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依实际测量精度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05CBD4AF">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岩心颗粒粒径测量结果</w:t>
            </w:r>
          </w:p>
        </w:tc>
      </w:tr>
      <w:tr w14:paraId="1D0BC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6805969B">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粒度中值</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090C5AE">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91EE82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小数点后两位</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33A16144">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粒度分布中间值，单位毫米</w:t>
            </w:r>
          </w:p>
        </w:tc>
      </w:tr>
      <w:tr w14:paraId="074D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824B21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分选系数</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BD323D1">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8F854C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小数点后两位</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CCBED1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衡量粒度分布均匀程度参数</w:t>
            </w:r>
          </w:p>
        </w:tc>
      </w:tr>
      <w:tr w14:paraId="2E542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8BE417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裂缝长度</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2A8C8DD7">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int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35658F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整数</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670BC3A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裂缝长度，单位毫米</w:t>
            </w:r>
          </w:p>
        </w:tc>
      </w:tr>
      <w:tr w14:paraId="63457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94BFEF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裂缝宽度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2DD5D294">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0289CB60">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小数点后两位</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334FDA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裂缝最窄处宽度，单位毫米</w:t>
            </w:r>
          </w:p>
        </w:tc>
      </w:tr>
      <w:tr w14:paraId="7211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02FBFE1">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裂缝方向</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697CDE2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int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73CBDE0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整数度</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2F3B3A9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裂缝空间延伸方向角度</w:t>
            </w:r>
          </w:p>
        </w:tc>
      </w:tr>
      <w:tr w14:paraId="57ED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1E7C19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裂缝密度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62A445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float</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08E98A3A">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依单位设精度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2E45BE9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每平方厘米裂缝长度或数量</w:t>
            </w:r>
          </w:p>
        </w:tc>
      </w:tr>
      <w:tr w14:paraId="52A0E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0D1CAEE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用户账号</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2FA51A7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63854CB">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6 - 20 位字母、数字组合</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A553DB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登录账号</w:t>
            </w:r>
          </w:p>
        </w:tc>
      </w:tr>
      <w:tr w14:paraId="0B9E9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6320704">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用户密码</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555400A3">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1FEFED0B">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8 - 20 位加密字符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036C349">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经 MD5 加盐加密的登录密码</w:t>
            </w:r>
          </w:p>
        </w:tc>
      </w:tr>
      <w:tr w14:paraId="3079E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20231AAB">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用户姓名</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0481447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7965456">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50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F0E7F44">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用户真实姓名</w:t>
            </w:r>
          </w:p>
        </w:tc>
      </w:tr>
      <w:tr w14:paraId="44DF3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C250D4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所属院校 / 机构</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6A0BEB3F">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varchar</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4245848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100 个字符</w:t>
            </w:r>
          </w:p>
        </w:tc>
        <w:tc>
          <w:tcPr>
            <w:tcW w:w="0" w:type="auto"/>
            <w:tcBorders>
              <w:top w:val="single" w:color="FFFFFF" w:sz="8" w:space="0"/>
              <w:left w:val="single" w:color="FFFFFF" w:sz="8" w:space="0"/>
              <w:bottom w:val="single" w:color="FFFFFF" w:sz="8" w:space="0"/>
              <w:right w:val="single" w:color="FFFFFF" w:sz="8" w:space="0"/>
            </w:tcBorders>
            <w:shd w:val="clear" w:color="auto" w:fill="EDF1F9" w:themeFill="accent1" w:themeFillTint="19"/>
            <w:tcMar>
              <w:top w:w="144" w:type="dxa"/>
              <w:left w:w="216" w:type="dxa"/>
              <w:bottom w:w="144" w:type="dxa"/>
              <w:right w:w="216" w:type="dxa"/>
            </w:tcMar>
            <w:vAlign w:val="center"/>
          </w:tcPr>
          <w:p w14:paraId="3284352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用户所在单位名称</w:t>
            </w:r>
          </w:p>
        </w:tc>
      </w:tr>
      <w:tr w14:paraId="64B33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57A29883">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用户角色</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78E030BD">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int</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129A1228">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普通用户：1；教师用户：2；管理员用户：3</w:t>
            </w:r>
          </w:p>
        </w:tc>
        <w:tc>
          <w:tcPr>
            <w:tcW w:w="0" w:type="auto"/>
            <w:tcBorders>
              <w:top w:val="single" w:color="FFFFFF" w:sz="8" w:space="0"/>
              <w:left w:val="single" w:color="FFFFFF" w:sz="8" w:space="0"/>
              <w:bottom w:val="single" w:color="FFFFFF" w:sz="8" w:space="0"/>
              <w:right w:val="single" w:color="FFFFFF" w:sz="8" w:space="0"/>
            </w:tcBorders>
            <w:shd w:val="clear" w:color="auto" w:fill="B5C7EA" w:themeFill="accent1" w:themeFillTint="66"/>
            <w:tcMar>
              <w:top w:w="144" w:type="dxa"/>
              <w:left w:w="216" w:type="dxa"/>
              <w:bottom w:w="144" w:type="dxa"/>
              <w:right w:w="216" w:type="dxa"/>
            </w:tcMar>
            <w:vAlign w:val="center"/>
          </w:tcPr>
          <w:p w14:paraId="45725EB5">
            <w:pPr>
              <w:keepNext w:val="0"/>
              <w:keepLines w:val="0"/>
              <w:widowControl/>
              <w:suppressLineNumbers w:val="0"/>
              <w:spacing w:line="336" w:lineRule="atLeast"/>
              <w:jc w:val="left"/>
              <w:rPr>
                <w:rFonts w:hint="default" w:ascii="Segoe UI" w:hAnsi="Segoe UI" w:eastAsia="Segoe UI" w:cs="Segoe UI"/>
                <w:b w:val="0"/>
                <w:i w:val="0"/>
                <w:iCs w:val="0"/>
                <w:caps w:val="0"/>
                <w:color w:val="000000"/>
                <w:spacing w:val="0"/>
                <w:sz w:val="19"/>
                <w:szCs w:val="19"/>
              </w:rPr>
            </w:pPr>
            <w:r>
              <w:rPr>
                <w:rFonts w:hint="default" w:ascii="Segoe UI" w:hAnsi="Segoe UI" w:eastAsia="Segoe UI" w:cs="Segoe UI"/>
                <w:b w:val="0"/>
                <w:i w:val="0"/>
                <w:iCs w:val="0"/>
                <w:caps w:val="0"/>
                <w:color w:val="000000"/>
                <w:spacing w:val="0"/>
                <w:kern w:val="0"/>
                <w:sz w:val="19"/>
                <w:szCs w:val="19"/>
                <w:lang w:val="en-US" w:eastAsia="zh-CN" w:bidi="ar"/>
              </w:rPr>
              <w:t>标识用户权限等级</w:t>
            </w:r>
          </w:p>
        </w:tc>
      </w:tr>
    </w:tbl>
    <w:p w14:paraId="3571A71B">
      <w:pPr>
        <w:rPr>
          <w:rFonts w:hint="eastAsia"/>
        </w:rPr>
      </w:pPr>
    </w:p>
    <w:p w14:paraId="5954D00E">
      <w:pPr>
        <w:pStyle w:val="3"/>
        <w:rPr>
          <w:rFonts w:hint="eastAsia"/>
        </w:rPr>
      </w:pPr>
      <w:bookmarkStart w:id="28" w:name="_Toc506358936"/>
      <w:bookmarkStart w:id="29" w:name="_Toc22419"/>
      <w:r>
        <w:rPr>
          <w:rFonts w:hint="eastAsia"/>
        </w:rPr>
        <w:t>3.5数据采集</w:t>
      </w:r>
      <w:bookmarkEnd w:id="28"/>
      <w:bookmarkEnd w:id="29"/>
    </w:p>
    <w:p w14:paraId="4313B8C1">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宋体" w:hAnsi="宋体" w:eastAsia="宋体" w:cs="Times New Roman"/>
          <w:b/>
          <w:bCs/>
          <w:kern w:val="2"/>
          <w:sz w:val="24"/>
          <w:szCs w:val="24"/>
          <w:lang w:val="en-US" w:eastAsia="zh-CN" w:bidi="ar-SA"/>
        </w:rPr>
      </w:pPr>
      <w:r>
        <w:rPr>
          <w:rFonts w:hint="default" w:ascii="宋体" w:hAnsi="宋体" w:eastAsia="宋体" w:cs="Times New Roman"/>
          <w:b/>
          <w:bCs/>
          <w:kern w:val="2"/>
          <w:sz w:val="24"/>
          <w:szCs w:val="24"/>
          <w:lang w:val="en-US" w:eastAsia="zh-CN" w:bidi="ar-SA"/>
        </w:rPr>
        <w:t>3.5.1 岩心图像采集</w:t>
      </w:r>
    </w:p>
    <w:p w14:paraId="0FD7ACC1">
      <w:pPr>
        <w:spacing w:line="360" w:lineRule="auto"/>
        <w:ind w:firstLine="240" w:firstLineChars="100"/>
        <w:jc w:val="left"/>
        <w:rPr>
          <w:rFonts w:hint="default"/>
          <w:sz w:val="24"/>
          <w:lang w:val="en-US" w:eastAsia="zh-CN"/>
        </w:rPr>
      </w:pPr>
      <w:r>
        <w:rPr>
          <w:rFonts w:hint="default"/>
          <w:sz w:val="24"/>
          <w:lang w:val="en-US" w:eastAsia="zh-CN"/>
        </w:rPr>
        <w:t>采集设备：用专业岩心扫描仪或高分辨率工业相机。扫描仪能自动扫描，分辨率 600 - 1200dpi；相机像素不低于 2000 万，配微距镜头，可灵活调整拍摄参数。</w:t>
      </w:r>
    </w:p>
    <w:p w14:paraId="432B607F">
      <w:pPr>
        <w:spacing w:line="360" w:lineRule="auto"/>
        <w:ind w:firstLine="240" w:firstLineChars="100"/>
        <w:jc w:val="left"/>
        <w:rPr>
          <w:rFonts w:hint="default"/>
          <w:sz w:val="24"/>
          <w:lang w:val="en-US" w:eastAsia="zh-CN"/>
        </w:rPr>
      </w:pPr>
      <w:r>
        <w:rPr>
          <w:rFonts w:hint="default"/>
          <w:sz w:val="24"/>
          <w:lang w:val="en-US" w:eastAsia="zh-CN"/>
        </w:rPr>
        <w:t>采集流程：先清洁岩心，固定后调好设备参数，扫描仪自动生成整体图像，相机多角度拍摄后用拼接软件合成。图像按规则存本地，再经 USB3.0 或千兆以太网接口传至服务器，数据库记录相关信息。</w:t>
      </w:r>
    </w:p>
    <w:p w14:paraId="7079576C">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宋体" w:hAnsi="宋体" w:eastAsia="宋体" w:cs="Times New Roman"/>
          <w:b/>
          <w:bCs/>
          <w:kern w:val="2"/>
          <w:sz w:val="24"/>
          <w:szCs w:val="24"/>
          <w:lang w:val="en-US" w:eastAsia="zh-CN" w:bidi="ar-SA"/>
        </w:rPr>
      </w:pPr>
      <w:r>
        <w:rPr>
          <w:rFonts w:hint="default" w:ascii="宋体" w:hAnsi="宋体" w:eastAsia="宋体" w:cs="Times New Roman"/>
          <w:b/>
          <w:bCs/>
          <w:kern w:val="2"/>
          <w:sz w:val="24"/>
          <w:szCs w:val="24"/>
          <w:lang w:val="en-US" w:eastAsia="zh-CN" w:bidi="ar-SA"/>
        </w:rPr>
        <w:t>3.5.2 岩心基础信息采集</w:t>
      </w:r>
    </w:p>
    <w:p w14:paraId="2BACE9A2">
      <w:pPr>
        <w:spacing w:line="360" w:lineRule="auto"/>
        <w:ind w:firstLine="240" w:firstLineChars="100"/>
        <w:jc w:val="left"/>
        <w:rPr>
          <w:rFonts w:hint="default"/>
          <w:sz w:val="24"/>
          <w:lang w:val="en-US" w:eastAsia="zh-CN"/>
        </w:rPr>
      </w:pPr>
      <w:r>
        <w:rPr>
          <w:rFonts w:hint="default"/>
          <w:sz w:val="24"/>
          <w:lang w:val="en-US" w:eastAsia="zh-CN"/>
        </w:rPr>
        <w:t>信息来源：源自地质勘查报告、野外记录、实验室分析报告，报告含岩心采集位置、现场观察、成分分析等信息。</w:t>
      </w:r>
    </w:p>
    <w:p w14:paraId="1E4D8250">
      <w:pPr>
        <w:spacing w:line="360" w:lineRule="auto"/>
        <w:ind w:firstLine="240" w:firstLineChars="100"/>
        <w:jc w:val="left"/>
        <w:rPr>
          <w:rFonts w:hint="default"/>
          <w:sz w:val="24"/>
          <w:lang w:val="en-US" w:eastAsia="zh-CN"/>
        </w:rPr>
      </w:pPr>
      <w:r>
        <w:rPr>
          <w:rFonts w:hint="default"/>
          <w:sz w:val="24"/>
          <w:lang w:val="en-US" w:eastAsia="zh-CN"/>
        </w:rPr>
        <w:t>采集方式：专业地质人员按统一格式规范整理录入，对岩心 ID 自动生成并人工核对，术语依行业标准填写，数值仔细核对原始报告，录入后多次逻辑与重复性校验，确保信息准确录入数据库。</w:t>
      </w:r>
    </w:p>
    <w:p w14:paraId="657EE4F4">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宋体" w:hAnsi="宋体" w:eastAsia="宋体" w:cs="Times New Roman"/>
          <w:b/>
          <w:bCs/>
          <w:kern w:val="2"/>
          <w:sz w:val="24"/>
          <w:szCs w:val="24"/>
          <w:lang w:val="en-US" w:eastAsia="zh-CN" w:bidi="ar-SA"/>
        </w:rPr>
      </w:pPr>
      <w:r>
        <w:rPr>
          <w:rFonts w:hint="default" w:ascii="宋体" w:hAnsi="宋体" w:eastAsia="宋体" w:cs="Times New Roman"/>
          <w:b/>
          <w:bCs/>
          <w:kern w:val="2"/>
          <w:sz w:val="24"/>
          <w:szCs w:val="24"/>
          <w:lang w:val="en-US" w:eastAsia="zh-CN" w:bidi="ar-SA"/>
        </w:rPr>
        <w:t>3.5.3 用户操作与分析结果数据采集</w:t>
      </w:r>
    </w:p>
    <w:p w14:paraId="09535965">
      <w:pPr>
        <w:spacing w:line="360" w:lineRule="auto"/>
        <w:ind w:firstLine="240" w:firstLineChars="100"/>
        <w:jc w:val="left"/>
        <w:rPr>
          <w:rFonts w:hint="default"/>
          <w:sz w:val="24"/>
          <w:lang w:val="en-US" w:eastAsia="zh-CN"/>
        </w:rPr>
      </w:pPr>
      <w:r>
        <w:rPr>
          <w:rFonts w:hint="default"/>
          <w:sz w:val="24"/>
          <w:lang w:val="en-US" w:eastAsia="zh-CN"/>
        </w:rPr>
        <w:t>用户操作数据采集：系统用事件监听程序实时采集用户操作，登录时记录时间、账号、IP；查询时捕获条件、时间、结果数；分析时记录任务类型、参数、提交时间。操作数据先存本地日志，每小时批量写入数据库用户操作记录表。</w:t>
      </w:r>
    </w:p>
    <w:p w14:paraId="24203626">
      <w:pPr>
        <w:spacing w:line="360" w:lineRule="auto"/>
        <w:ind w:firstLine="240" w:firstLineChars="100"/>
        <w:jc w:val="left"/>
        <w:rPr>
          <w:rFonts w:hint="eastAsia"/>
          <w:sz w:val="24"/>
        </w:rPr>
      </w:pPr>
      <w:r>
        <w:rPr>
          <w:rFonts w:hint="default"/>
          <w:sz w:val="24"/>
          <w:lang w:val="en-US" w:eastAsia="zh-CN"/>
        </w:rPr>
        <w:t>分析结果数据采集：分析任务完成后，系统自动采集结果。数值型数据按格式写入分析结果表，可视化图表存为 PNG 图片至指定文件夹，数据库记录图表信息及关联岩心 ID、分析任务等，实现结果追溯管理。</w:t>
      </w:r>
    </w:p>
    <w:p w14:paraId="2DA8D584">
      <w:pPr>
        <w:pStyle w:val="2"/>
        <w:rPr>
          <w:rFonts w:hint="eastAsia"/>
        </w:rPr>
      </w:pPr>
      <w:bookmarkStart w:id="30" w:name="_Toc506358937"/>
      <w:bookmarkStart w:id="31" w:name="_Toc7109"/>
      <w:r>
        <w:rPr>
          <w:rFonts w:hint="eastAsia"/>
        </w:rPr>
        <w:t>4．功能需求</w:t>
      </w:r>
      <w:bookmarkEnd w:id="30"/>
      <w:bookmarkEnd w:id="31"/>
    </w:p>
    <w:p w14:paraId="21CE33FC">
      <w:pPr>
        <w:pStyle w:val="3"/>
        <w:rPr>
          <w:rFonts w:hint="eastAsia"/>
        </w:rPr>
      </w:pPr>
      <w:bookmarkStart w:id="32" w:name="_Toc506358938"/>
      <w:bookmarkStart w:id="33" w:name="_Toc2125"/>
      <w:r>
        <w:rPr>
          <w:rFonts w:hint="eastAsia"/>
        </w:rPr>
        <w:t>4.1功能划分</w:t>
      </w:r>
      <w:bookmarkEnd w:id="32"/>
      <w:bookmarkEnd w:id="33"/>
    </w:p>
    <w:p w14:paraId="63FBF358">
      <w:pPr>
        <w:spacing w:line="360" w:lineRule="auto"/>
        <w:rPr>
          <w:rFonts w:hint="eastAsia"/>
          <w:sz w:val="24"/>
        </w:rPr>
      </w:pPr>
      <w:r>
        <w:rPr>
          <w:rFonts w:hint="eastAsia"/>
          <w:sz w:val="24"/>
        </w:rPr>
        <w:t>该系统要实现的功能如下：</w:t>
      </w:r>
      <w:bookmarkStart w:id="34" w:name="_Toc506358939"/>
    </w:p>
    <w:p w14:paraId="3B458CDC">
      <w:pPr>
        <w:spacing w:line="360" w:lineRule="auto"/>
        <w:ind w:firstLine="240" w:firstLineChars="100"/>
        <w:jc w:val="left"/>
        <w:rPr>
          <w:rFonts w:hint="eastAsia"/>
          <w:sz w:val="24"/>
        </w:rPr>
      </w:pPr>
      <w:r>
        <w:rPr>
          <w:rFonts w:hint="eastAsia"/>
          <w:sz w:val="24"/>
          <w:lang w:val="en-US" w:eastAsia="zh-CN"/>
        </w:rPr>
        <w:t>1.</w:t>
      </w:r>
      <w:r>
        <w:rPr>
          <w:rFonts w:hint="eastAsia"/>
          <w:sz w:val="24"/>
        </w:rPr>
        <w:t>岩心数据管理功能：涵盖数据录入、查询、更新与删除。</w:t>
      </w:r>
    </w:p>
    <w:p w14:paraId="1F34153A">
      <w:pPr>
        <w:spacing w:line="360" w:lineRule="auto"/>
        <w:ind w:firstLine="240" w:firstLineChars="100"/>
        <w:jc w:val="left"/>
        <w:rPr>
          <w:rFonts w:hint="eastAsia"/>
          <w:sz w:val="24"/>
        </w:rPr>
      </w:pPr>
      <w:r>
        <w:rPr>
          <w:rFonts w:hint="eastAsia"/>
          <w:sz w:val="24"/>
          <w:lang w:val="en-US" w:eastAsia="zh-CN"/>
        </w:rPr>
        <w:t>2.</w:t>
      </w:r>
      <w:r>
        <w:rPr>
          <w:rFonts w:hint="eastAsia"/>
          <w:sz w:val="24"/>
        </w:rPr>
        <w:t>岩心图像展示功能：支持二维图像浏览与三维虚拟仿真展示。</w:t>
      </w:r>
    </w:p>
    <w:p w14:paraId="0907141C">
      <w:pPr>
        <w:spacing w:line="360" w:lineRule="auto"/>
        <w:ind w:firstLine="240" w:firstLineChars="100"/>
        <w:jc w:val="left"/>
        <w:rPr>
          <w:rFonts w:hint="eastAsia"/>
          <w:sz w:val="24"/>
        </w:rPr>
      </w:pPr>
      <w:r>
        <w:rPr>
          <w:rFonts w:hint="eastAsia"/>
          <w:sz w:val="24"/>
          <w:lang w:val="en-US" w:eastAsia="zh-CN"/>
        </w:rPr>
        <w:t>3.</w:t>
      </w:r>
      <w:r>
        <w:rPr>
          <w:rFonts w:hint="eastAsia"/>
          <w:sz w:val="24"/>
        </w:rPr>
        <w:t>孔洞分析功能：实现孔洞识别、参数测量与统计分析。</w:t>
      </w:r>
    </w:p>
    <w:p w14:paraId="7991C8FD">
      <w:pPr>
        <w:spacing w:line="360" w:lineRule="auto"/>
        <w:ind w:firstLine="240" w:firstLineChars="100"/>
        <w:jc w:val="left"/>
        <w:rPr>
          <w:rFonts w:hint="eastAsia"/>
          <w:sz w:val="24"/>
        </w:rPr>
      </w:pPr>
      <w:r>
        <w:rPr>
          <w:rFonts w:hint="eastAsia"/>
          <w:sz w:val="24"/>
          <w:lang w:val="en-US" w:eastAsia="zh-CN"/>
        </w:rPr>
        <w:t>4.</w:t>
      </w:r>
      <w:r>
        <w:rPr>
          <w:rFonts w:hint="eastAsia"/>
          <w:sz w:val="24"/>
        </w:rPr>
        <w:t>粒度分析功能：进行粒度测量与粒度分布计算。</w:t>
      </w:r>
    </w:p>
    <w:p w14:paraId="695E4319">
      <w:pPr>
        <w:spacing w:line="360" w:lineRule="auto"/>
        <w:ind w:firstLine="240" w:firstLineChars="100"/>
        <w:jc w:val="left"/>
        <w:rPr>
          <w:rFonts w:hint="eastAsia"/>
          <w:sz w:val="24"/>
        </w:rPr>
      </w:pPr>
      <w:r>
        <w:rPr>
          <w:rFonts w:hint="eastAsia"/>
          <w:sz w:val="24"/>
          <w:lang w:val="en-US" w:eastAsia="zh-CN"/>
        </w:rPr>
        <w:t>5.</w:t>
      </w:r>
      <w:r>
        <w:rPr>
          <w:rFonts w:hint="eastAsia"/>
          <w:sz w:val="24"/>
        </w:rPr>
        <w:t>裂缝分析功能：完成裂缝检测、参数提取与裂缝网络分析。</w:t>
      </w:r>
    </w:p>
    <w:p w14:paraId="304411DF">
      <w:pPr>
        <w:spacing w:line="360" w:lineRule="auto"/>
        <w:ind w:firstLine="240" w:firstLineChars="100"/>
        <w:jc w:val="left"/>
        <w:rPr>
          <w:rFonts w:hint="eastAsia" w:eastAsia="宋体"/>
          <w:sz w:val="24"/>
          <w:lang w:val="en-US" w:eastAsia="zh-CN"/>
        </w:rPr>
      </w:pPr>
      <w:r>
        <w:rPr>
          <w:rFonts w:hint="eastAsia"/>
          <w:sz w:val="24"/>
          <w:lang w:val="en-US" w:eastAsia="zh-CN"/>
        </w:rPr>
        <w:t>6.</w:t>
      </w:r>
      <w:r>
        <w:rPr>
          <w:rFonts w:hint="eastAsia"/>
          <w:sz w:val="24"/>
        </w:rPr>
        <w:t>用户管理功能：包含用户注册、登录、权限分配与管理。</w:t>
      </w:r>
      <w:r>
        <w:rPr>
          <w:rFonts w:hint="eastAsia"/>
          <w:sz w:val="24"/>
          <w:lang w:val="en-US" w:eastAsia="zh-CN"/>
        </w:rPr>
        <w:t xml:space="preserve"> </w:t>
      </w:r>
    </w:p>
    <w:p w14:paraId="01B95BA3">
      <w:pPr>
        <w:spacing w:line="360" w:lineRule="auto"/>
        <w:ind w:firstLine="240" w:firstLineChars="100"/>
        <w:jc w:val="left"/>
        <w:rPr>
          <w:rFonts w:hint="eastAsia"/>
          <w:sz w:val="24"/>
        </w:rPr>
      </w:pPr>
      <w:r>
        <w:rPr>
          <w:rFonts w:hint="eastAsia"/>
          <w:sz w:val="24"/>
          <w:lang w:val="en-US" w:eastAsia="zh-CN"/>
        </w:rPr>
        <w:t>7.</w:t>
      </w:r>
      <w:r>
        <w:rPr>
          <w:rFonts w:hint="eastAsia"/>
          <w:sz w:val="24"/>
        </w:rPr>
        <w:t>系统帮助与反馈功能：提供操作指南与用户反馈渠道。</w:t>
      </w:r>
    </w:p>
    <w:p w14:paraId="7F120AC7">
      <w:pPr>
        <w:spacing w:line="360" w:lineRule="auto"/>
        <w:jc w:val="left"/>
        <w:rPr>
          <w:rFonts w:hint="eastAsia"/>
          <w:b/>
          <w:bCs/>
          <w:sz w:val="32"/>
        </w:rPr>
      </w:pPr>
      <w:r>
        <w:rPr>
          <w:rFonts w:hint="eastAsia"/>
          <w:b/>
          <w:bCs/>
          <w:sz w:val="32"/>
        </w:rPr>
        <w:t>4.2功能描述</w:t>
      </w:r>
      <w:bookmarkEnd w:id="34"/>
    </w:p>
    <w:p w14:paraId="2757AD6B">
      <w:pPr>
        <w:spacing w:line="360" w:lineRule="auto"/>
        <w:jc w:val="left"/>
        <w:rPr>
          <w:rFonts w:hint="eastAsia"/>
          <w:b/>
          <w:bCs/>
          <w:sz w:val="24"/>
        </w:rPr>
      </w:pPr>
      <w:r>
        <w:rPr>
          <w:rFonts w:hint="eastAsia"/>
          <w:b/>
          <w:bCs/>
          <w:sz w:val="24"/>
        </w:rPr>
        <w:t>岩心数据管理</w:t>
      </w:r>
      <w:r>
        <w:rPr>
          <w:rFonts w:hint="default"/>
          <w:b/>
          <w:bCs/>
          <w:sz w:val="24"/>
        </w:rPr>
        <w:t>：</w:t>
      </w:r>
    </w:p>
    <w:p w14:paraId="62DDDF25">
      <w:pPr>
        <w:spacing w:line="360" w:lineRule="auto"/>
        <w:ind w:firstLine="480" w:firstLineChars="200"/>
        <w:jc w:val="left"/>
        <w:rPr>
          <w:rFonts w:hint="eastAsia"/>
          <w:sz w:val="24"/>
        </w:rPr>
      </w:pPr>
      <w:r>
        <w:rPr>
          <w:rFonts w:hint="default"/>
          <w:sz w:val="24"/>
        </w:rPr>
        <w:t>数据录入：管理员可批量导入岩心基础信息表格，也能手动补充修改，系统自动校验数据准确性与完整性。</w:t>
      </w:r>
    </w:p>
    <w:p w14:paraId="35ABF876">
      <w:pPr>
        <w:spacing w:line="360" w:lineRule="auto"/>
        <w:ind w:firstLine="480" w:firstLineChars="200"/>
        <w:jc w:val="left"/>
        <w:rPr>
          <w:rFonts w:hint="eastAsia"/>
          <w:sz w:val="24"/>
        </w:rPr>
      </w:pPr>
      <w:r>
        <w:rPr>
          <w:rFonts w:hint="default"/>
          <w:sz w:val="24"/>
        </w:rPr>
        <w:t>数据查询：用户可根据岩心 ID、盆地名称、层位、岩性等多种条件组合查询，系统快速检索并呈现结果。</w:t>
      </w:r>
    </w:p>
    <w:p w14:paraId="5BC98491">
      <w:pPr>
        <w:spacing w:line="360" w:lineRule="auto"/>
        <w:ind w:firstLine="480" w:firstLineChars="200"/>
        <w:jc w:val="left"/>
        <w:rPr>
          <w:rFonts w:hint="eastAsia"/>
          <w:sz w:val="24"/>
        </w:rPr>
      </w:pPr>
      <w:r>
        <w:rPr>
          <w:rFonts w:hint="default"/>
          <w:sz w:val="24"/>
        </w:rPr>
        <w:t>数据更新：管理员可对岩心信息进行更新，系统记录更新历史版本。</w:t>
      </w:r>
    </w:p>
    <w:p w14:paraId="2D70D85E">
      <w:pPr>
        <w:spacing w:line="360" w:lineRule="auto"/>
        <w:ind w:firstLine="480" w:firstLineChars="200"/>
        <w:jc w:val="left"/>
        <w:rPr>
          <w:rFonts w:hint="eastAsia"/>
          <w:sz w:val="24"/>
        </w:rPr>
      </w:pPr>
      <w:r>
        <w:rPr>
          <w:rFonts w:hint="default"/>
          <w:sz w:val="24"/>
        </w:rPr>
        <w:t>数据删除：管理员确认后可删除无用或错误数据，系统确保删除操作不影响其他关联数据。</w:t>
      </w:r>
    </w:p>
    <w:p w14:paraId="42B30C40">
      <w:pPr>
        <w:spacing w:line="360" w:lineRule="auto"/>
        <w:jc w:val="left"/>
        <w:rPr>
          <w:rFonts w:hint="eastAsia"/>
          <w:b/>
          <w:bCs/>
          <w:sz w:val="24"/>
        </w:rPr>
      </w:pPr>
      <w:r>
        <w:rPr>
          <w:rFonts w:hint="default"/>
          <w:b/>
          <w:bCs/>
          <w:sz w:val="24"/>
        </w:rPr>
        <w:t>岩心图像展示：</w:t>
      </w:r>
    </w:p>
    <w:p w14:paraId="02B560A4">
      <w:pPr>
        <w:spacing w:line="360" w:lineRule="auto"/>
        <w:ind w:firstLine="480" w:firstLineChars="200"/>
        <w:jc w:val="left"/>
        <w:rPr>
          <w:rFonts w:hint="eastAsia"/>
          <w:sz w:val="24"/>
        </w:rPr>
      </w:pPr>
      <w:r>
        <w:rPr>
          <w:rFonts w:hint="default"/>
          <w:sz w:val="24"/>
        </w:rPr>
        <w:t>二维图像浏览：用户可对岩心二维图像进行放大、缩小、平移操作，查看岩心细节。</w:t>
      </w:r>
    </w:p>
    <w:p w14:paraId="03B20305">
      <w:pPr>
        <w:spacing w:line="360" w:lineRule="auto"/>
        <w:ind w:firstLine="480" w:firstLineChars="200"/>
        <w:jc w:val="left"/>
        <w:rPr>
          <w:rFonts w:hint="eastAsia"/>
          <w:sz w:val="24"/>
        </w:rPr>
      </w:pPr>
      <w:r>
        <w:rPr>
          <w:rFonts w:hint="default"/>
          <w:sz w:val="24"/>
        </w:rPr>
        <w:t>三维虚拟仿真展示：利用三维恢复技术重建岩心三维模型，用户可从不同角度旋转观察。</w:t>
      </w:r>
    </w:p>
    <w:p w14:paraId="3ECB87FC">
      <w:pPr>
        <w:spacing w:line="360" w:lineRule="auto"/>
        <w:jc w:val="left"/>
        <w:rPr>
          <w:rFonts w:hint="eastAsia"/>
          <w:b/>
          <w:bCs/>
          <w:sz w:val="24"/>
        </w:rPr>
      </w:pPr>
      <w:r>
        <w:rPr>
          <w:rFonts w:hint="default"/>
          <w:b/>
          <w:bCs/>
          <w:sz w:val="24"/>
        </w:rPr>
        <w:t>孔洞分析：</w:t>
      </w:r>
    </w:p>
    <w:p w14:paraId="04B3A191">
      <w:pPr>
        <w:spacing w:line="360" w:lineRule="auto"/>
        <w:ind w:firstLine="480" w:firstLineChars="200"/>
        <w:jc w:val="left"/>
        <w:rPr>
          <w:rFonts w:hint="eastAsia"/>
          <w:sz w:val="24"/>
        </w:rPr>
      </w:pPr>
      <w:r>
        <w:rPr>
          <w:rFonts w:hint="default"/>
          <w:sz w:val="24"/>
        </w:rPr>
        <w:t>孔洞识别：运用图像处理算法自动识别岩心图像中的孔洞区域。</w:t>
      </w:r>
    </w:p>
    <w:p w14:paraId="7E8B8B2B">
      <w:pPr>
        <w:spacing w:line="360" w:lineRule="auto"/>
        <w:ind w:firstLine="480" w:firstLineChars="200"/>
        <w:jc w:val="left"/>
        <w:rPr>
          <w:rFonts w:hint="eastAsia"/>
          <w:sz w:val="24"/>
        </w:rPr>
      </w:pPr>
      <w:r>
        <w:rPr>
          <w:rFonts w:hint="default"/>
          <w:sz w:val="24"/>
        </w:rPr>
        <w:t>参数测量：测量孔洞面积、周长、直径等参数，统计孔洞数量。</w:t>
      </w:r>
    </w:p>
    <w:p w14:paraId="422F5028">
      <w:pPr>
        <w:spacing w:line="360" w:lineRule="auto"/>
        <w:ind w:firstLine="480" w:firstLineChars="200"/>
        <w:jc w:val="left"/>
        <w:rPr>
          <w:rFonts w:hint="eastAsia"/>
          <w:sz w:val="24"/>
        </w:rPr>
      </w:pPr>
      <w:r>
        <w:rPr>
          <w:rFonts w:hint="default"/>
          <w:sz w:val="24"/>
        </w:rPr>
        <w:t>统计分析：生成孔洞大小分布直方图、孔洞密度分布图等统计图表。</w:t>
      </w:r>
    </w:p>
    <w:p w14:paraId="6D315A77">
      <w:pPr>
        <w:spacing w:line="360" w:lineRule="auto"/>
        <w:jc w:val="left"/>
        <w:rPr>
          <w:rFonts w:hint="eastAsia"/>
          <w:b/>
          <w:bCs/>
          <w:sz w:val="24"/>
        </w:rPr>
      </w:pPr>
      <w:r>
        <w:rPr>
          <w:rFonts w:hint="default"/>
          <w:b/>
          <w:bCs/>
          <w:sz w:val="24"/>
        </w:rPr>
        <w:t>粒度分析：</w:t>
      </w:r>
    </w:p>
    <w:p w14:paraId="63E430C9">
      <w:pPr>
        <w:spacing w:line="360" w:lineRule="auto"/>
        <w:ind w:firstLine="480" w:firstLineChars="200"/>
        <w:jc w:val="left"/>
        <w:rPr>
          <w:rFonts w:hint="eastAsia"/>
          <w:sz w:val="24"/>
        </w:rPr>
      </w:pPr>
      <w:r>
        <w:rPr>
          <w:rFonts w:hint="default"/>
          <w:sz w:val="24"/>
        </w:rPr>
        <w:t>粒度测量：通过图像处理与识别技术测量岩心颗粒大小。</w:t>
      </w:r>
    </w:p>
    <w:p w14:paraId="6A86ABCC">
      <w:pPr>
        <w:spacing w:line="360" w:lineRule="auto"/>
        <w:ind w:firstLine="480" w:firstLineChars="200"/>
        <w:jc w:val="left"/>
        <w:rPr>
          <w:rFonts w:hint="eastAsia"/>
          <w:sz w:val="24"/>
        </w:rPr>
      </w:pPr>
      <w:r>
        <w:rPr>
          <w:rFonts w:hint="default"/>
          <w:sz w:val="24"/>
        </w:rPr>
        <w:t>粒度分布计算：计算粒度中值、分选系数等参数，绘制粒度分布曲线。</w:t>
      </w:r>
    </w:p>
    <w:p w14:paraId="329F6827">
      <w:pPr>
        <w:spacing w:line="360" w:lineRule="auto"/>
        <w:jc w:val="left"/>
        <w:rPr>
          <w:rFonts w:hint="eastAsia"/>
          <w:b/>
          <w:bCs/>
          <w:sz w:val="24"/>
        </w:rPr>
      </w:pPr>
      <w:r>
        <w:rPr>
          <w:rFonts w:hint="default"/>
          <w:b/>
          <w:bCs/>
          <w:sz w:val="24"/>
        </w:rPr>
        <w:t>裂缝分析：</w:t>
      </w:r>
    </w:p>
    <w:p w14:paraId="77CCF2E3">
      <w:pPr>
        <w:spacing w:line="360" w:lineRule="auto"/>
        <w:ind w:firstLine="480" w:firstLineChars="200"/>
        <w:jc w:val="left"/>
        <w:rPr>
          <w:rFonts w:hint="eastAsia"/>
          <w:sz w:val="24"/>
        </w:rPr>
      </w:pPr>
      <w:r>
        <w:rPr>
          <w:rFonts w:hint="default"/>
          <w:sz w:val="24"/>
        </w:rPr>
        <w:t>裂缝检测：采用边缘检测等算法检测岩心图像中的裂缝。</w:t>
      </w:r>
    </w:p>
    <w:p w14:paraId="2DBBE8AA">
      <w:pPr>
        <w:spacing w:line="360" w:lineRule="auto"/>
        <w:ind w:firstLine="480" w:firstLineChars="200"/>
        <w:jc w:val="left"/>
        <w:rPr>
          <w:rFonts w:hint="eastAsia"/>
          <w:sz w:val="24"/>
        </w:rPr>
      </w:pPr>
      <w:r>
        <w:rPr>
          <w:rFonts w:hint="default"/>
          <w:sz w:val="24"/>
        </w:rPr>
        <w:t>参数提取：提取裂缝长度、宽度、方向等参数，统计裂缝密度。</w:t>
      </w:r>
    </w:p>
    <w:p w14:paraId="2368C958">
      <w:pPr>
        <w:spacing w:line="360" w:lineRule="auto"/>
        <w:ind w:firstLine="480" w:firstLineChars="200"/>
        <w:jc w:val="left"/>
        <w:rPr>
          <w:rFonts w:hint="eastAsia"/>
          <w:sz w:val="24"/>
        </w:rPr>
      </w:pPr>
      <w:r>
        <w:rPr>
          <w:rFonts w:hint="default"/>
          <w:sz w:val="24"/>
        </w:rPr>
        <w:t>裂缝网络分析：分析裂缝连通性，构建裂缝网络模型。</w:t>
      </w:r>
    </w:p>
    <w:p w14:paraId="11A174BE">
      <w:pPr>
        <w:spacing w:line="360" w:lineRule="auto"/>
        <w:jc w:val="left"/>
        <w:rPr>
          <w:rFonts w:hint="eastAsia"/>
          <w:b/>
          <w:bCs/>
          <w:sz w:val="24"/>
        </w:rPr>
      </w:pPr>
      <w:r>
        <w:rPr>
          <w:rFonts w:hint="default"/>
          <w:b/>
          <w:bCs/>
          <w:sz w:val="24"/>
        </w:rPr>
        <w:t>用户管理：</w:t>
      </w:r>
    </w:p>
    <w:p w14:paraId="12EFD927">
      <w:pPr>
        <w:spacing w:line="360" w:lineRule="auto"/>
        <w:ind w:firstLine="480" w:firstLineChars="200"/>
        <w:jc w:val="left"/>
        <w:rPr>
          <w:rFonts w:hint="eastAsia"/>
          <w:sz w:val="24"/>
        </w:rPr>
      </w:pPr>
      <w:r>
        <w:rPr>
          <w:rFonts w:hint="default"/>
          <w:sz w:val="24"/>
        </w:rPr>
        <w:t>用户注册：新用户填写账号、密码、姓名、所属院校、专业等信息注册。</w:t>
      </w:r>
    </w:p>
    <w:p w14:paraId="4F335DCE">
      <w:pPr>
        <w:spacing w:line="360" w:lineRule="auto"/>
        <w:ind w:firstLine="480" w:firstLineChars="200"/>
        <w:jc w:val="left"/>
        <w:rPr>
          <w:rFonts w:hint="eastAsia"/>
          <w:sz w:val="24"/>
        </w:rPr>
      </w:pPr>
      <w:r>
        <w:rPr>
          <w:rFonts w:hint="default"/>
          <w:sz w:val="24"/>
        </w:rPr>
        <w:t>用户登录：用户输入账号密码登录，系统验证身份并根据权限展示功能界面。</w:t>
      </w:r>
    </w:p>
    <w:p w14:paraId="7D60B651">
      <w:pPr>
        <w:spacing w:line="360" w:lineRule="auto"/>
        <w:ind w:firstLine="480" w:firstLineChars="200"/>
        <w:jc w:val="left"/>
        <w:rPr>
          <w:rFonts w:hint="eastAsia"/>
          <w:sz w:val="24"/>
        </w:rPr>
      </w:pPr>
      <w:r>
        <w:rPr>
          <w:rFonts w:hint="default"/>
          <w:sz w:val="24"/>
        </w:rPr>
        <w:t>权限分配与管理：管理员设置用户权限，分为普通用户、教师用户、管理员用户。</w:t>
      </w:r>
    </w:p>
    <w:p w14:paraId="44378A88">
      <w:pPr>
        <w:spacing w:line="360" w:lineRule="auto"/>
        <w:jc w:val="left"/>
        <w:rPr>
          <w:rFonts w:hint="eastAsia"/>
          <w:b/>
          <w:bCs/>
          <w:sz w:val="24"/>
        </w:rPr>
      </w:pPr>
      <w:r>
        <w:rPr>
          <w:rFonts w:hint="default"/>
          <w:b/>
          <w:bCs/>
          <w:sz w:val="24"/>
        </w:rPr>
        <w:t>系统帮助与反馈：</w:t>
      </w:r>
    </w:p>
    <w:p w14:paraId="75884FD8">
      <w:pPr>
        <w:spacing w:line="360" w:lineRule="auto"/>
        <w:ind w:firstLine="480" w:firstLineChars="200"/>
        <w:jc w:val="left"/>
        <w:rPr>
          <w:rFonts w:hint="eastAsia"/>
          <w:sz w:val="24"/>
        </w:rPr>
      </w:pPr>
      <w:r>
        <w:rPr>
          <w:rFonts w:hint="default"/>
          <w:sz w:val="24"/>
        </w:rPr>
        <w:t>操作指南：提供图文并茂的系统操作手册。</w:t>
      </w:r>
    </w:p>
    <w:p w14:paraId="064C0703">
      <w:pPr>
        <w:spacing w:line="360" w:lineRule="auto"/>
        <w:ind w:firstLine="480" w:firstLineChars="200"/>
        <w:jc w:val="left"/>
        <w:rPr>
          <w:rFonts w:hint="eastAsia"/>
          <w:b/>
          <w:bCs/>
          <w:sz w:val="32"/>
        </w:rPr>
      </w:pPr>
      <w:r>
        <w:rPr>
          <w:rFonts w:hint="default"/>
          <w:sz w:val="24"/>
        </w:rPr>
        <w:t>用户反馈：用户可提交问题与建议，管理员定期查看处理并回复。</w:t>
      </w:r>
    </w:p>
    <w:p w14:paraId="2E90F4E1">
      <w:pPr>
        <w:spacing w:line="360" w:lineRule="auto"/>
        <w:ind w:left="0" w:leftChars="0" w:firstLine="0" w:firstLineChars="0"/>
        <w:jc w:val="left"/>
        <w:rPr>
          <w:rFonts w:hint="eastAsia"/>
          <w:b/>
          <w:bCs/>
          <w:sz w:val="44"/>
        </w:rPr>
      </w:pPr>
      <w:bookmarkStart w:id="35" w:name="_Toc506358940"/>
      <w:r>
        <w:rPr>
          <w:rFonts w:hint="eastAsia"/>
          <w:b/>
          <w:bCs/>
          <w:sz w:val="44"/>
        </w:rPr>
        <w:t>5．性能需求</w:t>
      </w:r>
      <w:bookmarkEnd w:id="35"/>
    </w:p>
    <w:p w14:paraId="5C6DF654">
      <w:pPr>
        <w:pStyle w:val="3"/>
        <w:rPr>
          <w:rFonts w:hint="eastAsia"/>
        </w:rPr>
      </w:pPr>
      <w:bookmarkStart w:id="36" w:name="_Toc506358941"/>
      <w:bookmarkStart w:id="37" w:name="_Toc12619"/>
      <w:r>
        <w:rPr>
          <w:rFonts w:hint="eastAsia"/>
        </w:rPr>
        <w:t>5.1数据精确度</w:t>
      </w:r>
      <w:bookmarkEnd w:id="36"/>
      <w:bookmarkEnd w:id="37"/>
    </w:p>
    <w:p w14:paraId="5F8D3FBE">
      <w:pPr>
        <w:spacing w:line="360" w:lineRule="auto"/>
        <w:ind w:firstLine="480" w:firstLineChars="200"/>
        <w:jc w:val="left"/>
        <w:rPr>
          <w:rFonts w:hint="eastAsia"/>
          <w:sz w:val="24"/>
        </w:rPr>
      </w:pPr>
      <w:r>
        <w:rPr>
          <w:rFonts w:hint="default"/>
          <w:sz w:val="24"/>
        </w:rPr>
        <w:t>岩心孔洞、粒度、裂缝参数测量误差控制在行业可接受范围，如孔洞面积测量误差不超过 ±5%，粒度测量误差不超过 ±10%，裂缝长度测量误差不超过 ±3%，裂缝宽度测量误差不超过 ±5%。岩心基础信息存储准确无误，数据录入与更新严格校验，确保数据完整性与一致性。</w:t>
      </w:r>
    </w:p>
    <w:p w14:paraId="5EE90ADD">
      <w:pPr>
        <w:pStyle w:val="3"/>
        <w:rPr>
          <w:rFonts w:hint="eastAsia"/>
        </w:rPr>
      </w:pPr>
      <w:bookmarkStart w:id="38" w:name="_Toc506358942"/>
      <w:bookmarkStart w:id="39" w:name="_Toc23741"/>
      <w:r>
        <w:rPr>
          <w:rFonts w:hint="eastAsia"/>
        </w:rPr>
        <w:t>5.2时间特性</w:t>
      </w:r>
      <w:bookmarkEnd w:id="38"/>
      <w:bookmarkEnd w:id="39"/>
    </w:p>
    <w:p w14:paraId="2C2308D0">
      <w:pPr>
        <w:spacing w:line="360" w:lineRule="auto"/>
        <w:ind w:firstLine="480" w:firstLineChars="200"/>
        <w:jc w:val="left"/>
        <w:rPr>
          <w:rFonts w:hint="eastAsia"/>
          <w:sz w:val="24"/>
        </w:rPr>
      </w:pPr>
      <w:r>
        <w:rPr>
          <w:rFonts w:hint="default"/>
          <w:sz w:val="24"/>
        </w:rPr>
        <w:t>用户登录系统响应时间不超过 3 秒，岩心数据查询结果返回时间在数据量大时不超过 5 秒。孔洞、粒度、裂缝分析任务，简单任务（如孔洞数量统计）处理时间不超过 10 秒，复杂任务（如裂缝网络分析）处理时间不超过 60 秒。</w:t>
      </w:r>
    </w:p>
    <w:p w14:paraId="72C87839">
      <w:pPr>
        <w:pStyle w:val="3"/>
        <w:rPr>
          <w:rFonts w:hint="eastAsia"/>
        </w:rPr>
      </w:pPr>
      <w:bookmarkStart w:id="40" w:name="_Toc506358943"/>
      <w:bookmarkStart w:id="41" w:name="_Toc20630"/>
      <w:r>
        <w:rPr>
          <w:rFonts w:hint="eastAsia"/>
        </w:rPr>
        <w:t>5.3适应性</w:t>
      </w:r>
      <w:bookmarkEnd w:id="40"/>
      <w:bookmarkEnd w:id="41"/>
    </w:p>
    <w:p w14:paraId="075EDDF4">
      <w:pPr>
        <w:spacing w:line="360" w:lineRule="auto"/>
        <w:ind w:firstLine="480" w:firstLineChars="200"/>
        <w:jc w:val="left"/>
        <w:rPr>
          <w:rFonts w:hint="default"/>
          <w:sz w:val="24"/>
        </w:rPr>
      </w:pPr>
      <w:bookmarkStart w:id="42" w:name="_Toc506358944"/>
      <w:r>
        <w:rPr>
          <w:rFonts w:hint="default"/>
          <w:sz w:val="24"/>
        </w:rPr>
        <w:t>操作方式：系统界面操作逻辑清晰，采用模块化设计。若因用户习惯变化需调整操作流程，可便捷修改对应模块，配合引导提示，助用户快速适应，确保操作高效。运行环境：硬件上，能自动检测硬件配置，自适应调整资源调用。软件层面，因采用跨平台技术，操作系统升级或更换，只需更新少量依赖库。不同分辨率屏幕下，界面自动缩放、调整布局。软件接口：预留通用接口规范与拓展机制。对接新软件时，开发数据转换插件即可实现数据交互；现有接口更新，能迅速升级代码，保障数据传输稳定。开发计划：基于敏捷开发理念，面对开发周期缩短或需求变更，可灵活调整任务优先级，利用模块化架构，快速开发、集成新功能模块。</w:t>
      </w:r>
    </w:p>
    <w:p w14:paraId="3CD0773C">
      <w:pPr>
        <w:pStyle w:val="2"/>
        <w:rPr>
          <w:rFonts w:hint="eastAsia"/>
        </w:rPr>
      </w:pPr>
      <w:bookmarkStart w:id="43" w:name="_Toc5684"/>
      <w:r>
        <w:rPr>
          <w:rFonts w:hint="eastAsia"/>
        </w:rPr>
        <w:t>6．运行需求</w:t>
      </w:r>
      <w:bookmarkEnd w:id="42"/>
      <w:bookmarkEnd w:id="43"/>
    </w:p>
    <w:p w14:paraId="4CC0B429">
      <w:pPr>
        <w:pStyle w:val="3"/>
        <w:rPr>
          <w:rFonts w:hint="eastAsia"/>
        </w:rPr>
      </w:pPr>
      <w:bookmarkStart w:id="44" w:name="_Toc506358945"/>
      <w:bookmarkStart w:id="45" w:name="_Toc5840"/>
      <w:r>
        <w:rPr>
          <w:rFonts w:hint="eastAsia"/>
        </w:rPr>
        <w:t>6.1用户界面</w:t>
      </w:r>
      <w:bookmarkEnd w:id="44"/>
      <w:bookmarkEnd w:id="45"/>
    </w:p>
    <w:p w14:paraId="73E85246">
      <w:pPr>
        <w:spacing w:line="360" w:lineRule="auto"/>
        <w:ind w:firstLine="480" w:firstLineChars="200"/>
        <w:jc w:val="left"/>
        <w:rPr>
          <w:rFonts w:hint="default"/>
          <w:sz w:val="24"/>
        </w:rPr>
      </w:pPr>
      <w:bookmarkStart w:id="46" w:name="_Toc506358946"/>
      <w:r>
        <w:rPr>
          <w:rFonts w:hint="default"/>
          <w:sz w:val="24"/>
        </w:rPr>
        <w:t>屏幕格式：适配常见桌面及移动设备分辨率，桌面端布局合理，移动版简洁易操作。背景色调柔和，岩心图像展示区可全屏放大。</w:t>
      </w:r>
    </w:p>
    <w:p w14:paraId="5E62042C">
      <w:pPr>
        <w:spacing w:line="360" w:lineRule="auto"/>
        <w:ind w:firstLine="480" w:firstLineChars="200"/>
        <w:jc w:val="left"/>
        <w:rPr>
          <w:rFonts w:hint="default"/>
          <w:sz w:val="24"/>
        </w:rPr>
      </w:pPr>
      <w:r>
        <w:rPr>
          <w:rFonts w:hint="default"/>
          <w:sz w:val="24"/>
        </w:rPr>
        <w:t>报表格式：支持 PDF 和 Excel 格式导出。PDF 适合打印存档，排版规范；Excel 便于用户二次编辑，数据以表格清晰呈现。</w:t>
      </w:r>
    </w:p>
    <w:p w14:paraId="11C4ED0D">
      <w:pPr>
        <w:spacing w:line="360" w:lineRule="auto"/>
        <w:ind w:firstLine="480" w:firstLineChars="200"/>
        <w:jc w:val="left"/>
        <w:rPr>
          <w:rFonts w:hint="default"/>
          <w:sz w:val="24"/>
        </w:rPr>
      </w:pPr>
      <w:r>
        <w:rPr>
          <w:rFonts w:hint="default"/>
          <w:sz w:val="24"/>
        </w:rPr>
        <w:t>菜单格式：采用分层式菜单，主菜单在顶部，含核心功能模块，悬停弹出下拉子菜单，文字搭配图标，辨识度高。</w:t>
      </w:r>
    </w:p>
    <w:p w14:paraId="05806A86">
      <w:pPr>
        <w:spacing w:line="360" w:lineRule="auto"/>
        <w:ind w:firstLine="480" w:firstLineChars="200"/>
        <w:jc w:val="left"/>
        <w:rPr>
          <w:rFonts w:hint="default"/>
          <w:sz w:val="24"/>
        </w:rPr>
      </w:pPr>
      <w:r>
        <w:rPr>
          <w:rFonts w:hint="default"/>
          <w:sz w:val="24"/>
        </w:rPr>
        <w:t>输入输出时间：输入数据实时校验，反馈不超 1 秒。简单分析结果 3 秒内输出，复杂分析 10 秒内完成，提升用户体验。</w:t>
      </w:r>
    </w:p>
    <w:p w14:paraId="308107CF">
      <w:pPr>
        <w:pStyle w:val="3"/>
        <w:rPr>
          <w:rFonts w:hint="eastAsia"/>
        </w:rPr>
      </w:pPr>
      <w:bookmarkStart w:id="47" w:name="_Toc16839"/>
      <w:r>
        <w:rPr>
          <w:rFonts w:hint="eastAsia"/>
        </w:rPr>
        <w:t>6.2硬件接口</w:t>
      </w:r>
      <w:bookmarkEnd w:id="46"/>
      <w:bookmarkEnd w:id="47"/>
    </w:p>
    <w:p w14:paraId="5CEE053A">
      <w:pPr>
        <w:spacing w:line="360" w:lineRule="auto"/>
        <w:ind w:firstLine="480" w:firstLineChars="200"/>
        <w:jc w:val="left"/>
        <w:rPr>
          <w:rFonts w:hint="default"/>
          <w:sz w:val="24"/>
        </w:rPr>
      </w:pPr>
      <w:r>
        <w:rPr>
          <w:rFonts w:hint="default"/>
          <w:sz w:val="24"/>
        </w:rPr>
        <w:t>图像采集：可连接主流岩心扫描仪、高清相机，通过 USB3.0 或千兆以太网接口传输数据，内置驱动适配程序，自动识别设备。</w:t>
      </w:r>
    </w:p>
    <w:p w14:paraId="76C68874">
      <w:pPr>
        <w:spacing w:line="360" w:lineRule="auto"/>
        <w:ind w:firstLine="480" w:firstLineChars="200"/>
        <w:jc w:val="left"/>
        <w:rPr>
          <w:rFonts w:hint="default"/>
          <w:sz w:val="24"/>
        </w:rPr>
      </w:pPr>
      <w:r>
        <w:rPr>
          <w:rFonts w:hint="default"/>
          <w:sz w:val="24"/>
        </w:rPr>
        <w:t>显示设备：兼容各类显示器，支持高刷新率及多屏显示，提供流畅视觉体验。</w:t>
      </w:r>
    </w:p>
    <w:p w14:paraId="09698142">
      <w:pPr>
        <w:rPr>
          <w:rFonts w:hint="eastAsia"/>
        </w:rPr>
      </w:pPr>
    </w:p>
    <w:p w14:paraId="6F5ADC08">
      <w:pPr>
        <w:pStyle w:val="3"/>
        <w:rPr>
          <w:rFonts w:hint="eastAsia"/>
        </w:rPr>
      </w:pPr>
      <w:bookmarkStart w:id="48" w:name="_Toc506358947"/>
      <w:bookmarkStart w:id="49" w:name="_Toc5871"/>
      <w:r>
        <w:rPr>
          <w:rFonts w:hint="eastAsia"/>
        </w:rPr>
        <w:t>6.3软件接口</w:t>
      </w:r>
      <w:bookmarkEnd w:id="48"/>
      <w:bookmarkEnd w:id="49"/>
    </w:p>
    <w:p w14:paraId="4553A92F">
      <w:pPr>
        <w:spacing w:line="360" w:lineRule="auto"/>
        <w:ind w:firstLine="480" w:firstLineChars="200"/>
        <w:jc w:val="left"/>
        <w:rPr>
          <w:rFonts w:hint="eastAsia"/>
          <w:sz w:val="24"/>
        </w:rPr>
      </w:pPr>
      <w:r>
        <w:rPr>
          <w:rFonts w:hint="default"/>
          <w:sz w:val="24"/>
        </w:rPr>
        <w:t>通过标准数据库连接接口（如 JDBC）与 MySQL 数据库高效连接，保障数据存储与读取稳定高效。支持与其他常用地质分析软件（如 Petrel 等）的数据交互，可导入导出相关数据格式。采用 HTML5、CSS3、JavaScript 等前端技术，确保在主流浏览器上功能正常运行，界面显示一致。</w:t>
      </w:r>
    </w:p>
    <w:p w14:paraId="6B4006C5">
      <w:pPr>
        <w:pStyle w:val="3"/>
        <w:rPr>
          <w:rFonts w:hint="eastAsia"/>
        </w:rPr>
      </w:pPr>
      <w:bookmarkStart w:id="50" w:name="_Toc506358948"/>
      <w:bookmarkStart w:id="51" w:name="_Toc16390"/>
      <w:r>
        <w:rPr>
          <w:rFonts w:hint="eastAsia"/>
        </w:rPr>
        <w:t>6.4故障处理</w:t>
      </w:r>
      <w:bookmarkEnd w:id="50"/>
      <w:bookmarkEnd w:id="51"/>
    </w:p>
    <w:p w14:paraId="6B0155EF">
      <w:pPr>
        <w:spacing w:line="360" w:lineRule="auto"/>
        <w:ind w:firstLine="480" w:firstLineChars="200"/>
        <w:jc w:val="left"/>
        <w:rPr>
          <w:rFonts w:hint="eastAsia"/>
          <w:sz w:val="24"/>
        </w:rPr>
      </w:pPr>
      <w:r>
        <w:rPr>
          <w:rFonts w:hint="default"/>
          <w:sz w:val="24"/>
        </w:rPr>
        <w:t>系统具备完善故障监测机制，实时监控运行状态，出现服务器宕机、数据库连接失败、程序崩溃等故障时立即发出警报通知管理员。常见故障具备自动恢复功能，如数据库连接短暂中断后自动重连，程序异常终止后尝试自动重启。无法自动恢复的故障提供详细故障日志，记录故障时间、错误信息等，方便管理员定位解决。故障期间向用户提供友好提示，告知维护情况与预计恢复时间。</w:t>
      </w:r>
    </w:p>
    <w:p w14:paraId="210579AE">
      <w:pPr>
        <w:pStyle w:val="2"/>
        <w:rPr>
          <w:rFonts w:hint="eastAsia"/>
        </w:rPr>
      </w:pPr>
      <w:bookmarkStart w:id="52" w:name="_Toc506358949"/>
      <w:bookmarkStart w:id="53" w:name="_Toc2818"/>
      <w:r>
        <w:rPr>
          <w:rFonts w:hint="eastAsia"/>
        </w:rPr>
        <w:t>7．其它需求</w:t>
      </w:r>
      <w:bookmarkEnd w:id="52"/>
      <w:bookmarkEnd w:id="53"/>
    </w:p>
    <w:p w14:paraId="22083C98">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7.1 安全需求</w:t>
      </w:r>
    </w:p>
    <w:p w14:paraId="3E0FA0F3">
      <w:pPr>
        <w:keepNext w:val="0"/>
        <w:keepLines w:val="0"/>
        <w:widowControl/>
        <w:suppressLineNumbers w:val="0"/>
        <w:shd w:val="clear" w:fill="FFFFFF"/>
        <w:spacing w:line="336" w:lineRule="atLeast"/>
        <w:ind w:left="0" w:firstLine="480" w:firstLineChars="20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数据传输采用加密技术（如 SSL/TLS），防止数据传输中被窃取或篡改。用户账号密码采用加密存储（如 MD5 加盐加密），保障用户信息安全。设置严格访问权限控制，不同用户角色只能访问操作权限内的数据与功能，防止越权操作导致数据泄露与系统安全问题。</w:t>
      </w:r>
    </w:p>
    <w:p w14:paraId="68694A6B">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7.2 可维护性需求</w:t>
      </w:r>
    </w:p>
    <w:p w14:paraId="635D2B94">
      <w:pPr>
        <w:keepNext w:val="0"/>
        <w:keepLines w:val="0"/>
        <w:widowControl/>
        <w:suppressLineNumbers w:val="0"/>
        <w:shd w:val="clear" w:fill="FFFFFF"/>
        <w:spacing w:line="336" w:lineRule="atLeast"/>
        <w:ind w:left="0" w:firstLine="480" w:firstLineChars="20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系统代码遵循良好编程规范，结构清晰，注释详尽，便于开发人员后续维护与功能扩展。系统架构设计模块化，某个功能模块出现问题或需升级时，可单独维护替换，不影响其他模块运行。定期进行系统性能监测与优化，根据用户反馈及时修复漏洞、调整参数，提升系统稳定性与性能表现。</w:t>
      </w:r>
    </w:p>
    <w:p w14:paraId="1AD73CF6">
      <w:pPr>
        <w:pStyle w:val="4"/>
        <w:keepNext w:val="0"/>
        <w:keepLines w:val="0"/>
        <w:widowControl/>
        <w:suppressLineNumbers w:val="0"/>
        <w:pBdr>
          <w:bottom w:val="none" w:color="auto" w:sz="0" w:space="0"/>
        </w:pBdr>
        <w:shd w:val="clear" w:fill="FFFFFF"/>
        <w:spacing w:before="336" w:beforeAutospacing="0" w:after="144" w:afterAutospacing="0" w:line="336" w:lineRule="atLeast"/>
        <w:ind w:left="0" w:firstLine="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7.3 可移植性需求</w:t>
      </w:r>
    </w:p>
    <w:p w14:paraId="5BB7C172">
      <w:pPr>
        <w:keepNext w:val="0"/>
        <w:keepLines w:val="0"/>
        <w:widowControl/>
        <w:suppressLineNumbers w:val="0"/>
        <w:shd w:val="clear" w:fill="FFFFFF"/>
        <w:spacing w:line="336" w:lineRule="atLeast"/>
        <w:ind w:left="0" w:firstLine="480" w:firstLineChars="20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系统开发采用跨平台技术，不仅能在 Windows 操作系统上稳定运行，在 Linux、Mac OS 等主流操作系统上也可正常部署使用，满足不同用户操作系统使用习惯。部署到不同硬件环境（如不同配置服务器）时，能方便适配调整，保证系统性能不受硬件环境差异显著影响。</w:t>
      </w:r>
    </w:p>
    <w:p w14:paraId="2AF17430">
      <w:pPr>
        <w:rPr>
          <w:rFonts w:hint="eastAsia"/>
        </w:rPr>
      </w:pPr>
    </w:p>
    <w:p w14:paraId="7CE345CA">
      <w:pPr>
        <w:rPr>
          <w:rFonts w:hint="eastAsia"/>
        </w:rPr>
      </w:pPr>
    </w:p>
    <w:p w14:paraId="53004E8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933E74"/>
    <w:rsid w:val="39D04943"/>
    <w:rsid w:val="436A4639"/>
    <w:rsid w:val="53936573"/>
    <w:rsid w:val="634F23C1"/>
    <w:rsid w:val="66081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3" w:lineRule="auto"/>
      <w:outlineLvl w:val="1"/>
    </w:pPr>
    <w:rPr>
      <w:rFonts w:ascii="Arial" w:hAnsi="Arial" w:eastAsia="黑体"/>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6674</Words>
  <Characters>7413</Characters>
  <Lines>0</Lines>
  <Paragraphs>0</Paragraphs>
  <TotalTime>1280</TotalTime>
  <ScaleCrop>false</ScaleCrop>
  <LinksUpToDate>false</LinksUpToDate>
  <CharactersWithSpaces>7614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2025-04-14T12:39:00Z</dcterms:created>
  <dc:creator>陈佳威</dc:creator>
  <cp:lastModifiedBy>陈佳威</cp:lastModifiedBy>
  <dcterms:modified xsi:type="dcterms:W3CDTF">2025-04-15T11:16:17Z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eyJoZGlkIjoiYmQwNzEyMDIxMjdlMmFiNTQ3ODc5YzY4ZWM2ZTI0NWQiLCJ1c2VySWQiOiIxMzk1NDM4MTMzIn0=</vt:lpwstr>
  </property>
  <property fmtid="{D5CDD505-2E9C-101B-9397-08002B2CF9AE}" pid="4" name="ICV">
    <vt:lpwstr>46071363E02D462F84B9A1BA2FD5FCB3_12</vt:lpwstr>
  </property>
</Properties>
</file>