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Regression fixture for tests/test_analysis_claims.py. This is the clinical-yield paragraph as it stood in the pre-fix draft of 2026-09-03, kept so the scoped-source rule can be exercised against the text that motivated it without depending on a file on one author's machine. The value 74.5 below is the defect: it appears in no row of the output this paragraph declares.</w:t>
      </w:r>
    </w:p>
    <w:p>
      <w:r>
        <w:t>Under the evidence-based definition of clinical yield, the fusion places 86.8% of variants at Moderate or above on the functional standard, against 75.1% under the 0.90/0.10 confidence band. The ordering among the leading objects is unchanged, so the redefinition does not manufacture an advantage; what it changes is the standing of under-sharp scores, and phastCons moves from 17.7% to 74.5% because a confidence band penalises under-sharpness in a way an evidence scale does not.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