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Supplementary Table S1. </w:t>
      </w:r>
      <w:r>
        <w:rPr>
          <w:sz w:val="20"/>
        </w:rPr>
        <w:t>Functional gold-standard (SGE) score sets used per gene: MaveDB URN, assay type, reference transcript and assembly, source reference and licence. All seven score sets are saturation genome editing (SGE) and openly licensed (CC0 or CC BY 4.0). ENST-based sets were coordinate-mapped to GRCh38 via the listed MANE-Select RefSeq transcript (validated 12/12 per gene against MaveDB post-mapping; see Methods 2.2).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6"/>
              </w:rPr>
              <w:t>Gene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MaveDB URN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Assay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Reference transcript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Mapped via (MANE RefSeq)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Assembly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Reference (PMID/source)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License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BRCA1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urn:mavedb:00000097-0-2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SGE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NM_007294.3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(native RefSeq)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GRCh38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Findlay et al. 2018; PMID 30209399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CC0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BRCA2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urn:mavedb:00001225-a-1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SGE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ENST00000380152.8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NM_000059.4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GRCh38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2025; PMID 39779857 [verify]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CC0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BARD1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urn:mavedb:00001250-a-2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SGE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NM_000465.4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(native RefSeq)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GRCh38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PMID not recorded [verify]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CC0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PALB2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urn:mavedb:00001259-a-2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SGE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NM_024675.4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(native RefSeq)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GRCh38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PMID not recorded [verify]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CC0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RAD51C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urn:mavedb:00000673-0-1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SGE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ENST00000337432.9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NM_058216.3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GRCh38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2024; PMID 39299233 [verify]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CC BY 4.0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VHL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urn:mavedb:00000675-a-1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SGE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ENST00000256474.3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NM_000551.4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GRCh38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Buckley et al. 2023/2024; PMID 38969834 [verify]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CC BY 4.0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6"/>
              </w:rPr>
              <w:t>BAP1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urn:mavedb:00000662-0-1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SGE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ENST00000460680.6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NM_004656.4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GRCh38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Waters et al. 2024; PMID 38969833 [verify]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CC BY 4.0</w:t>
            </w:r>
          </w:p>
        </w:tc>
      </w:tr>
    </w:tbl>
    <w:p>
      <w:r>
        <w:rPr>
          <w:i/>
          <w:sz w:val="16"/>
        </w:rPr>
        <w:t>[verify] = PMID/source taken from the project's milestone records (docs/milestone2, milestone4) and not yet independently confirmed against the source publication; confirm before submission. BARD1 and PALB2 PMIDs are not recorded in the project materials. See docs/OPEN_ITEMS.md.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