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Tezepelumab (Тезспире) при тяжёлой бронхиальной астме</w:t>
      </w:r>
    </w:p>
    <w:p>
      <w:pPr>
        <w:pStyle w:val="Subtitle"/>
      </w:pPr>
      <w:r>
        <w:t xml:space="preserve">Рабочий обзор доказательств</w:t>
      </w:r>
    </w:p>
    <w:p>
      <w:pPr>
        <w:pStyle w:val="Author"/>
      </w:pPr>
      <w:r>
        <w:t xml:space="preserve">Джарвис (черновик для Дмитрия)</w:t>
      </w:r>
    </w:p>
    <w:p>
      <w:pPr>
        <w:pStyle w:val="Date"/>
      </w:pPr>
      <w:r>
        <w:t xml:space="preserve">2026-09-09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/>
          <w:p>
            <w:pPr>
              <w:pStyle w:val="Compact"/>
            </w:pPr>
            <w:r>
              <w:t xml:space="preserve">Внутренний бриф / раздел отчёта (Дмитрий); клинико-доказательный черновик, не инструкция для пациентов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База</w:t>
            </w:r>
          </w:p>
        </w:tc>
        <w:tc>
          <w:tcPr/>
          <w:p>
            <w:pPr>
              <w:pStyle w:val="Compact"/>
            </w:pPr>
            <w:r>
              <w:t xml:space="preserve">Living systematic review openMetaAnalysis</w:t>
            </w:r>
            <w:r>
              <w:t xml:space="preserve"> </w:t>
            </w:r>
            <w:r>
              <w:rPr>
                <w:i/>
                <w:iCs/>
              </w:rPr>
              <w:t xml:space="preserve">Asthma-immunomodulation</w:t>
            </w:r>
            <w:r>
              <w:t xml:space="preserve"> </w:t>
            </w:r>
            <w:r>
              <w:t xml:space="preserve">(форк</w:t>
            </w:r>
            <w:r>
              <w:t xml:space="preserve"> </w:t>
            </w:r>
            <w:r>
              <w:rPr>
                <w:rStyle w:val="VerbatimChar"/>
              </w:rPr>
              <w:t xml:space="preserve">onepeace434-prog/Asthma-immunomodulation</w:t>
            </w:r>
            <w:r>
              <w:t xml:space="preserve">, локальный клон</w:t>
            </w:r>
            <w:r>
              <w:t xml:space="preserve"> </w:t>
            </w:r>
            <w:r>
              <w:rPr>
                <w:rStyle w:val="VerbatimChar"/>
              </w:rPr>
              <w:t xml:space="preserve">/workspace/asthma-immuno</w:t>
            </w:r>
            <w:r>
              <w:t xml:space="preserve">; ветки</w:t>
            </w:r>
            <w:r>
              <w:t xml:space="preserve"> </w:t>
            </w:r>
            <w:r>
              <w:rPr>
                <w:rStyle w:val="VerbatimChar"/>
              </w:rPr>
              <w:t xml:space="preserve">master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gh-pages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Публичный вид</w:t>
            </w:r>
          </w:p>
        </w:tc>
        <w:tc>
          <w:tcPr/>
          <w:p>
            <w:pPr>
              <w:pStyle w:val="Compact"/>
            </w:pPr>
            <w:r>
              <w:t xml:space="preserve">https://openmetaanalysis.github.io/Asthma-immunomodulation/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Фокус</w:t>
            </w:r>
          </w:p>
        </w:tc>
        <w:tc>
          <w:tcPr/>
          <w:p>
            <w:pPr>
              <w:pStyle w:val="Compact"/>
            </w:pPr>
            <w:r>
              <w:t xml:space="preserve">Tezepelumab (анти-TSLP); не полный обзор класса mAb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Статус текста</w:t>
            </w:r>
          </w:p>
        </w:tc>
        <w:tc>
          <w:tcPr/>
          <w:p>
            <w:pPr>
              <w:pStyle w:val="Compact"/>
            </w:pPr>
            <w:r>
              <w:t xml:space="preserve">Рабочий черновик. Места, требующие дополнительной сверки, помечены</w:t>
            </w:r>
            <w:r>
              <w:t xml:space="preserve"> </w:t>
            </w:r>
            <w:r>
              <w:rPr>
                <w:b/>
                <w:bCs/>
              </w:rPr>
              <w:t xml:space="preserve">[проверить]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краткое-резюме"/>
    <w:p>
      <w:pPr>
        <w:pStyle w:val="Heading2"/>
      </w:pPr>
      <w:r>
        <w:t xml:space="preserve">1 Краткое резюме</w:t>
      </w:r>
    </w:p>
    <w:p>
      <w:pPr>
        <w:pStyle w:val="FirstParagraph"/>
      </w:pPr>
      <w:r>
        <w:t xml:space="preserve">Tezepelumab — человеческое моноклональное антитело (IgG2λ) к тимусному стромальному лимфопоэтину (TSLP). В РКИ у взрослых (и подростков в NAVIGATOR) с тяжёлой/неконтролируемой астмой препарат снижал частоту обострений по сравнению с плацебо при добавлении к стандартной поддерживающей терапии. Living review openMetaAnalysis (критерии: RCT tezepelumab vs placebo у взрослых с тяжёлой астмой) суммирует эффект как</w:t>
      </w:r>
      <w:r>
        <w:t xml:space="preserve"> </w:t>
      </w:r>
      <w:r>
        <w:rPr>
          <w:b/>
          <w:bCs/>
        </w:rPr>
        <w:t xml:space="preserve">клинически значимый независимо от исходного числа эозинофилов крови</w:t>
      </w:r>
      <w:r>
        <w:t xml:space="preserve">, при</w:t>
      </w:r>
      <w:r>
        <w:t xml:space="preserve"> </w:t>
      </w:r>
      <w:r>
        <w:rPr>
          <w:b/>
          <w:bCs/>
        </w:rPr>
        <w:t xml:space="preserve">существенной гетерогенности</w:t>
      </w:r>
      <w:r>
        <w:t xml:space="preserve"> </w:t>
      </w:r>
      <w:r>
        <w:t xml:space="preserve">(I² ≈ 62%). Ключевые испытания: PATHWAY (фаза 2b, Corren et al., NEJM 2017) и NAVIGATOR (фаза 3, Menzies-Gow et al., NEJM 2021). По объединённой оценке review относительный риск (RR) годичной частоты обострений (ARAE) составил</w:t>
      </w:r>
      <w:r>
        <w:t xml:space="preserve"> </w:t>
      </w:r>
      <w:r>
        <w:rPr>
          <w:b/>
          <w:bCs/>
        </w:rPr>
        <w:t xml:space="preserve">0,38 (95% ДИ 0,26–0,56)</w:t>
      </w:r>
      <w:r>
        <w:t xml:space="preserve">; в подгруппах с низкими и высокими эозинофилами —</w:t>
      </w:r>
      <w:r>
        <w:t xml:space="preserve"> </w:t>
      </w:r>
      <w:r>
        <w:rPr>
          <w:b/>
          <w:bCs/>
        </w:rPr>
        <w:t xml:space="preserve">0,47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0,30</w:t>
      </w:r>
      <w:r>
        <w:t xml:space="preserve"> </w:t>
      </w:r>
      <w:r>
        <w:t xml:space="preserve">соответственно. Профиль нежелательных явлений в ключевых РКИ сопоставим с плацебо. Регуляторно Tezspire одобрен FDA/EMA как add-on при тяжёлой астме (≥12 лет); в РФ препарат зарегистрирован как</w:t>
      </w:r>
      <w:r>
        <w:t xml:space="preserve"> </w:t>
      </w:r>
      <w:r>
        <w:rPr>
          <w:b/>
          <w:bCs/>
        </w:rPr>
        <w:t xml:space="preserve">Тезспире</w:t>
      </w:r>
      <w:r>
        <w:t xml:space="preserve"> </w:t>
      </w:r>
      <w:r>
        <w:t xml:space="preserve">(по открытым справочникам — РУ от 10.08.2023) —</w:t>
      </w:r>
      <w:r>
        <w:t xml:space="preserve"> </w:t>
      </w:r>
      <w:r>
        <w:rPr>
          <w:b/>
          <w:bCs/>
        </w:rPr>
        <w:t xml:space="preserve">[проверить актуальность в ГРЛС]</w:t>
      </w:r>
      <w:r>
        <w:t xml:space="preserve">. Прямых сравнений «голова к голове» с другими биопрепаратами в рамках данного review нет; смежный контекст анти-аларминов (itepekimab / IL-33) в review отмечен отдельно и</w:t>
      </w:r>
      <w:r>
        <w:t xml:space="preserve"> </w:t>
      </w:r>
      <w:r>
        <w:rPr>
          <w:b/>
          <w:bCs/>
        </w:rPr>
        <w:t xml:space="preserve">не смешивается</w:t>
      </w:r>
      <w:r>
        <w:t xml:space="preserve"> </w:t>
      </w:r>
      <w:r>
        <w:t xml:space="preserve">с эффектами tezepelumab.</w:t>
      </w:r>
    </w:p>
    <w:p>
      <w:r>
        <w:pict>
          <v:rect style="width:0;height:1.5pt" o:hralign="center" o:hrstd="t" o:hr="t"/>
        </w:pict>
      </w:r>
    </w:p>
    <w:bookmarkEnd w:id="9"/>
    <w:bookmarkStart w:id="10" w:name="механизм-tslp"/>
    <w:p>
      <w:pPr>
        <w:pStyle w:val="Heading2"/>
      </w:pPr>
      <w:r>
        <w:t xml:space="preserve">2 Механизм (TSLP)</w:t>
      </w:r>
    </w:p>
    <w:p>
      <w:pPr>
        <w:pStyle w:val="FirstParagraph"/>
      </w:pPr>
      <w:r>
        <w:t xml:space="preserve">TSLP — эпителиальный «алармин», расположенный</w:t>
      </w:r>
      <w:r>
        <w:t xml:space="preserve"> </w:t>
      </w:r>
      <w:r>
        <w:rPr>
          <w:b/>
          <w:bCs/>
        </w:rPr>
        <w:t xml:space="preserve">выше по каскаду</w:t>
      </w:r>
      <w:r>
        <w:t xml:space="preserve">, чем классические Th2-цитокины (IL-5, IL-4/IL-13) и IgE. Он активирует дендритные клетки и другие эффекторы врождённого и адаптивного иммунитета, поддерживая воспаление дыхательных путей и бронхиальную гиперреактивность при аллергических и неаллергических триггерах.</w:t>
      </w:r>
    </w:p>
    <w:p>
      <w:pPr>
        <w:pStyle w:val="BodyText"/>
      </w:pPr>
      <w:r>
        <w:t xml:space="preserve">Tezepelumab связывается с TSLP и блокирует его взаимодействие с гетеродимерным рецептором TSLP. Следствие — снижение широкого спектра биомаркеров воспаления (эозинофилы крови, FeNO, IgE, IL-5, IL-13 и др.), что концептуально объясняет эффект</w:t>
      </w:r>
      <w:r>
        <w:t xml:space="preserve"> </w:t>
      </w:r>
      <w:r>
        <w:rPr>
          <w:b/>
          <w:bCs/>
        </w:rPr>
        <w:t xml:space="preserve">шире</w:t>
      </w:r>
      <w:r>
        <w:t xml:space="preserve">, чем у препаратов, нацеленных на один цитокин. Это же обосновывает интерес к применению</w:t>
      </w:r>
      <w:r>
        <w:t xml:space="preserve"> </w:t>
      </w:r>
      <w:r>
        <w:rPr>
          <w:b/>
          <w:bCs/>
        </w:rPr>
        <w:t xml:space="preserve">без жёсткой привязки</w:t>
      </w:r>
      <w:r>
        <w:t xml:space="preserve"> </w:t>
      </w:r>
      <w:r>
        <w:t xml:space="preserve">к высокому уровню эозинофилов — в отличие от анти-IL-5 стратегий.</w:t>
      </w:r>
    </w:p>
    <w:p>
      <w:r>
        <w:pict>
          <v:rect style="width:0;height:1.5pt" o:hralign="center" o:hrstd="t" o:hr="t"/>
        </w:pict>
      </w:r>
    </w:p>
    <w:bookmarkEnd w:id="10"/>
    <w:bookmarkStart w:id="11" w:name="показания-популяция-в-рки"/>
    <w:p>
      <w:pPr>
        <w:pStyle w:val="Heading2"/>
      </w:pPr>
      <w:r>
        <w:t xml:space="preserve">3 Показания / популяция в РКИ</w:t>
      </w:r>
    </w:p>
    <w:p>
      <w:pPr>
        <w:pStyle w:val="FirstParagraph"/>
      </w:pPr>
      <w:r>
        <w:rPr>
          <w:b/>
          <w:bCs/>
        </w:rPr>
        <w:t xml:space="preserve">Критерии living review (gh-pages clinical summary):</w:t>
      </w:r>
      <w:r>
        <w:t xml:space="preserve"> </w:t>
      </w:r>
      <w:r>
        <w:t xml:space="preserve">рандомизированные контролируемые испытания лечения</w:t>
      </w:r>
      <w:r>
        <w:t xml:space="preserve"> </w:t>
      </w:r>
      <w:r>
        <w:rPr>
          <w:b/>
          <w:bCs/>
        </w:rPr>
        <w:t xml:space="preserve">взрослых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тяжёлой астмой</w:t>
      </w:r>
      <w:r>
        <w:t xml:space="preserve"> </w:t>
      </w:r>
      <w:r>
        <w:t xml:space="preserve">tezepelumab vs</w:t>
      </w:r>
      <w:r>
        <w:t xml:space="preserve"> </w:t>
      </w:r>
      <w:r>
        <w:rPr>
          <w:b/>
          <w:bCs/>
        </w:rPr>
        <w:t xml:space="preserve">placebo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Исследование</w:t>
            </w:r>
          </w:p>
        </w:tc>
        <w:tc>
          <w:tcPr/>
          <w:p>
            <w:pPr>
              <w:pStyle w:val="Compact"/>
            </w:pPr>
            <w:r>
              <w:t xml:space="preserve">Дизайн</w:t>
            </w:r>
          </w:p>
        </w:tc>
        <w:tc>
          <w:tcPr/>
          <w:p>
            <w:pPr>
              <w:pStyle w:val="Compact"/>
            </w:pPr>
            <w:r>
              <w:t xml:space="preserve">Популяция (кратко)</w:t>
            </w:r>
          </w:p>
        </w:tc>
        <w:tc>
          <w:tcPr/>
          <w:p>
            <w:pPr>
              <w:pStyle w:val="Compact"/>
            </w:pPr>
            <w:r>
              <w:t xml:space="preserve">Доза в MA / ключевая</w:t>
            </w:r>
          </w:p>
        </w:tc>
        <w:tc>
          <w:tcPr/>
          <w:p>
            <w:pPr>
              <w:pStyle w:val="Compact"/>
            </w:pPr>
            <w:r>
              <w:t xml:space="preserve">Длительность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PATHWAY</w:t>
            </w:r>
            <w:r>
              <w:t xml:space="preserve"> </w:t>
            </w:r>
            <w:r>
              <w:t xml:space="preserve">(Corren, NEJM 2017; PMID 28877011; NCT02054130)</w:t>
            </w:r>
          </w:p>
        </w:tc>
        <w:tc>
          <w:tcPr/>
          <w:p>
            <w:pPr>
              <w:pStyle w:val="Compact"/>
            </w:pPr>
            <w:r>
              <w:t xml:space="preserve">Фаза 2b, DB, PC</w:t>
            </w:r>
          </w:p>
        </w:tc>
        <w:tc>
          <w:tcPr/>
          <w:p>
            <w:pPr>
              <w:pStyle w:val="Compact"/>
            </w:pPr>
            <w:r>
              <w:t xml:space="preserve">Взрослые 18–75 лет; неконтролируемая астма на LABA + средне-/высокодозных ИКС; ≥2 обострения / 1 госпитализация за год; FEV1 40–80% должн.; ACQ-6 ≥1,5</w:t>
            </w:r>
          </w:p>
        </w:tc>
        <w:tc>
          <w:tcPr/>
          <w:p>
            <w:pPr>
              <w:pStyle w:val="Compact"/>
            </w:pPr>
            <w:r>
              <w:t xml:space="preserve">В PATHWAY изучали 70 мг Q4W,</w:t>
            </w:r>
            <w:r>
              <w:t xml:space="preserve"> </w:t>
            </w:r>
            <w:r>
              <w:rPr>
                <w:b/>
                <w:bCs/>
              </w:rPr>
              <w:t xml:space="preserve">210 мг Q4W</w:t>
            </w:r>
            <w:r>
              <w:t xml:space="preserve">, 280 мг Q2W п/к; в forest plot review — ветка, сопоставимая с дозой 210 мг (n≈275 в сводке PICO/forest)</w:t>
            </w:r>
          </w:p>
        </w:tc>
        <w:tc>
          <w:tcPr/>
          <w:p>
            <w:pPr>
              <w:pStyle w:val="Compact"/>
            </w:pPr>
            <w:r>
              <w:t xml:space="preserve">52 нед.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NAVIGATOR</w:t>
            </w:r>
            <w:r>
              <w:t xml:space="preserve"> </w:t>
            </w:r>
            <w:r>
              <w:t xml:space="preserve">(Menzies-Gow, NEJM 2021; PMID 33979488; NCT03347279)</w:t>
            </w:r>
          </w:p>
        </w:tc>
        <w:tc>
          <w:tcPr/>
          <w:p>
            <w:pPr>
              <w:pStyle w:val="Compact"/>
            </w:pPr>
            <w:r>
              <w:t xml:space="preserve">Фаза 3, DB, PC</w:t>
            </w:r>
          </w:p>
        </w:tc>
        <w:tc>
          <w:tcPr/>
          <w:p>
            <w:pPr>
              <w:pStyle w:val="Compact"/>
            </w:pPr>
            <w:r>
              <w:t xml:space="preserve">12–80 лет; тяжёлая неконтролируемая астма; средне-/высокодозные ИКС + ≥1 контроллер ± ОКС; n=1061 (529 / 532)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210 мг п/к каждые 4 недели</w:t>
            </w:r>
          </w:p>
        </w:tc>
        <w:tc>
          <w:tcPr/>
          <w:p>
            <w:pPr>
              <w:pStyle w:val="Compact"/>
            </w:pPr>
            <w:r>
              <w:t xml:space="preserve">52 нед.</w:t>
            </w:r>
          </w:p>
        </w:tc>
      </w:tr>
    </w:tbl>
    <w:p>
      <w:pPr>
        <w:pStyle w:val="BodyText"/>
      </w:pPr>
      <w:r>
        <w:t xml:space="preserve">По таблице PICO репозитория: в PATHWAY средний уровень эозинофилов крови ≈380 клеток/мкл, FEV1 ≈1,82 л; в NAVIGATOR — ≈327 клеток/мкл, FEV1 ≈62% должного. В NAVIGATOR ~75% на высокодозных ИКС (forest plot).</w:t>
      </w:r>
    </w:p>
    <w:p>
      <w:pPr>
        <w:pStyle w:val="BodyText"/>
      </w:pPr>
      <w:r>
        <w:rPr>
          <w:b/>
          <w:bCs/>
        </w:rPr>
        <w:t xml:space="preserve">Смежный контекст (не tezepelumab):</w:t>
      </w:r>
      <w:r>
        <w:t xml:space="preserve"> </w:t>
      </w:r>
      <w:r>
        <w:t xml:space="preserve">Wechsler et al., NEJM 2021 (PMID 34706171) —</w:t>
      </w:r>
      <w:r>
        <w:t xml:space="preserve"> </w:t>
      </w:r>
      <w:r>
        <w:rPr>
          <w:b/>
          <w:bCs/>
        </w:rPr>
        <w:t xml:space="preserve">itepekimab</w:t>
      </w:r>
      <w:r>
        <w:t xml:space="preserve"> </w:t>
      </w:r>
      <w:r>
        <w:t xml:space="preserve">(анти-IL-33) при среднетяжёлой/тяжёлой астме; в living review помещён в раздел</w:t>
      </w:r>
      <w:r>
        <w:t xml:space="preserve"> </w:t>
      </w:r>
      <w:r>
        <w:rPr>
          <w:i/>
          <w:iCs/>
        </w:rPr>
        <w:t xml:space="preserve">Studies undergoing review</w:t>
      </w:r>
      <w:r>
        <w:t xml:space="preserve">. Упоминать как соседний «анти-аларминный» сигнал;</w:t>
      </w:r>
      <w:r>
        <w:t xml:space="preserve"> </w:t>
      </w:r>
      <w:r>
        <w:rPr>
          <w:b/>
          <w:bCs/>
        </w:rPr>
        <w:t xml:space="preserve">не объединять</w:t>
      </w:r>
      <w:r>
        <w:t xml:space="preserve"> </w:t>
      </w:r>
      <w:r>
        <w:t xml:space="preserve">с численными результатами tezepelumab.</w:t>
      </w:r>
    </w:p>
    <w:p>
      <w:r>
        <w:pict>
          <v:rect style="width:0;height:1.5pt" o:hralign="center" o:hrstd="t" o:hr="t"/>
        </w:pict>
      </w:r>
    </w:p>
    <w:bookmarkEnd w:id="11"/>
    <w:bookmarkStart w:id="16" w:name="доказательная-база"/>
    <w:p>
      <w:pPr>
        <w:pStyle w:val="Heading2"/>
      </w:pPr>
      <w:r>
        <w:t xml:space="preserve">4 Доказательная база</w:t>
      </w:r>
    </w:p>
    <w:bookmarkStart w:id="12" w:name="living-review-openmetaanalysis"/>
    <w:p>
      <w:pPr>
        <w:pStyle w:val="Heading3"/>
      </w:pPr>
      <w:r>
        <w:t xml:space="preserve">4.1 Living review (openMetaAnalysis)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Клинический вывод (index.html, gh-pages):</w:t>
      </w:r>
      <w:r>
        <w:t xml:space="preserve"> </w:t>
      </w:r>
      <w:r>
        <w:t xml:space="preserve">вмешательство</w:t>
      </w:r>
      <w:r>
        <w:t xml:space="preserve"> </w:t>
      </w:r>
      <w:r>
        <w:rPr>
          <w:b/>
          <w:bCs/>
        </w:rPr>
        <w:t xml:space="preserve">эффективно независимо от baseline eosinophils</w:t>
      </w:r>
      <w:r>
        <w:t xml:space="preserve">; гетерогенность</w:t>
      </w:r>
      <w:r>
        <w:t xml:space="preserve"> </w:t>
      </w:r>
      <w:r>
        <w:rPr>
          <w:b/>
          <w:bCs/>
        </w:rPr>
        <w:t xml:space="preserve">substantial</w:t>
      </w:r>
      <w:r>
        <w:t xml:space="preserve">, I² =</w:t>
      </w:r>
      <w:r>
        <w:t xml:space="preserve"> </w:t>
      </w:r>
      <w:r>
        <w:rPr>
          <w:b/>
          <w:bCs/>
        </w:rPr>
        <w:t xml:space="preserve">62%</w:t>
      </w:r>
      <w:r>
        <w:t xml:space="preserve">, клинически не объяснена.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Включены:</w:t>
      </w:r>
      <w:r>
        <w:t xml:space="preserve"> </w:t>
      </w:r>
      <w:r>
        <w:t xml:space="preserve">PATHWAY + NAVIGATOR.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of bias (table-bias):</w:t>
      </w:r>
      <w:r>
        <w:t xml:space="preserve"> </w:t>
      </w:r>
      <w:r>
        <w:t xml:space="preserve">для исхода ARAE — низкий риск по ключевым доменам (рандомизация, сокрытие, ослепление, attrition);</w:t>
      </w:r>
      <w:r>
        <w:t xml:space="preserve"> </w:t>
      </w:r>
      <w:r>
        <w:rPr>
          <w:b/>
          <w:bCs/>
        </w:rPr>
        <w:t xml:space="preserve">unclear</w:t>
      </w:r>
      <w:r>
        <w:t xml:space="preserve"> </w:t>
      </w:r>
      <w:r>
        <w:t xml:space="preserve">по reporting bias для подгрупп по эозинофилам (подгрупповые анализы по эозинофилам</w:t>
      </w:r>
      <w:r>
        <w:t xml:space="preserve"> </w:t>
      </w:r>
      <w:r>
        <w:rPr>
          <w:b/>
          <w:bCs/>
        </w:rPr>
        <w:t xml:space="preserve">не были</w:t>
      </w:r>
      <w:r>
        <w:t xml:space="preserve"> </w:t>
      </w:r>
      <w:r>
        <w:t xml:space="preserve">в исходных регистрациях испытаний — примечание †).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Reconciliation of conclusions (2021):</w:t>
      </w:r>
      <w:r>
        <w:t xml:space="preserve"> </w:t>
      </w:r>
      <w:r>
        <w:t xml:space="preserve">RR ARAE overall</w:t>
      </w:r>
      <w:r>
        <w:t xml:space="preserve"> </w:t>
      </w:r>
      <w:r>
        <w:rPr>
          <w:b/>
          <w:bCs/>
        </w:rPr>
        <w:t xml:space="preserve">0,38 (0,26–0,58)</w:t>
      </w:r>
      <w:r>
        <w:t xml:space="preserve"> </w:t>
      </w:r>
      <w:r>
        <w:t xml:space="preserve">[в forest plot:</w:t>
      </w:r>
      <w:r>
        <w:t xml:space="preserve"> </w:t>
      </w:r>
      <w:r>
        <w:rPr>
          <w:b/>
          <w:bCs/>
        </w:rPr>
        <w:t xml:space="preserve">0,38 (0,26–0,56)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[сверить округление ДИ]</w:t>
      </w:r>
      <w:r>
        <w:t xml:space="preserve">]; low eos</w:t>
      </w:r>
      <w:r>
        <w:t xml:space="preserve"> </w:t>
      </w:r>
      <w:r>
        <w:rPr>
          <w:b/>
          <w:bCs/>
        </w:rPr>
        <w:t xml:space="preserve">0,47 (0,26–0,86)</w:t>
      </w:r>
      <w:r>
        <w:t xml:space="preserve">; high eos</w:t>
      </w:r>
      <w:r>
        <w:t xml:space="preserve"> </w:t>
      </w:r>
      <w:r>
        <w:rPr>
          <w:b/>
          <w:bCs/>
        </w:rPr>
        <w:t xml:space="preserve">0,30 (0,22–0,40)</w:t>
      </w:r>
      <w:r>
        <w:t xml:space="preserve">; I² overall 62% (0–91%).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Prior reviews в репозитории:</w:t>
      </w:r>
      <w:r>
        <w:t xml:space="preserve"> </w:t>
      </w:r>
      <w:r>
        <w:t xml:space="preserve">Edris 2019 (PMID 31395084); Farne Cochrane anti-IL-5 2017 (PMID 28933516); Holguin ERS/ATS 2020 (PMID 31558662). NAVIGATOR не входил в Edris 2019.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Ограничение репозитория:</w:t>
      </w:r>
      <w:r>
        <w:t xml:space="preserve"> </w:t>
      </w:r>
      <w:r>
        <w:t xml:space="preserve">файл GRADE Summary-of-findings в</w:t>
      </w:r>
      <w:r>
        <w:t xml:space="preserve"> </w:t>
      </w:r>
      <w:r>
        <w:rPr>
          <w:rStyle w:val="VerbatimChar"/>
        </w:rPr>
        <w:t xml:space="preserve">files/GRADE-profiles</w:t>
      </w:r>
      <w:r>
        <w:t xml:space="preserve"> </w:t>
      </w:r>
      <w:r>
        <w:t xml:space="preserve">на момент клона содержит</w:t>
      </w:r>
      <w:r>
        <w:t xml:space="preserve"> </w:t>
      </w:r>
      <w:r>
        <w:rPr>
          <w:b/>
          <w:bCs/>
        </w:rPr>
        <w:t xml:space="preserve">шаблонные</w:t>
      </w:r>
      <w:r>
        <w:t xml:space="preserve"> </w:t>
      </w:r>
      <w:r>
        <w:t xml:space="preserve">данные по sepsis (не по астме) —</w:t>
      </w:r>
      <w:r>
        <w:t xml:space="preserve"> </w:t>
      </w:r>
      <w:r>
        <w:rPr>
          <w:b/>
          <w:bCs/>
        </w:rPr>
        <w:t xml:space="preserve">не использовать</w:t>
      </w:r>
      <w:r>
        <w:t xml:space="preserve"> </w:t>
      </w:r>
      <w:r>
        <w:t xml:space="preserve">как SoF по tezepelumab.</w:t>
      </w:r>
      <w:r>
        <w:t xml:space="preserve"> </w:t>
      </w:r>
      <w:r>
        <w:rPr>
          <w:rStyle w:val="VerbatimChar"/>
        </w:rPr>
        <w:t xml:space="preserve">files/data/all trials.csv</w:t>
      </w:r>
      <w:r>
        <w:t xml:space="preserve"> </w:t>
      </w:r>
      <w:r>
        <w:t xml:space="preserve">также выглядит как шаблон (EGDT), а не как датасет PATHWAY/NAVIGATOR — численные оценки брать из forest plots / reconciliation / публикаций РКИ.</w:t>
      </w:r>
    </w:p>
    <w:bookmarkEnd w:id="12"/>
    <w:bookmarkStart w:id="13" w:name="pathway-фаза-2b"/>
    <w:p>
      <w:pPr>
        <w:pStyle w:val="Heading3"/>
      </w:pPr>
      <w:r>
        <w:t xml:space="preserve">4.2 PATHWAY (фаза 2b)</w:t>
      </w:r>
    </w:p>
    <w:p>
      <w:pPr>
        <w:pStyle w:val="FirstParagraph"/>
      </w:pPr>
      <w:r>
        <w:t xml:space="preserve">По публикации NEJM / PubMed-резюме (PMID 28877011):</w:t>
      </w:r>
    </w:p>
    <w:p>
      <w:pPr>
        <w:pStyle w:val="Compact"/>
        <w:numPr>
          <w:ilvl w:val="0"/>
          <w:numId w:val="1002"/>
        </w:numPr>
      </w:pPr>
      <w:r>
        <w:t xml:space="preserve">Годичные частоты обострений:</w:t>
      </w:r>
      <w:r>
        <w:t xml:space="preserve"> </w:t>
      </w:r>
      <w:r>
        <w:rPr>
          <w:b/>
          <w:bCs/>
        </w:rPr>
        <w:t xml:space="preserve">0,27 / 0,20 / 0,23</w:t>
      </w:r>
      <w:r>
        <w:t xml:space="preserve"> </w:t>
      </w:r>
      <w:r>
        <w:t xml:space="preserve">(70 / 210 / 280 мг) vs</w:t>
      </w:r>
      <w:r>
        <w:t xml:space="preserve"> </w:t>
      </w:r>
      <w:r>
        <w:rPr>
          <w:b/>
          <w:bCs/>
        </w:rPr>
        <w:t xml:space="preserve">0,72</w:t>
      </w:r>
      <w:r>
        <w:t xml:space="preserve"> </w:t>
      </w:r>
      <w:r>
        <w:t xml:space="preserve">плацебо → снижение на</w:t>
      </w:r>
      <w:r>
        <w:t xml:space="preserve"> </w:t>
      </w:r>
      <w:r>
        <w:rPr>
          <w:b/>
          <w:bCs/>
        </w:rPr>
        <w:t xml:space="preserve">~62% / 71% / 66%</w:t>
      </w:r>
      <w:r>
        <w:t xml:space="preserve"> </w:t>
      </w:r>
      <w:r>
        <w:t xml:space="preserve">(p&lt;0,001 для всех сравнений).</w:t>
      </w:r>
    </w:p>
    <w:p>
      <w:pPr>
        <w:pStyle w:val="Compact"/>
        <w:numPr>
          <w:ilvl w:val="0"/>
          <w:numId w:val="1002"/>
        </w:numPr>
      </w:pPr>
      <w:r>
        <w:t xml:space="preserve">Эффект наблюдался</w:t>
      </w:r>
      <w:r>
        <w:t xml:space="preserve"> </w:t>
      </w:r>
      <w:r>
        <w:rPr>
          <w:b/>
          <w:bCs/>
        </w:rPr>
        <w:t xml:space="preserve">независимо</w:t>
      </w:r>
      <w:r>
        <w:t xml:space="preserve"> </w:t>
      </w:r>
      <w:r>
        <w:t xml:space="preserve">от исходного числа эозинофилов крови.</w:t>
      </w:r>
    </w:p>
    <w:p>
      <w:pPr>
        <w:pStyle w:val="Compact"/>
        <w:numPr>
          <w:ilvl w:val="0"/>
          <w:numId w:val="1002"/>
        </w:numPr>
      </w:pPr>
      <w:r>
        <w:t xml:space="preserve">Pre-BD FEV1 к 52 нед.: разница vs плацебо</w:t>
      </w:r>
      <w:r>
        <w:t xml:space="preserve"> </w:t>
      </w:r>
      <w:r>
        <w:rPr>
          <w:b/>
          <w:bCs/>
        </w:rPr>
        <w:t xml:space="preserve">+0,12 / +0,13 / +0,15 л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ACQ-6: улучшение vs плацебо статистически значимо на средних и высоких дозах (средние изменения порядка −1,16 / −1,22 vs −0,89 на плацебо; MCID ACQ-6 = 0,5).</w:t>
      </w:r>
    </w:p>
    <w:p>
      <w:pPr>
        <w:pStyle w:val="Compact"/>
        <w:numPr>
          <w:ilvl w:val="0"/>
          <w:numId w:val="1002"/>
        </w:numPr>
      </w:pPr>
      <w:r>
        <w:t xml:space="preserve">Прерывания из-за НЯ: единичные (2 / 3 / 1 в medium / high / placebo).</w:t>
      </w:r>
    </w:p>
    <w:p>
      <w:pPr>
        <w:pStyle w:val="FirstParagraph"/>
      </w:pPr>
      <w:r>
        <w:t xml:space="preserve">В meta-analysis review для PATHWAY в forest plot указан RR</w:t>
      </w:r>
      <w:r>
        <w:t xml:space="preserve"> </w:t>
      </w:r>
      <w:r>
        <w:rPr>
          <w:b/>
          <w:bCs/>
        </w:rPr>
        <w:t xml:space="preserve">0,29 (0,18–0,46)</w:t>
      </w:r>
      <w:r>
        <w:t xml:space="preserve"> </w:t>
      </w:r>
      <w:r>
        <w:t xml:space="preserve">(вес ~36%); данные PATHWAY переведены из relative risk</w:t>
      </w:r>
      <w:r>
        <w:t xml:space="preserve"> </w:t>
      </w:r>
      <w:r>
        <w:rPr>
          <w:i/>
          <w:iCs/>
        </w:rPr>
        <w:t xml:space="preserve">reduction</w:t>
      </w:r>
      <w:r>
        <w:t xml:space="preserve"> </w:t>
      </w:r>
      <w:r>
        <w:t xml:space="preserve">в relative</w:t>
      </w:r>
      <w:r>
        <w:t xml:space="preserve"> </w:t>
      </w:r>
      <w:r>
        <w:rPr>
          <w:i/>
          <w:iCs/>
        </w:rPr>
        <w:t xml:space="preserve">risk</w:t>
      </w:r>
      <w:r>
        <w:t xml:space="preserve"> </w:t>
      </w:r>
      <w:r>
        <w:t xml:space="preserve">(примечание review).</w:t>
      </w:r>
    </w:p>
    <w:bookmarkEnd w:id="13"/>
    <w:bookmarkStart w:id="14" w:name="navigator-фаза-3"/>
    <w:p>
      <w:pPr>
        <w:pStyle w:val="Heading3"/>
      </w:pPr>
      <w:r>
        <w:t xml:space="preserve">4.3 NAVIGATOR (фаза 3)</w:t>
      </w:r>
    </w:p>
    <w:p>
      <w:pPr>
        <w:pStyle w:val="FirstParagraph"/>
      </w:pPr>
      <w:r>
        <w:t xml:space="preserve">По NEJM / PubMed (PMID 33979488):</w:t>
      </w:r>
    </w:p>
    <w:p>
      <w:pPr>
        <w:pStyle w:val="Compact"/>
        <w:numPr>
          <w:ilvl w:val="0"/>
          <w:numId w:val="1003"/>
        </w:numPr>
      </w:pPr>
      <w:r>
        <w:t xml:space="preserve">AAER:</w:t>
      </w:r>
      <w:r>
        <w:t xml:space="preserve"> </w:t>
      </w:r>
      <w:r>
        <w:rPr>
          <w:b/>
          <w:bCs/>
        </w:rPr>
        <w:t xml:space="preserve">0,93</w:t>
      </w:r>
      <w:r>
        <w:t xml:space="preserve"> </w:t>
      </w:r>
      <w:r>
        <w:t xml:space="preserve">(tezepelumab) vs</w:t>
      </w:r>
      <w:r>
        <w:t xml:space="preserve"> </w:t>
      </w:r>
      <w:r>
        <w:rPr>
          <w:b/>
          <w:bCs/>
        </w:rPr>
        <w:t xml:space="preserve">2,10</w:t>
      </w:r>
      <w:r>
        <w:t xml:space="preserve"> </w:t>
      </w:r>
      <w:r>
        <w:t xml:space="preserve">(placebo); rate ratio</w:t>
      </w:r>
      <w:r>
        <w:t xml:space="preserve"> </w:t>
      </w:r>
      <w:r>
        <w:rPr>
          <w:b/>
          <w:bCs/>
        </w:rPr>
        <w:t xml:space="preserve">0,44 (0,37–0,53)</w:t>
      </w:r>
      <w:r>
        <w:t xml:space="preserve">; p&lt;0,001 → ≈</w:t>
      </w:r>
      <w:r>
        <w:rPr>
          <w:b/>
          <w:bCs/>
        </w:rPr>
        <w:t xml:space="preserve">56%</w:t>
      </w:r>
      <w:r>
        <w:t xml:space="preserve"> </w:t>
      </w:r>
      <w:r>
        <w:t xml:space="preserve">снижение.</w:t>
      </w:r>
    </w:p>
    <w:p>
      <w:pPr>
        <w:pStyle w:val="Compact"/>
        <w:numPr>
          <w:ilvl w:val="0"/>
          <w:numId w:val="1003"/>
        </w:numPr>
      </w:pPr>
      <w:r>
        <w:t xml:space="preserve">Подгруппа эозинофилов</w:t>
      </w:r>
      <w:r>
        <w:t xml:space="preserve"> </w:t>
      </w:r>
      <w:r>
        <w:rPr>
          <w:b/>
          <w:bCs/>
        </w:rPr>
        <w:t xml:space="preserve">&lt;300/мкл</w:t>
      </w:r>
      <w:r>
        <w:t xml:space="preserve">: rate ratio</w:t>
      </w:r>
      <w:r>
        <w:t xml:space="preserve"> </w:t>
      </w:r>
      <w:r>
        <w:rPr>
          <w:b/>
          <w:bCs/>
        </w:rPr>
        <w:t xml:space="preserve">0,59 (0,46–0,75)</w:t>
      </w:r>
      <w:r>
        <w:t xml:space="preserve">; p&lt;0,001.</w:t>
      </w:r>
    </w:p>
    <w:p>
      <w:pPr>
        <w:pStyle w:val="Compact"/>
        <w:numPr>
          <w:ilvl w:val="0"/>
          <w:numId w:val="1003"/>
        </w:numPr>
      </w:pPr>
      <w:r>
        <w:t xml:space="preserve">Pre-BD FEV1 (нед. 52): разница</w:t>
      </w:r>
      <w:r>
        <w:t xml:space="preserve"> </w:t>
      </w:r>
      <w:r>
        <w:rPr>
          <w:b/>
          <w:bCs/>
        </w:rPr>
        <w:t xml:space="preserve">0,13 л</w:t>
      </w:r>
      <w:r>
        <w:t xml:space="preserve"> </w:t>
      </w:r>
      <w:r>
        <w:t xml:space="preserve">(0,08–0,18); p&lt;0,001.</w:t>
      </w:r>
    </w:p>
    <w:p>
      <w:pPr>
        <w:pStyle w:val="Compact"/>
        <w:numPr>
          <w:ilvl w:val="0"/>
          <w:numId w:val="1003"/>
        </w:numPr>
      </w:pPr>
      <w:r>
        <w:t xml:space="preserve">ACQ-6: разница</w:t>
      </w:r>
      <w:r>
        <w:t xml:space="preserve"> </w:t>
      </w:r>
      <w:r>
        <w:rPr>
          <w:b/>
          <w:bCs/>
        </w:rPr>
        <w:t xml:space="preserve">−0,33</w:t>
      </w:r>
      <w:r>
        <w:t xml:space="preserve"> </w:t>
      </w:r>
      <w:r>
        <w:t xml:space="preserve">(−0,46…−0,20); AQLQ:</w:t>
      </w:r>
      <w:r>
        <w:t xml:space="preserve"> </w:t>
      </w:r>
      <w:r>
        <w:rPr>
          <w:b/>
          <w:bCs/>
        </w:rPr>
        <w:t xml:space="preserve">+0,34</w:t>
      </w:r>
      <w:r>
        <w:t xml:space="preserve"> </w:t>
      </w:r>
      <w:r>
        <w:t xml:space="preserve">(0,20–0,47).</w:t>
      </w:r>
    </w:p>
    <w:p>
      <w:pPr>
        <w:pStyle w:val="Compact"/>
        <w:numPr>
          <w:ilvl w:val="0"/>
          <w:numId w:val="1003"/>
        </w:numPr>
      </w:pPr>
      <w:r>
        <w:t xml:space="preserve">Обострения с госпитализацией / ЭД: существенное снижение (в отчётных материалах NAVIGATOR — порядка</w:t>
      </w:r>
      <w:r>
        <w:t xml:space="preserve"> </w:t>
      </w:r>
      <w:r>
        <w:rPr>
          <w:b/>
          <w:bCs/>
        </w:rPr>
        <w:t xml:space="preserve">~79%</w:t>
      </w:r>
      <w:r>
        <w:t xml:space="preserve"> </w:t>
      </w:r>
      <w:r>
        <w:t xml:space="preserve">для госпитализация/ЭД;</w:t>
      </w:r>
      <w:r>
        <w:t xml:space="preserve"> </w:t>
      </w:r>
      <w:r>
        <w:rPr>
          <w:b/>
          <w:bCs/>
        </w:rPr>
        <w:t xml:space="preserve">[проверить формулировку endpoint в первоисточнике]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Частота и типы НЯ</w:t>
      </w:r>
      <w:r>
        <w:t xml:space="preserve"> </w:t>
      </w:r>
      <w:r>
        <w:rPr>
          <w:b/>
          <w:bCs/>
        </w:rPr>
        <w:t xml:space="preserve">существенно не различались</w:t>
      </w:r>
      <w:r>
        <w:t xml:space="preserve"> </w:t>
      </w:r>
      <w:r>
        <w:t xml:space="preserve">между группами.</w:t>
      </w:r>
    </w:p>
    <w:p>
      <w:pPr>
        <w:pStyle w:val="FirstParagraph"/>
      </w:pPr>
      <w:r>
        <w:t xml:space="preserve">Forest plot review: RR</w:t>
      </w:r>
      <w:r>
        <w:t xml:space="preserve"> </w:t>
      </w:r>
      <w:r>
        <w:rPr>
          <w:b/>
          <w:bCs/>
        </w:rPr>
        <w:t xml:space="preserve">0,44 (0,37–0,53)</w:t>
      </w:r>
      <w:r>
        <w:t xml:space="preserve">, вес ~64%.</w:t>
      </w:r>
    </w:p>
    <w:bookmarkEnd w:id="14"/>
    <w:bookmarkStart w:id="15" w:name="X3454932cccb705bee6f6691d1a41ab8232a7f8d"/>
    <w:p>
      <w:pPr>
        <w:pStyle w:val="Heading3"/>
      </w:pPr>
      <w:r>
        <w:t xml:space="preserve">4.4 Дополнительные / ожидаемые данные (не в основной pooled-оценке review)</w:t>
      </w:r>
    </w:p>
    <w:p>
      <w:pPr>
        <w:pStyle w:val="FirstParagraph"/>
      </w:pPr>
      <w:r>
        <w:t xml:space="preserve">По</w:t>
      </w:r>
      <w:r>
        <w:t xml:space="preserve"> </w:t>
      </w:r>
      <w:r>
        <w:rPr>
          <w:rStyle w:val="VerbatimChar"/>
        </w:rPr>
        <w:t xml:space="preserve">evidence-search.md</w:t>
      </w:r>
      <w:r>
        <w:t xml:space="preserve"> </w:t>
      </w:r>
      <w:r>
        <w:t xml:space="preserve">(поиск 07/08/2021): DESTINATION (продление NAVIGATOR), DIRECTION, SOURCE — в forest plot помечены как pending. Результаты этих программ</w:t>
      </w:r>
      <w:r>
        <w:t xml:space="preserve"> </w:t>
      </w:r>
      <w:r>
        <w:rPr>
          <w:b/>
          <w:bCs/>
        </w:rPr>
        <w:t xml:space="preserve">не включены</w:t>
      </w:r>
      <w:r>
        <w:t xml:space="preserve"> </w:t>
      </w:r>
      <w:r>
        <w:t xml:space="preserve">в основной pooled RR репозитория; при обновлении брифа —</w:t>
      </w:r>
      <w:r>
        <w:t xml:space="preserve"> </w:t>
      </w:r>
      <w:r>
        <w:rPr>
          <w:b/>
          <w:bCs/>
        </w:rPr>
        <w:t xml:space="preserve">[проверить публикации DESTINATION/SOURCE/DIRECTION и включить отдельно]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эффективность"/>
    <w:p>
      <w:pPr>
        <w:pStyle w:val="Heading2"/>
      </w:pPr>
      <w:r>
        <w:t xml:space="preserve">5 Эффективность</w:t>
      </w:r>
    </w:p>
    <w:bookmarkStart w:id="17" w:name="обострения"/>
    <w:p>
      <w:pPr>
        <w:pStyle w:val="Heading3"/>
      </w:pPr>
      <w:r>
        <w:t xml:space="preserve">5.1 Обострения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 review, overall</w:t>
            </w:r>
          </w:p>
        </w:tc>
        <w:tc>
          <w:tcPr/>
          <w:p>
            <w:pPr>
              <w:pStyle w:val="Compact"/>
            </w:pPr>
            <w:r>
              <w:t xml:space="preserve">RR</w:t>
            </w:r>
            <w:r>
              <w:t xml:space="preserve"> </w:t>
            </w:r>
            <w:r>
              <w:rPr>
                <w:b/>
                <w:bCs/>
              </w:rPr>
              <w:t xml:space="preserve">0,38 (0,26–0,56)</w:t>
            </w:r>
            <w:r>
              <w:t xml:space="preserve">, I²</w:t>
            </w:r>
            <w:r>
              <w:t xml:space="preserve"> </w:t>
            </w:r>
            <w:r>
              <w:rPr>
                <w:b/>
                <w:bCs/>
              </w:rPr>
              <w:t xml:space="preserve">62%</w:t>
            </w:r>
          </w:p>
        </w:tc>
        <w:tc>
          <w:tcPr/>
          <w:p>
            <w:pPr>
              <w:pStyle w:val="Compact"/>
            </w:pPr>
            <w:r>
              <w:t xml:space="preserve">2 РКИ, n≈1336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 review, низкие эозинофилы</w:t>
            </w:r>
          </w:p>
        </w:tc>
        <w:tc>
          <w:tcPr/>
          <w:p>
            <w:pPr>
              <w:pStyle w:val="Compact"/>
            </w:pPr>
            <w:r>
              <w:t xml:space="preserve">RR</w:t>
            </w:r>
            <w:r>
              <w:t xml:space="preserve"> </w:t>
            </w:r>
            <w:r>
              <w:rPr>
                <w:b/>
                <w:bCs/>
              </w:rPr>
              <w:t xml:space="preserve">0,47 (0,26–0,86)</w:t>
            </w:r>
            <w:r>
              <w:t xml:space="preserve">, I² ~61%</w:t>
            </w:r>
          </w:p>
        </w:tc>
        <w:tc>
          <w:tcPr/>
          <w:p>
            <w:pPr>
              <w:pStyle w:val="Compact"/>
            </w:pPr>
            <w:r>
              <w:t xml:space="preserve">Пороги: PATHWAY &lt;400; NAVIGATOR &lt;300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Living review, высокие эозинофилы</w:t>
            </w:r>
          </w:p>
        </w:tc>
        <w:tc>
          <w:tcPr/>
          <w:p>
            <w:pPr>
              <w:pStyle w:val="Compact"/>
            </w:pPr>
            <w:r>
              <w:t xml:space="preserve">RR</w:t>
            </w:r>
            <w:r>
              <w:t xml:space="preserve"> </w:t>
            </w:r>
            <w:r>
              <w:rPr>
                <w:b/>
                <w:bCs/>
              </w:rPr>
              <w:t xml:space="preserve">0,30 (0,22–0,40)</w:t>
            </w:r>
            <w:r>
              <w:t xml:space="preserve">, I² 0%</w:t>
            </w:r>
          </w:p>
        </w:tc>
        <w:tc>
          <w:tcPr/>
          <w:p>
            <w:pPr>
              <w:pStyle w:val="Compact"/>
            </w:pPr>
            <w:r>
              <w:t xml:space="preserve">PATHWAY ≥400; NAVIGATOR ≥300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PATHWAY 210 мг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rPr>
                <w:b/>
                <w:bCs/>
              </w:rPr>
              <w:t xml:space="preserve">71%</w:t>
            </w:r>
            <w:r>
              <w:t xml:space="preserve"> </w:t>
            </w:r>
            <w:r>
              <w:t xml:space="preserve">снижение AAER vs плацебо</w:t>
            </w:r>
          </w:p>
        </w:tc>
        <w:tc>
          <w:tcPr/>
          <w:p>
            <w:pPr>
              <w:pStyle w:val="Compact"/>
            </w:pPr>
            <w:r>
              <w:t xml:space="preserve">Фаза 2b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NAVIGATOR 210 мг</w:t>
            </w:r>
          </w:p>
        </w:tc>
        <w:tc>
          <w:tcPr/>
          <w:p>
            <w:pPr>
              <w:pStyle w:val="Compact"/>
            </w:pPr>
            <w:r>
              <w:t xml:space="preserve">RR</w:t>
            </w:r>
            <w:r>
              <w:t xml:space="preserve"> </w:t>
            </w:r>
            <w:r>
              <w:rPr>
                <w:b/>
                <w:bCs/>
              </w:rPr>
              <w:t xml:space="preserve">0,44</w:t>
            </w:r>
            <w:r>
              <w:t xml:space="preserve">; ≈</w:t>
            </w:r>
            <w:r>
              <w:rPr>
                <w:b/>
                <w:bCs/>
              </w:rPr>
              <w:t xml:space="preserve">56%</w:t>
            </w:r>
            <w:r>
              <w:t xml:space="preserve"> </w:t>
            </w:r>
            <w:r>
              <w:t xml:space="preserve">снижение</w:t>
            </w:r>
          </w:p>
        </w:tc>
        <w:tc>
          <w:tcPr/>
          <w:p>
            <w:pPr>
              <w:pStyle w:val="Compact"/>
            </w:pPr>
            <w:r>
              <w:t xml:space="preserve">Фаза 3, ключевое регистрационное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Роль эозинофилов.</w:t>
      </w:r>
      <w:r>
        <w:t xml:space="preserve"> </w:t>
      </w:r>
      <w:r>
        <w:t xml:space="preserve">Эффект есть и при низких, и при высоких эозинофилах;</w:t>
      </w:r>
      <w:r>
        <w:t xml:space="preserve"> </w:t>
      </w:r>
      <w:r>
        <w:rPr>
          <w:b/>
          <w:bCs/>
        </w:rPr>
        <w:t xml:space="preserve">величина эффекта больше при высоких</w:t>
      </w:r>
      <w:r>
        <w:t xml:space="preserve"> </w:t>
      </w:r>
      <w:r>
        <w:t xml:space="preserve">эозинофилах, но тест на различие подгрупп в subgroup forest plot review</w:t>
      </w:r>
      <w:r>
        <w:t xml:space="preserve"> </w:t>
      </w:r>
      <w:r>
        <w:rPr>
          <w:b/>
          <w:bCs/>
        </w:rPr>
        <w:t xml:space="preserve">не подтверждает статистически значимую гетерогенность эффекта по Th2/eos</w:t>
      </w:r>
      <w:r>
        <w:t xml:space="preserve"> </w:t>
      </w:r>
      <w:r>
        <w:t xml:space="preserve">(p≈0,17 в изображении subgroup plot). Вывод clinical summary: эффект</w:t>
      </w:r>
      <w:r>
        <w:t xml:space="preserve"> </w:t>
      </w:r>
      <w:r>
        <w:rPr>
          <w:b/>
          <w:bCs/>
        </w:rPr>
        <w:t xml:space="preserve">независимо</w:t>
      </w:r>
      <w:r>
        <w:t xml:space="preserve"> </w:t>
      </w:r>
      <w:r>
        <w:t xml:space="preserve">от baseline eosinophils — согласуется с дизайном и позиционированием препарата, при этом клинически разумно ожидать</w:t>
      </w:r>
      <w:r>
        <w:t xml:space="preserve"> </w:t>
      </w:r>
      <w:r>
        <w:rPr>
          <w:b/>
          <w:bCs/>
        </w:rPr>
        <w:t xml:space="preserve">больший абсолютный выигрыш</w:t>
      </w:r>
      <w:r>
        <w:t xml:space="preserve"> </w:t>
      </w:r>
      <w:r>
        <w:t xml:space="preserve">у пациентов с выраженным T2-воспалением. Подгрупповые оценки по эозинофилам имеют</w:t>
      </w:r>
      <w:r>
        <w:t xml:space="preserve"> </w:t>
      </w:r>
      <w:r>
        <w:rPr>
          <w:b/>
          <w:bCs/>
        </w:rPr>
        <w:t xml:space="preserve">unclear reporting risk</w:t>
      </w:r>
      <w:r>
        <w:t xml:space="preserve"> </w:t>
      </w:r>
      <w:r>
        <w:t xml:space="preserve">(не в исходных регистрациях).</w:t>
      </w:r>
    </w:p>
    <w:bookmarkEnd w:id="17"/>
    <w:bookmarkStart w:id="18" w:name="контроль-симптомов-и-качество-жизни"/>
    <w:p>
      <w:pPr>
        <w:pStyle w:val="Heading3"/>
      </w:pPr>
      <w:r>
        <w:t xml:space="preserve">5.2 Контроль симптомов и качество жизни</w:t>
      </w:r>
    </w:p>
    <w:p>
      <w:pPr>
        <w:pStyle w:val="Compact"/>
        <w:numPr>
          <w:ilvl w:val="0"/>
          <w:numId w:val="1004"/>
        </w:numPr>
      </w:pPr>
      <w:r>
        <w:t xml:space="preserve">NAVIGATOR: улучшение ACQ-6 и AQLQ vs плацебо (разницы около</w:t>
      </w:r>
      <w:r>
        <w:t xml:space="preserve"> </w:t>
      </w:r>
      <w:r>
        <w:rPr>
          <w:b/>
          <w:bCs/>
        </w:rPr>
        <w:t xml:space="preserve">0,3 балла</w:t>
      </w:r>
      <w:r>
        <w:t xml:space="preserve"> </w:t>
      </w:r>
      <w:r>
        <w:t xml:space="preserve">— порядка/чуть ниже MCID для ACQ-6; клиническая интерпретация —</w:t>
      </w:r>
      <w:r>
        <w:t xml:space="preserve"> </w:t>
      </w:r>
      <w:r>
        <w:rPr>
          <w:b/>
          <w:bCs/>
        </w:rPr>
        <w:t xml:space="preserve">умеренное</w:t>
      </w:r>
      <w:r>
        <w:t xml:space="preserve"> </w:t>
      </w:r>
      <w:r>
        <w:t xml:space="preserve">улучшение контроля на фоне выраженного эффекта по обострениям).</w:t>
      </w:r>
    </w:p>
    <w:p>
      <w:pPr>
        <w:pStyle w:val="Compact"/>
        <w:numPr>
          <w:ilvl w:val="0"/>
          <w:numId w:val="1004"/>
        </w:numPr>
      </w:pPr>
      <w:r>
        <w:t xml:space="preserve">PATHWAY: значимое улучшение ACQ-6 на 210 и 280 мг.</w:t>
      </w:r>
    </w:p>
    <w:bookmarkEnd w:id="18"/>
    <w:bookmarkStart w:id="19" w:name="лёгочная-функция"/>
    <w:p>
      <w:pPr>
        <w:pStyle w:val="Heading3"/>
      </w:pPr>
      <w:r>
        <w:t xml:space="preserve">5.3 Лёгочная функция</w:t>
      </w:r>
    </w:p>
    <w:p>
      <w:pPr>
        <w:pStyle w:val="Compact"/>
        <w:numPr>
          <w:ilvl w:val="0"/>
          <w:numId w:val="1005"/>
        </w:numPr>
      </w:pPr>
      <w:r>
        <w:t xml:space="preserve">Устойчивое повышение pre-BD FEV1 порядка</w:t>
      </w:r>
      <w:r>
        <w:t xml:space="preserve"> </w:t>
      </w:r>
      <w:r>
        <w:rPr>
          <w:b/>
          <w:bCs/>
        </w:rPr>
        <w:t xml:space="preserve">+0,11…0,15 л</w:t>
      </w:r>
      <w:r>
        <w:t xml:space="preserve"> </w:t>
      </w:r>
      <w:r>
        <w:t xml:space="preserve">vs плацебо (PATHWAY по дозам; NAVIGATOR</w:t>
      </w:r>
      <w:r>
        <w:t xml:space="preserve"> </w:t>
      </w:r>
      <w:r>
        <w:rPr>
          <w:b/>
          <w:bCs/>
        </w:rPr>
        <w:t xml:space="preserve">+0,13 л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Эффект по FEV1 обычно проявляется рано (с первых недель наблюдения) и сохраняется до 52 недель.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безопасность"/>
    <w:p>
      <w:pPr>
        <w:pStyle w:val="Heading2"/>
      </w:pPr>
      <w:r>
        <w:t xml:space="preserve">6 Безопасность</w:t>
      </w:r>
    </w:p>
    <w:p>
      <w:pPr>
        <w:pStyle w:val="Compact"/>
        <w:numPr>
          <w:ilvl w:val="0"/>
          <w:numId w:val="1006"/>
        </w:numPr>
      </w:pPr>
      <w:r>
        <w:t xml:space="preserve">В PATHWAY и NAVIGATOR профиль НЯ</w:t>
      </w:r>
      <w:r>
        <w:t xml:space="preserve"> </w:t>
      </w:r>
      <w:r>
        <w:rPr>
          <w:b/>
          <w:bCs/>
        </w:rPr>
        <w:t xml:space="preserve">сопоставим с плацебо</w:t>
      </w:r>
      <w:r>
        <w:t xml:space="preserve">; различий по типам и частоте серьёзных НЯ, значимых для сигнала, в публикациях не описано.</w:t>
      </w:r>
    </w:p>
    <w:p>
      <w:pPr>
        <w:pStyle w:val="Compact"/>
        <w:numPr>
          <w:ilvl w:val="0"/>
          <w:numId w:val="1006"/>
        </w:numPr>
      </w:pPr>
      <w:r>
        <w:t xml:space="preserve">Частые реакции (по инструкции / обзорным источникам): реакции в месте инъекции, фарингит, сыпь, артралгия —</w:t>
      </w:r>
      <w:r>
        <w:t xml:space="preserve"> </w:t>
      </w:r>
      <w:r>
        <w:rPr>
          <w:b/>
          <w:bCs/>
        </w:rPr>
        <w:t xml:space="preserve">[сверить с актуальной ОХЛП/SmPC]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Возможна гиперчувствительность, включая анафилаксию (редко; в pooled PATHWAY+NAVIGATOR анафилаксии, связанной с tezepelumab, не сообщалось — по вторичным обзорам).</w:t>
      </w:r>
    </w:p>
    <w:p>
      <w:pPr>
        <w:pStyle w:val="Compact"/>
        <w:numPr>
          <w:ilvl w:val="0"/>
          <w:numId w:val="1006"/>
        </w:numPr>
      </w:pPr>
      <w:r>
        <w:t xml:space="preserve">Не для купирования острого бронхоспазма / астматического статуса.</w:t>
      </w:r>
    </w:p>
    <w:p>
      <w:pPr>
        <w:pStyle w:val="Compact"/>
        <w:numPr>
          <w:ilvl w:val="0"/>
          <w:numId w:val="1006"/>
        </w:numPr>
      </w:pPr>
      <w:r>
        <w:t xml:space="preserve">Не резко отменять системные ГКС; титрование под контролем врача.</w:t>
      </w:r>
    </w:p>
    <w:p>
      <w:pPr>
        <w:pStyle w:val="Compact"/>
        <w:numPr>
          <w:ilvl w:val="0"/>
          <w:numId w:val="1006"/>
        </w:numPr>
      </w:pPr>
      <w:r>
        <w:t xml:space="preserve">Гельминтозы: лечение до старта; при неэффективности антигельминтной терапии на фоне препарата — пауза до разрешения (</w:t>
      </w:r>
      <w:r>
        <w:rPr>
          <w:b/>
          <w:bCs/>
        </w:rPr>
        <w:t xml:space="preserve">по инструкции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Живые аттенуированные вакцины: избегать (</w:t>
      </w:r>
      <w:r>
        <w:rPr>
          <w:b/>
          <w:bCs/>
        </w:rPr>
        <w:t xml:space="preserve">по инструкции Vidal / SmPC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Долгосрочная безопасность: DESTINATION и постмаркетинг —</w:t>
      </w:r>
      <w:r>
        <w:t xml:space="preserve"> </w:t>
      </w:r>
      <w:r>
        <w:rPr>
          <w:b/>
          <w:bCs/>
        </w:rPr>
        <w:t xml:space="preserve">[обновить при следующей ревизии брифа]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91d7a8e2ec6fc5173feb695fd91bab9ab6c6b19"/>
    <w:p>
      <w:pPr>
        <w:pStyle w:val="Heading2"/>
      </w:pPr>
      <w:r>
        <w:t xml:space="preserve">7 Место среди других биологических препаратов (кратко)</w:t>
      </w:r>
    </w:p>
    <w:p>
      <w:pPr>
        <w:pStyle w:val="FirstParagraph"/>
      </w:pPr>
      <w:r>
        <w:t xml:space="preserve">Blobbogram репозитория сопоставляет tezepelumab (эффект</w:t>
      </w:r>
      <w:r>
        <w:t xml:space="preserve"> </w:t>
      </w:r>
      <w:r>
        <w:rPr>
          <w:b/>
          <w:bCs/>
        </w:rPr>
        <w:t xml:space="preserve">независимо от EO</w:t>
      </w:r>
      <w:r>
        <w:t xml:space="preserve">) с оценочными RR для анти-IL-4R (dupilumab), анти-IL-5/IL-5R (mepolizumab, reslizumab, benralizumab) и анти-IgE (omalizumab) из prior guidelines/trials. Это</w:t>
      </w:r>
      <w:r>
        <w:t xml:space="preserve"> </w:t>
      </w:r>
      <w:r>
        <w:rPr>
          <w:b/>
          <w:bCs/>
        </w:rPr>
        <w:t xml:space="preserve">не сетевой метаанализ «голова к голове»</w:t>
      </w:r>
      <w:r>
        <w:t xml:space="preserve">: разные популяции, пороги эозинофилов и дизайны.</w:t>
      </w:r>
    </w:p>
    <w:p>
      <w:pPr>
        <w:pStyle w:val="BodyText"/>
      </w:pPr>
      <w:r>
        <w:t xml:space="preserve">Практический каркас для брифа: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Анти-IgE (omalizumab)</w:t>
      </w:r>
      <w:r>
        <w:t xml:space="preserve"> </w:t>
      </w:r>
      <w:r>
        <w:t xml:space="preserve">— при аллергическом фенотипе / IgE-зависимой астме.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Анти-IL-5 / IL-5R</w:t>
      </w:r>
      <w:r>
        <w:t xml:space="preserve"> </w:t>
      </w:r>
      <w:r>
        <w:t xml:space="preserve">— при эозинофильной астме (эффект сильнее при высоких эозинофилах).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Анти-IL-4Rα (dupilumab)</w:t>
      </w:r>
      <w:r>
        <w:t xml:space="preserve"> </w:t>
      </w:r>
      <w:r>
        <w:t xml:space="preserve">— T2-астма (эозинофилы / FeNO); также коморбидности (АтД, CRSwNP и др. — по показаниям).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Анти-TSLP (tezepelumab)</w:t>
      </w:r>
      <w:r>
        <w:t xml:space="preserve"> </w:t>
      </w:r>
      <w:r>
        <w:t xml:space="preserve">— вариант для</w:t>
      </w:r>
      <w:r>
        <w:t xml:space="preserve"> </w:t>
      </w:r>
      <w:r>
        <w:rPr>
          <w:b/>
          <w:bCs/>
        </w:rPr>
        <w:t xml:space="preserve">широкой</w:t>
      </w:r>
      <w:r>
        <w:t xml:space="preserve"> </w:t>
      </w:r>
      <w:r>
        <w:t xml:space="preserve">популяции тяжёлой неконтролируемой астмы, включая пациентов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выраженной эозинофилии, где другие биопрепараты ограничены или менее предсказуемы.</w:t>
      </w:r>
    </w:p>
    <w:p>
      <w:pPr>
        <w:pStyle w:val="FirstParagraph"/>
      </w:pPr>
      <w:r>
        <w:t xml:space="preserve">Выбор препарата — по фенотипу, биомаркерам, коморбидностям, доступности и локальным рекомендациям; данный черновик</w:t>
      </w:r>
      <w:r>
        <w:t xml:space="preserve"> </w:t>
      </w:r>
      <w:r>
        <w:rPr>
          <w:b/>
          <w:bCs/>
        </w:rPr>
        <w:t xml:space="preserve">не заменяет</w:t>
      </w:r>
      <w:r>
        <w:t xml:space="preserve"> </w:t>
      </w:r>
      <w:r>
        <w:t xml:space="preserve">NMA и клинические гайдлайны.</w:t>
      </w:r>
    </w:p>
    <w:p>
      <w:r>
        <w:pict>
          <v:rect style="width:0;height:1.5pt" o:hralign="center" o:hrstd="t" o:hr="t"/>
        </w:pict>
      </w:r>
    </w:p>
    <w:bookmarkEnd w:id="22"/>
    <w:bookmarkStart w:id="25" w:name="применение-регуляторный-контекст"/>
    <w:p>
      <w:pPr>
        <w:pStyle w:val="Heading2"/>
      </w:pPr>
      <w:r>
        <w:t xml:space="preserve">8 Применение / регуляторный контекст</w:t>
      </w:r>
    </w:p>
    <w:bookmarkStart w:id="23" w:name="глобально"/>
    <w:p>
      <w:pPr>
        <w:pStyle w:val="Heading3"/>
      </w:pPr>
      <w:r>
        <w:t xml:space="preserve">8.1 Глобально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Доза (астма):</w:t>
      </w:r>
      <w:r>
        <w:t xml:space="preserve"> </w:t>
      </w:r>
      <w:r>
        <w:t xml:space="preserve">210 мг подкожно</w:t>
      </w:r>
      <w:r>
        <w:t xml:space="preserve"> </w:t>
      </w:r>
      <w:r>
        <w:rPr>
          <w:b/>
          <w:bCs/>
        </w:rPr>
        <w:t xml:space="preserve">1 раз в 4 недели</w:t>
      </w:r>
      <w:r>
        <w:t xml:space="preserve"> </w:t>
      </w:r>
      <w:r>
        <w:t xml:space="preserve">(шприц / шприц-ручка / флакон 210 мг в 1,91 мл = 110 мг/мл).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FDA (Tezspire):</w:t>
      </w:r>
      <w:r>
        <w:t xml:space="preserve"> </w:t>
      </w:r>
      <w:r>
        <w:t xml:space="preserve">add-on maintenance при тяжёлой астме у пациентов ≥12 лет (одобрение 2021); не для острого купирования. Позднее расширения показаний (напр. CRSwNP) —</w:t>
      </w:r>
      <w:r>
        <w:t xml:space="preserve"> </w:t>
      </w:r>
      <w:r>
        <w:rPr>
          <w:b/>
          <w:bCs/>
        </w:rPr>
        <w:t xml:space="preserve">вне фокуса этого брифа по астме</w:t>
      </w:r>
      <w:r>
        <w:t xml:space="preserve">;</w:t>
      </w:r>
      <w:r>
        <w:t xml:space="preserve"> </w:t>
      </w:r>
      <w:r>
        <w:rPr>
          <w:b/>
          <w:bCs/>
        </w:rPr>
        <w:t xml:space="preserve">[проверить актуальный label]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EMA:</w:t>
      </w:r>
      <w:r>
        <w:t xml:space="preserve"> </w:t>
      </w:r>
      <w:r>
        <w:t xml:space="preserve">маркетинг-авторизация с 19.09.2022; add-on при тяжёлой астме ≥12 лет при неадекватном контроле на высокодозных ИКС + другом поддерживающем препарате.</w:t>
      </w:r>
    </w:p>
    <w:bookmarkEnd w:id="23"/>
    <w:bookmarkStart w:id="24" w:name="российская-федерация"/>
    <w:p>
      <w:pPr>
        <w:pStyle w:val="Heading3"/>
      </w:pPr>
      <w:r>
        <w:t xml:space="preserve">8.2 Российская Федерация</w:t>
      </w:r>
    </w:p>
    <w:p>
      <w:pPr>
        <w:pStyle w:val="FirstParagraph"/>
      </w:pPr>
      <w:r>
        <w:t xml:space="preserve">По открытым источникам (Vidal, отраслевые анонсы, агрегаторы ГРЛС):</w:t>
      </w:r>
    </w:p>
    <w:p>
      <w:pPr>
        <w:pStyle w:val="Compact"/>
        <w:numPr>
          <w:ilvl w:val="0"/>
          <w:numId w:val="1009"/>
        </w:numPr>
      </w:pPr>
      <w:r>
        <w:t xml:space="preserve">Торговое наименование:</w:t>
      </w:r>
      <w:r>
        <w:t xml:space="preserve"> </w:t>
      </w:r>
      <w:r>
        <w:rPr>
          <w:b/>
          <w:bCs/>
        </w:rPr>
        <w:t xml:space="preserve">Тезспире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МНН: тезепелумаб.</w:t>
      </w:r>
    </w:p>
    <w:p>
      <w:pPr>
        <w:pStyle w:val="Compact"/>
        <w:numPr>
          <w:ilvl w:val="0"/>
          <w:numId w:val="1009"/>
        </w:numPr>
      </w:pPr>
      <w:r>
        <w:t xml:space="preserve">РУ:</w:t>
      </w:r>
      <w:r>
        <w:t xml:space="preserve"> </w:t>
      </w:r>
      <w:r>
        <w:rPr>
          <w:b/>
          <w:bCs/>
        </w:rPr>
        <w:t xml:space="preserve">ЛП-№(002978)-(РГ-RU)</w:t>
      </w:r>
      <w:r>
        <w:t xml:space="preserve"> </w:t>
      </w:r>
      <w:r>
        <w:t xml:space="preserve">от</w:t>
      </w:r>
      <w:r>
        <w:t xml:space="preserve"> </w:t>
      </w:r>
      <w:r>
        <w:rPr>
          <w:b/>
          <w:bCs/>
        </w:rPr>
        <w:t xml:space="preserve">10.08.2023</w:t>
      </w:r>
      <w:r>
        <w:t xml:space="preserve"> </w:t>
      </w:r>
      <w:r>
        <w:t xml:space="preserve">(в агрегаторах — действующее, срок до 10.08.2028; отметка ЖНВЛП —</w:t>
      </w:r>
      <w:r>
        <w:t xml:space="preserve"> </w:t>
      </w:r>
      <w:r>
        <w:rPr>
          <w:b/>
          <w:bCs/>
        </w:rPr>
        <w:t xml:space="preserve">[проверить]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Показание (по Vidal): дополнительная поддерживающая терапия при</w:t>
      </w:r>
      <w:r>
        <w:t xml:space="preserve"> </w:t>
      </w:r>
      <w:r>
        <w:rPr>
          <w:b/>
          <w:bCs/>
        </w:rPr>
        <w:t xml:space="preserve">тяжёлой бронхиальной астме</w:t>
      </w:r>
      <w:r>
        <w:t xml:space="preserve"> </w:t>
      </w:r>
      <w:r>
        <w:t xml:space="preserve">у пациентов</w:t>
      </w:r>
      <w:r>
        <w:t xml:space="preserve"> </w:t>
      </w:r>
      <w:r>
        <w:rPr>
          <w:b/>
          <w:bCs/>
        </w:rPr>
        <w:t xml:space="preserve">≥12 лет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Режим:</w:t>
      </w:r>
      <w:r>
        <w:t xml:space="preserve"> </w:t>
      </w:r>
      <w:r>
        <w:rPr>
          <w:b/>
          <w:bCs/>
        </w:rPr>
        <w:t xml:space="preserve">210 мг п/к 1 раз в 4 недели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статус регистрации, включение в ЖНВЛП, льготные перечни и клинические рекомендации РФ требуют</w:t>
      </w:r>
      <w:r>
        <w:t xml:space="preserve"> </w:t>
      </w:r>
      <w:r>
        <w:rPr>
          <w:b/>
          <w:bCs/>
        </w:rPr>
        <w:t xml:space="preserve">прямой сверки</w:t>
      </w:r>
      <w:r>
        <w:t xml:space="preserve"> </w:t>
      </w:r>
      <w:r>
        <w:t xml:space="preserve">с https://grls.rosminzdrav.ru и актуальными КР — в этом черновике помечено как</w:t>
      </w:r>
      <w:r>
        <w:t xml:space="preserve"> </w:t>
      </w:r>
      <w:r>
        <w:rPr>
          <w:b/>
          <w:bCs/>
        </w:rPr>
        <w:t xml:space="preserve">[проверить по ГРЛС / КР Минздрава]</w:t>
      </w:r>
      <w:r>
        <w:t xml:space="preserve">. Цифры по охвату, цене и реальной доступности</w:t>
      </w:r>
      <w:r>
        <w:t xml:space="preserve"> </w:t>
      </w:r>
      <w:r>
        <w:rPr>
          <w:b/>
          <w:bCs/>
        </w:rPr>
        <w:t xml:space="preserve">не приводятся</w:t>
      </w:r>
      <w:r>
        <w:t xml:space="preserve"> </w:t>
      </w:r>
      <w:r>
        <w:t xml:space="preserve">(нет верифицированных данных в базе задачи).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be08b872ddf1451368e4102ffe59f37fe0cc038"/>
    <w:p>
      <w:pPr>
        <w:pStyle w:val="Heading2"/>
      </w:pPr>
      <w:r>
        <w:t xml:space="preserve">9 Ограничения доказательств и открытые вопросы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Всего 2 РКИ</w:t>
      </w:r>
      <w:r>
        <w:t xml:space="preserve"> </w:t>
      </w:r>
      <w:r>
        <w:t xml:space="preserve">в основном pooled-анализе living review; I² = 62% без убедительного клинического объяснения.</w:t>
      </w:r>
    </w:p>
    <w:p>
      <w:pPr>
        <w:pStyle w:val="Compact"/>
        <w:numPr>
          <w:ilvl w:val="0"/>
          <w:numId w:val="1010"/>
        </w:numPr>
      </w:pPr>
      <w:r>
        <w:t xml:space="preserve">Подгруппы по эозинофилам —</w:t>
      </w:r>
      <w:r>
        <w:t xml:space="preserve"> </w:t>
      </w:r>
      <w:r>
        <w:rPr>
          <w:b/>
          <w:bCs/>
        </w:rPr>
        <w:t xml:space="preserve">постфактум / не в исходных регистрациях</w:t>
      </w:r>
      <w:r>
        <w:t xml:space="preserve"> </w:t>
      </w:r>
      <w:r>
        <w:t xml:space="preserve">→ риск reporting bias (unclear).</w:t>
      </w:r>
    </w:p>
    <w:p>
      <w:pPr>
        <w:pStyle w:val="Compact"/>
        <w:numPr>
          <w:ilvl w:val="0"/>
          <w:numId w:val="1010"/>
        </w:numPr>
      </w:pPr>
      <w:r>
        <w:t xml:space="preserve">Пороги «низких/высоких» эозинофилов</w:t>
      </w:r>
      <w:r>
        <w:t xml:space="preserve"> </w:t>
      </w:r>
      <w:r>
        <w:rPr>
          <w:b/>
          <w:bCs/>
        </w:rPr>
        <w:t xml:space="preserve">различаются</w:t>
      </w:r>
      <w:r>
        <w:t xml:space="preserve"> </w:t>
      </w:r>
      <w:r>
        <w:t xml:space="preserve">между PATHWAY (&lt;400 / ≥400) и NAVIGATOR (&lt;300 / ≥300).</w:t>
      </w:r>
    </w:p>
    <w:p>
      <w:pPr>
        <w:pStyle w:val="Compact"/>
        <w:numPr>
          <w:ilvl w:val="0"/>
          <w:numId w:val="1010"/>
        </w:numPr>
      </w:pPr>
      <w:r>
        <w:t xml:space="preserve">Нет прямых head-to-head сравнений tezepelumab vs другие mAb в рамках данного review.</w:t>
      </w:r>
    </w:p>
    <w:p>
      <w:pPr>
        <w:pStyle w:val="Compact"/>
        <w:numPr>
          <w:ilvl w:val="0"/>
          <w:numId w:val="1010"/>
        </w:numPr>
      </w:pPr>
      <w:r>
        <w:t xml:space="preserve">Популяция: преимущественно взрослые; подростки — в NAVIGATOR; дети &lt;12 лет — вне доказательной базы / показаний.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ХОБЛ:</w:t>
      </w:r>
      <w:r>
        <w:t xml:space="preserve"> </w:t>
      </w:r>
      <w:r>
        <w:t xml:space="preserve">отдельные программы по tezepelumab при ХОБЛ существуют / обсуждаются в литературе, но</w:t>
      </w:r>
      <w:r>
        <w:t xml:space="preserve"> </w:t>
      </w:r>
      <w:r>
        <w:rPr>
          <w:b/>
          <w:bCs/>
        </w:rPr>
        <w:t xml:space="preserve">не входят</w:t>
      </w:r>
      <w:r>
        <w:t xml:space="preserve"> </w:t>
      </w:r>
      <w:r>
        <w:t xml:space="preserve">в критерии данного asthma living review; количественные оценки по ХОБЛ в этот бриф</w:t>
      </w:r>
      <w:r>
        <w:t xml:space="preserve"> </w:t>
      </w:r>
      <w:r>
        <w:rPr>
          <w:b/>
          <w:bCs/>
        </w:rPr>
        <w:t xml:space="preserve">не включены</w:t>
      </w:r>
      <w:r>
        <w:t xml:space="preserve"> </w:t>
      </w:r>
      <w:r>
        <w:t xml:space="preserve">(избегать экстраполяции цифр по астме).</w:t>
      </w:r>
      <w:r>
        <w:t xml:space="preserve"> </w:t>
      </w:r>
      <w:r>
        <w:rPr>
          <w:b/>
          <w:bCs/>
        </w:rPr>
        <w:t xml:space="preserve">[при необходимости — отдельный краткий update по COPD-trials]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РФ:</w:t>
      </w:r>
      <w:r>
        <w:t xml:space="preserve"> </w:t>
      </w:r>
      <w:r>
        <w:t xml:space="preserve">регистрационный статус по вторичным источникам выглядит действующим (2023→), но операционные вопросы (закупки, маршрутизация, КР) —</w:t>
      </w:r>
      <w:r>
        <w:t xml:space="preserve"> </w:t>
      </w:r>
      <w:r>
        <w:rPr>
          <w:b/>
          <w:bCs/>
        </w:rPr>
        <w:t xml:space="preserve">[проверить]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Долгосрочные исходы, стероид-спаринг (SOURCE и др.), реал-world данные — требуют обновления после DESTINATION / постмаркетинга.</w:t>
      </w:r>
    </w:p>
    <w:p>
      <w:pPr>
        <w:pStyle w:val="Compact"/>
        <w:numPr>
          <w:ilvl w:val="0"/>
          <w:numId w:val="1010"/>
        </w:numPr>
      </w:pPr>
      <w:r>
        <w:t xml:space="preserve">Itepekimab (IL-33) — смежный механизм; не путать с анти-TSLP.</w:t>
      </w:r>
    </w:p>
    <w:p>
      <w:pPr>
        <w:pStyle w:val="Compact"/>
        <w:numPr>
          <w:ilvl w:val="0"/>
          <w:numId w:val="1010"/>
        </w:numPr>
      </w:pPr>
      <w:r>
        <w:t xml:space="preserve">GRADE SoF и CSV в локальном клоне частично</w:t>
      </w:r>
      <w:r>
        <w:t xml:space="preserve"> </w:t>
      </w:r>
      <w:r>
        <w:rPr>
          <w:b/>
          <w:bCs/>
        </w:rPr>
        <w:t xml:space="preserve">не актуализированы</w:t>
      </w:r>
      <w:r>
        <w:t xml:space="preserve"> </w:t>
      </w:r>
      <w:r>
        <w:t xml:space="preserve">под астму (шаблоны) — опираться на forest plots, reconciliation и первоисточники РКИ.</w:t>
      </w:r>
    </w:p>
    <w:p>
      <w:r>
        <w:pict>
          <v:rect style="width:0;height:1.5pt" o:hralign="center" o:hrstd="t" o:hr="t"/>
        </w:pict>
      </w:r>
    </w:p>
    <w:bookmarkEnd w:id="26"/>
    <w:bookmarkStart w:id="33" w:name="ключевые-источники-pmid"/>
    <w:p>
      <w:pPr>
        <w:pStyle w:val="Heading2"/>
      </w:pPr>
      <w:r>
        <w:t xml:space="preserve">10 Ключевые источники (PMID)</w:t>
      </w:r>
    </w:p>
    <w:bookmarkStart w:id="27" w:name="рки-tezepelumab"/>
    <w:p>
      <w:pPr>
        <w:pStyle w:val="Heading3"/>
      </w:pPr>
      <w:r>
        <w:t xml:space="preserve">10.1 РКИ tezepelumab</w:t>
      </w:r>
    </w:p>
    <w:p>
      <w:pPr>
        <w:pStyle w:val="Compact"/>
        <w:numPr>
          <w:ilvl w:val="0"/>
          <w:numId w:val="1011"/>
        </w:numPr>
      </w:pPr>
      <w:r>
        <w:t xml:space="preserve">Corren J, et al. Tezepelumab in Adults with Uncontrolled Asthma.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2017;377(10):936–946.</w:t>
      </w:r>
      <w:r>
        <w:t xml:space="preserve"> </w:t>
      </w:r>
      <w:r>
        <w:rPr>
          <w:b/>
          <w:bCs/>
        </w:rPr>
        <w:t xml:space="preserve">PMID: 28877011</w:t>
      </w:r>
      <w:r>
        <w:t xml:space="preserve">. (PATHWAY; NCT02054130)</w:t>
      </w:r>
    </w:p>
    <w:p>
      <w:pPr>
        <w:pStyle w:val="Compact"/>
        <w:numPr>
          <w:ilvl w:val="0"/>
          <w:numId w:val="1011"/>
        </w:numPr>
      </w:pPr>
      <w:r>
        <w:t xml:space="preserve">Menzies-Gow A, et al. Tezepelumab in Adults and Adolescents with Severe, Uncontrolled Asthma.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2021;384(19):1800–1809.</w:t>
      </w:r>
      <w:r>
        <w:t xml:space="preserve"> </w:t>
      </w:r>
      <w:r>
        <w:rPr>
          <w:b/>
          <w:bCs/>
        </w:rPr>
        <w:t xml:space="preserve">PMID: 33979488</w:t>
      </w:r>
      <w:r>
        <w:t xml:space="preserve">. (NAVIGATOR; NCT03347279)</w:t>
      </w:r>
    </w:p>
    <w:bookmarkEnd w:id="27"/>
    <w:bookmarkStart w:id="28" w:name="смежный-undergoing-review"/>
    <w:p>
      <w:pPr>
        <w:pStyle w:val="Heading3"/>
      </w:pPr>
      <w:r>
        <w:t xml:space="preserve">10.2 Смежный / undergoing review</w:t>
      </w:r>
    </w:p>
    <w:p>
      <w:pPr>
        <w:pStyle w:val="Compact"/>
        <w:numPr>
          <w:ilvl w:val="0"/>
          <w:numId w:val="1012"/>
        </w:numPr>
      </w:pPr>
      <w:r>
        <w:t xml:space="preserve">Wechsler ME, et al. Efficacy and Safety of Itepekimab in Patients with Moderate-to-Severe Asthma.</w:t>
      </w:r>
      <w:r>
        <w:t xml:space="preserve"> </w:t>
      </w:r>
      <w:r>
        <w:rPr>
          <w:i/>
          <w:iCs/>
        </w:rPr>
        <w:t xml:space="preserve">N Engl J Med</w:t>
      </w:r>
      <w:r>
        <w:t xml:space="preserve">. 2021;385(18):1656–1668.</w:t>
      </w:r>
      <w:r>
        <w:t xml:space="preserve"> </w:t>
      </w:r>
      <w:r>
        <w:rPr>
          <w:b/>
          <w:bCs/>
        </w:rPr>
        <w:t xml:space="preserve">PMID: 34706171</w:t>
      </w:r>
      <w:r>
        <w:t xml:space="preserve">. (itepekimab / IL-33 — не tezepelumab)</w:t>
      </w:r>
    </w:p>
    <w:bookmarkEnd w:id="28"/>
    <w:bookmarkStart w:id="29" w:name="X2a7c672cb0b7ca5981515848000fdefc315ef33"/>
    <w:p>
      <w:pPr>
        <w:pStyle w:val="Heading3"/>
      </w:pPr>
      <w:r>
        <w:t xml:space="preserve">10.3 Prior systematic reviews / гайдлайны (из репозитория)</w:t>
      </w:r>
    </w:p>
    <w:p>
      <w:pPr>
        <w:pStyle w:val="Compact"/>
        <w:numPr>
          <w:ilvl w:val="0"/>
          <w:numId w:val="1013"/>
        </w:numPr>
      </w:pPr>
      <w:r>
        <w:t xml:space="preserve">Edris A, et al. Monoclonal antibodies in type 2 asthma: a systematic review and network meta-analysis.</w:t>
      </w:r>
      <w:r>
        <w:t xml:space="preserve"> </w:t>
      </w:r>
      <w:r>
        <w:rPr>
          <w:i/>
          <w:iCs/>
        </w:rPr>
        <w:t xml:space="preserve">Respir Res</w:t>
      </w:r>
      <w:r>
        <w:t xml:space="preserve">. 2019;20(1):179.</w:t>
      </w:r>
      <w:r>
        <w:t xml:space="preserve"> </w:t>
      </w:r>
      <w:r>
        <w:rPr>
          <w:b/>
          <w:bCs/>
        </w:rPr>
        <w:t xml:space="preserve">PMID: 31395084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Farne HA, et al. Anti-IL5 therapies for asthma.</w:t>
      </w:r>
      <w:r>
        <w:t xml:space="preserve"> </w:t>
      </w:r>
      <w:r>
        <w:rPr>
          <w:i/>
          <w:iCs/>
        </w:rPr>
        <w:t xml:space="preserve">Cochrane Database Syst Rev</w:t>
      </w:r>
      <w:r>
        <w:t xml:space="preserve">. 2017;9(9):CD010834.</w:t>
      </w:r>
      <w:r>
        <w:t xml:space="preserve"> </w:t>
      </w:r>
      <w:r>
        <w:rPr>
          <w:b/>
          <w:bCs/>
        </w:rPr>
        <w:t xml:space="preserve">PMID: 28933516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Holguin F, et al. Management of severe asthma: a European Respiratory Society/American Thoracic Society guideline.</w:t>
      </w:r>
      <w:r>
        <w:t xml:space="preserve"> </w:t>
      </w:r>
      <w:r>
        <w:rPr>
          <w:i/>
          <w:iCs/>
        </w:rPr>
        <w:t xml:space="preserve">Eur Respir J</w:t>
      </w:r>
      <w:r>
        <w:t xml:space="preserve">. 2020;55(1):1900588.</w:t>
      </w:r>
      <w:r>
        <w:t xml:space="preserve"> </w:t>
      </w:r>
      <w:r>
        <w:rPr>
          <w:b/>
          <w:bCs/>
        </w:rPr>
        <w:t xml:space="preserve">PMID: 31558662</w:t>
      </w:r>
      <w:r>
        <w:t xml:space="preserve">.</w:t>
      </w:r>
    </w:p>
    <w:bookmarkEnd w:id="29"/>
    <w:bookmarkStart w:id="30" w:name="цитирование-living-review"/>
    <w:p>
      <w:pPr>
        <w:pStyle w:val="Heading3"/>
      </w:pPr>
      <w:r>
        <w:t xml:space="preserve">10.4 Цитирование living review</w:t>
      </w:r>
    </w:p>
    <w:p>
      <w:pPr>
        <w:pStyle w:val="Compact"/>
        <w:numPr>
          <w:ilvl w:val="0"/>
          <w:numId w:val="1014"/>
        </w:numPr>
      </w:pPr>
      <w:r>
        <w:t xml:space="preserve">Taleb AA, Badgett RG. In severe, uncontrolled asthma, tezepelumab reduced exacerbations and improved asthma control at 1 y.</w:t>
      </w:r>
      <w:r>
        <w:t xml:space="preserve"> </w:t>
      </w:r>
      <w:r>
        <w:rPr>
          <w:i/>
          <w:iCs/>
        </w:rPr>
        <w:t xml:space="preserve">Ann Intern Med</w:t>
      </w:r>
      <w:r>
        <w:t xml:space="preserve">. 2021;174(10):JC115.</w:t>
      </w:r>
      <w:r>
        <w:t xml:space="preserve"> </w:t>
      </w:r>
      <w:r>
        <w:rPr>
          <w:b/>
          <w:bCs/>
        </w:rPr>
        <w:t xml:space="preserve">PMID: 34606305</w:t>
      </w:r>
      <w:r>
        <w:t xml:space="preserve">.</w:t>
      </w:r>
    </w:p>
    <w:bookmarkEnd w:id="30"/>
    <w:bookmarkStart w:id="31" w:name="база-living-review"/>
    <w:p>
      <w:pPr>
        <w:pStyle w:val="Heading3"/>
      </w:pPr>
      <w:r>
        <w:t xml:space="preserve">10.5 База living review</w:t>
      </w:r>
    </w:p>
    <w:p>
      <w:pPr>
        <w:pStyle w:val="Compact"/>
        <w:numPr>
          <w:ilvl w:val="0"/>
          <w:numId w:val="1015"/>
        </w:numPr>
      </w:pPr>
      <w:r>
        <w:t xml:space="preserve">openMetaAnalysis. Asthma-immunomodulation (living systematic review). https://openmetaanalysis.github.io/Asthma-immunomodulation/ ; локальный клон</w:t>
      </w:r>
      <w:r>
        <w:t xml:space="preserve"> </w:t>
      </w:r>
      <w:r>
        <w:rPr>
          <w:rStyle w:val="VerbatimChar"/>
        </w:rPr>
        <w:t xml:space="preserve">/workspace/asthma-immuno</w:t>
      </w:r>
      <w:r>
        <w:t xml:space="preserve"> </w:t>
      </w:r>
      <w:r>
        <w:t xml:space="preserve">(файлы:</w:t>
      </w:r>
      <w:r>
        <w:t xml:space="preserve"> </w:t>
      </w:r>
      <w:r>
        <w:rPr>
          <w:rStyle w:val="VerbatimChar"/>
        </w:rPr>
        <w:t xml:space="preserve">files/searching/evidence-search.md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files/forest-plots/*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files/study-details/table-pico.pdf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table-bias.pdf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files/reconciliation-tables/*</w:t>
      </w:r>
      <w:r>
        <w:t xml:space="preserve">, ветка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).</w:t>
      </w:r>
    </w:p>
    <w:bookmarkEnd w:id="31"/>
    <w:bookmarkStart w:id="32" w:name="X80620b5d2a01e26c3178c29f1838be8373f079c"/>
    <w:p>
      <w:pPr>
        <w:pStyle w:val="Heading3"/>
      </w:pPr>
      <w:r>
        <w:t xml:space="preserve">10.6 Регуляторика (открытые источники; статус РФ — проверить)</w:t>
      </w:r>
    </w:p>
    <w:p>
      <w:pPr>
        <w:pStyle w:val="Compact"/>
        <w:numPr>
          <w:ilvl w:val="0"/>
          <w:numId w:val="1016"/>
        </w:numPr>
      </w:pPr>
      <w:r>
        <w:t xml:space="preserve">FDA Prescribing Information — TEZSPIRE (tezepelumab-ekko).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EMA EPAR — Tezspire.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Vidal / агрегаторы ГРЛС — Тезспире, РУ ЛП-№(002978)-(РГ-RU) от 10.08.2023.</w:t>
      </w:r>
      <w:r>
        <w:t xml:space="preserve"> </w:t>
      </w:r>
      <w:r>
        <w:rPr>
          <w:b/>
          <w:bCs/>
        </w:rPr>
        <w:t xml:space="preserve">[проверить на grls.rosminzdrav.ru]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Конец черновика. Не является медицинской рекомендацией; для рабочих документов Дмитрия.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Tezepelumab (Тезспире) при тяжёлой бронхиальной астме</dc:title>
  <dc:creator>Джарвис (черновик для Дмитрия)</dc:creator>
  <dc:language>ru</dc:language>
  <cp:keywords/>
  <dcterms:created xsi:type="dcterms:W3CDTF">2026-09-09T20:21:50Z</dcterms:created>
  <dcterms:modified xsi:type="dcterms:W3CDTF">2026-09-09T20:21:50Z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2026-09-09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Рабочий обзор доказательств</vt:lpwstr>
  </property>
  <property fmtid="{D5CDD505-2E9C-101B-9397-08002B2CF9AE}" pid="12" name="toc-title">
    <vt:lpwstr>Содержание</vt:lpwstr>
  </property>
</Properties>
</file>