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3164" w:rsidRPr="0058044C" w:rsidRDefault="00000000">
      <w:pPr>
        <w:pStyle w:val="Heading1"/>
        <w:spacing w:after="60"/>
        <w:rPr>
          <w:color w:val="auto"/>
        </w:rPr>
      </w:pPr>
      <w:r w:rsidRPr="0058044C">
        <w:rPr>
          <w:color w:val="auto"/>
        </w:rPr>
        <w:t>Lab 3: Architectural Justification</w:t>
      </w:r>
    </w:p>
    <w:p w:rsidR="00FA3164" w:rsidRDefault="00000000">
      <w:pPr>
        <w:spacing w:after="100"/>
      </w:pPr>
      <w:r>
        <w:rPr>
          <w:b/>
          <w:bCs/>
        </w:rPr>
        <w:t xml:space="preserve">Project: </w:t>
      </w:r>
      <w:r>
        <w:t>Incident Escalation &amp; On-Call Rotation Engine</w:t>
      </w:r>
    </w:p>
    <w:p w:rsidR="00FA3164" w:rsidRPr="0058044C" w:rsidRDefault="00000000">
      <w:pPr>
        <w:pStyle w:val="Heading2"/>
        <w:spacing w:before="160" w:after="80"/>
        <w:rPr>
          <w:color w:val="auto"/>
        </w:rPr>
      </w:pPr>
      <w:r w:rsidRPr="0058044C">
        <w:rPr>
          <w:color w:val="auto"/>
        </w:rPr>
        <w:t>Reason 1 — Fault Isolation for a 24/7 System</w:t>
      </w:r>
    </w:p>
    <w:p w:rsidR="002E71F6" w:rsidRDefault="002E71F6">
      <w:pPr>
        <w:pStyle w:val="Heading2"/>
        <w:spacing w:before="160" w:after="80"/>
        <w:rPr>
          <w:color w:val="auto"/>
          <w:sz w:val="20"/>
          <w:szCs w:val="20"/>
        </w:rPr>
      </w:pPr>
      <w:r w:rsidRPr="002E71F6">
        <w:rPr>
          <w:color w:val="auto"/>
          <w:sz w:val="20"/>
          <w:szCs w:val="20"/>
        </w:rPr>
        <w:t>The basic premise of the engine is that a failure will always trigger an on-call engineer, and that no single failure will bring down the entire system. In a scenario where all of the services in the incident response software can be deployed separately (Alert Ingestion, Escalation Engine, Notification Service, On-Call Rotation Service, Incident Data Store, and Dashboard UI), the failure of a service (for example, a third party SMS/email gateway of the Notification Service) will not prevent the Escalation Engine from tracking timeouts and automatically reassigning incidents</w:t>
      </w:r>
      <w:r>
        <w:rPr>
          <w:color w:val="auto"/>
          <w:sz w:val="20"/>
          <w:szCs w:val="20"/>
        </w:rPr>
        <w:t xml:space="preserve">. </w:t>
      </w:r>
      <w:r w:rsidRPr="002E71F6">
        <w:rPr>
          <w:color w:val="auto"/>
          <w:sz w:val="20"/>
          <w:szCs w:val="20"/>
        </w:rPr>
        <w:t>The Layered/Client Server architecture model would use a common process/server, making any failure a system outage, the exact opposite of the goal.</w:t>
      </w:r>
    </w:p>
    <w:p w:rsidR="00FA3164" w:rsidRPr="0058044C" w:rsidRDefault="00000000">
      <w:pPr>
        <w:pStyle w:val="Heading2"/>
        <w:spacing w:before="160" w:after="80"/>
        <w:rPr>
          <w:color w:val="auto"/>
        </w:rPr>
      </w:pPr>
      <w:r w:rsidRPr="0058044C">
        <w:rPr>
          <w:color w:val="auto"/>
        </w:rPr>
        <w:t>Reason 2 — Independent Scaling &amp; Deployment</w:t>
      </w:r>
    </w:p>
    <w:p w:rsidR="0058044C" w:rsidRDefault="0058044C">
      <w:pPr>
        <w:pStyle w:val="Heading2"/>
        <w:spacing w:before="160" w:after="80"/>
        <w:rPr>
          <w:color w:val="auto"/>
          <w:sz w:val="20"/>
          <w:szCs w:val="20"/>
        </w:rPr>
      </w:pPr>
      <w:r w:rsidRPr="0058044C">
        <w:rPr>
          <w:color w:val="auto"/>
          <w:sz w:val="20"/>
          <w:szCs w:val="20"/>
        </w:rPr>
        <w:t>There is a particular timing at which alert volume, notification volume, and dashboard utilization peak depending on certain factors (for instance, if there is an outage, then there will be a lot of alerts and notifications, but no increased activity on the dashboard). With microservices, it is possible to scale out the Notification Service and Escalation Engine independent of the Dashboard UI and On-Call Rotation Service, and deploy each separately (that means that if there is an update to the Escalation Engine related to timeout auto-reassignment logic, it does not affect the Notification Service and Incident Data Store).</w:t>
      </w:r>
    </w:p>
    <w:p w:rsidR="00FA3164" w:rsidRPr="0058044C" w:rsidRDefault="00000000">
      <w:pPr>
        <w:pStyle w:val="Heading2"/>
        <w:spacing w:before="160" w:after="80"/>
        <w:rPr>
          <w:color w:val="auto"/>
        </w:rPr>
      </w:pPr>
      <w:r w:rsidRPr="0058044C">
        <w:rPr>
          <w:color w:val="auto"/>
        </w:rPr>
        <w:t>Security Advantage</w:t>
      </w:r>
    </w:p>
    <w:p w:rsidR="00FA3164" w:rsidRDefault="00000000">
      <w:pPr>
        <w:spacing w:after="100"/>
      </w:pPr>
      <w:r>
        <w:t>Each microservice owns a narrow, independently secured boundary. The Incident Data Store Component is the only service with direct access to persisted incident records and on-call contact information, which it encrypts at rest with AES-256</w:t>
      </w:r>
      <w:r w:rsidR="0058044C">
        <w:t xml:space="preserve">. </w:t>
      </w:r>
      <w:r>
        <w:t xml:space="preserve">Because the Notification Service, Dashboard UI, and other components reach it only through its </w:t>
      </w:r>
      <w:proofErr w:type="spellStart"/>
      <w:r>
        <w:t>IncidentPersistence</w:t>
      </w:r>
      <w:proofErr w:type="spellEnd"/>
      <w:r>
        <w:t xml:space="preserve"> interface rather than a shared database connection, compromised credentials in one service (e.g. the Notification Service's SMS/email gateway keys) do not expose the incident data store or rotation schedule</w:t>
      </w:r>
      <w:r w:rsidR="0058044C">
        <w:t>.</w:t>
      </w:r>
    </w:p>
    <w:p w:rsidR="00FA3164" w:rsidRPr="0058044C" w:rsidRDefault="00000000">
      <w:pPr>
        <w:pStyle w:val="Heading2"/>
        <w:spacing w:before="160" w:after="80"/>
        <w:rPr>
          <w:color w:val="auto"/>
        </w:rPr>
      </w:pPr>
      <w:r w:rsidRPr="0058044C">
        <w:rPr>
          <w:color w:val="auto"/>
        </w:rPr>
        <w:t>Performance Benefit</w:t>
      </w:r>
    </w:p>
    <w:p w:rsidR="00FA3164" w:rsidRDefault="00000000">
      <w:pPr>
        <w:spacing w:after="100"/>
      </w:pPr>
      <w:r>
        <w:t>Because the Notification Service is deployed and scaled independently, it can absorb a burst of alerts</w:t>
      </w:r>
      <w:r w:rsidR="0058044C">
        <w:t xml:space="preserve"> in continuous succession</w:t>
      </w:r>
      <w:r>
        <w:t xml:space="preserve"> by scaling out its own instances without competing for resources with the Dashboard UI or On-Call Rotation Service. This directly protects the requirement that a failure notification (email and SMS) reach the on-duty engineer within 60 seconds</w:t>
      </w:r>
      <w:r w:rsidR="0058044C">
        <w:t>.</w:t>
      </w:r>
    </w:p>
    <w:sectPr w:rsidR="00FA3164">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62A9D"/>
    <w:multiLevelType w:val="hybridMultilevel"/>
    <w:tmpl w:val="FF78294C"/>
    <w:lvl w:ilvl="0" w:tplc="9AB225B4">
      <w:start w:val="1"/>
      <w:numFmt w:val="bullet"/>
      <w:lvlText w:val="●"/>
      <w:lvlJc w:val="left"/>
      <w:pPr>
        <w:ind w:left="720" w:hanging="360"/>
      </w:pPr>
    </w:lvl>
    <w:lvl w:ilvl="1" w:tplc="B5BA45CE">
      <w:start w:val="1"/>
      <w:numFmt w:val="bullet"/>
      <w:lvlText w:val="○"/>
      <w:lvlJc w:val="left"/>
      <w:pPr>
        <w:ind w:left="1440" w:hanging="360"/>
      </w:pPr>
    </w:lvl>
    <w:lvl w:ilvl="2" w:tplc="548CE746">
      <w:start w:val="1"/>
      <w:numFmt w:val="bullet"/>
      <w:lvlText w:val="■"/>
      <w:lvlJc w:val="left"/>
      <w:pPr>
        <w:ind w:left="2160" w:hanging="360"/>
      </w:pPr>
    </w:lvl>
    <w:lvl w:ilvl="3" w:tplc="20688B0E">
      <w:start w:val="1"/>
      <w:numFmt w:val="bullet"/>
      <w:lvlText w:val="●"/>
      <w:lvlJc w:val="left"/>
      <w:pPr>
        <w:ind w:left="2880" w:hanging="360"/>
      </w:pPr>
    </w:lvl>
    <w:lvl w:ilvl="4" w:tplc="2B7460EE">
      <w:start w:val="1"/>
      <w:numFmt w:val="bullet"/>
      <w:lvlText w:val="○"/>
      <w:lvlJc w:val="left"/>
      <w:pPr>
        <w:ind w:left="3600" w:hanging="360"/>
      </w:pPr>
    </w:lvl>
    <w:lvl w:ilvl="5" w:tplc="1654DF84">
      <w:start w:val="1"/>
      <w:numFmt w:val="bullet"/>
      <w:lvlText w:val="■"/>
      <w:lvlJc w:val="left"/>
      <w:pPr>
        <w:ind w:left="4320" w:hanging="360"/>
      </w:pPr>
    </w:lvl>
    <w:lvl w:ilvl="6" w:tplc="641A9D5C">
      <w:start w:val="1"/>
      <w:numFmt w:val="bullet"/>
      <w:lvlText w:val="●"/>
      <w:lvlJc w:val="left"/>
      <w:pPr>
        <w:ind w:left="5040" w:hanging="360"/>
      </w:pPr>
    </w:lvl>
    <w:lvl w:ilvl="7" w:tplc="6B60D064">
      <w:start w:val="1"/>
      <w:numFmt w:val="bullet"/>
      <w:lvlText w:val="●"/>
      <w:lvlJc w:val="left"/>
      <w:pPr>
        <w:ind w:left="5760" w:hanging="360"/>
      </w:pPr>
    </w:lvl>
    <w:lvl w:ilvl="8" w:tplc="20CEC080">
      <w:start w:val="1"/>
      <w:numFmt w:val="bullet"/>
      <w:lvlText w:val="●"/>
      <w:lvlJc w:val="left"/>
      <w:pPr>
        <w:ind w:left="6480" w:hanging="360"/>
      </w:pPr>
    </w:lvl>
  </w:abstractNum>
  <w:num w:numId="1" w16cid:durableId="894390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164"/>
    <w:rsid w:val="000B4BE1"/>
    <w:rsid w:val="002E71F6"/>
    <w:rsid w:val="0058044C"/>
    <w:rsid w:val="00FA3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9C13693"/>
  <w15:docId w15:val="{86C6DB03-FB8C-B742-BB0A-01C6D842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 Jomy Sujith</cp:lastModifiedBy>
  <cp:revision>2</cp:revision>
  <dcterms:created xsi:type="dcterms:W3CDTF">2026-09-12T07:14:00Z</dcterms:created>
  <dcterms:modified xsi:type="dcterms:W3CDTF">2026-09-12T08:56:00Z</dcterms:modified>
</cp:coreProperties>
</file>