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Lab 1: Requirements Table</w:t>
      </w:r>
    </w:p>
    <w:p>
      <w:r>
        <w:rPr>
          <w:b/>
          <w:bCs/>
        </w:rPr>
        <w:t xml:space="preserve">Project: Incident Escalation &amp; On-Call Rotation Engine</w:t>
      </w:r>
    </w:p>
    <w:p>
      <w:r>
        <w:rPr>
          <w:b/>
          <w:bCs/>
        </w:rPr>
        <w:t xml:space="preserve">Domain: Developer Tools &amp; IT Operations</w:t>
      </w:r>
    </w:p>
    <w:p>
      <w:r>
        <w:rPr>
          <w:b/>
          <w:bCs/>
        </w:rPr>
        <w:t xml:space="preserve">Actors: On-Call Engineer, Incident Commander, Monitoring System (external)</w:t>
      </w:r>
    </w:p>
    <w:p/>
    <w:tbl>
      <w:tblPr>
        <w:tblW w:type="dxa" w:w="13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00"/>
        <w:gridCol w:w="3600"/>
        <w:gridCol w:w="1000"/>
        <w:gridCol w:w="3100"/>
        <w:gridCol w:w="2400"/>
        <w:gridCol w:w="1400"/>
      </w:tblGrid>
      <w:tr>
        <w:trPr>
          <w:tblHeader/>
        </w:trPr>
        <w:tc>
          <w:tcPr>
            <w:tcW w:type="dxa" w:w="1000"/>
            <w:shd w:fill="1F4E7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Req ID</w:t>
            </w:r>
          </w:p>
        </w:tc>
        <w:tc>
          <w:tcPr>
            <w:tcW w:type="dxa" w:w="1400"/>
            <w:shd w:fill="1F4E7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3600"/>
            <w:shd w:fill="1F4E7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000"/>
            <w:shd w:fill="1F4E7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  <w:tc>
          <w:tcPr>
            <w:tcW w:type="dxa" w:w="3100"/>
            <w:shd w:fill="1F4E7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Acceptance Criteria</w:t>
            </w:r>
          </w:p>
        </w:tc>
        <w:tc>
          <w:tcPr>
            <w:tcW w:type="dxa" w:w="2400"/>
            <w:shd w:fill="1F4E7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Rationale</w:t>
            </w:r>
          </w:p>
        </w:tc>
        <w:tc>
          <w:tcPr>
            <w:tcW w:type="dxa" w:w="1400"/>
            <w:shd w:fill="1F4E7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Comments</w:t>
            </w:r>
          </w:p>
        </w:tc>
      </w:tr>
      <w:tr>
        <w:tc>
          <w:tcPr>
            <w:tcW w:type="dxa" w:w="1000"/>
            <w:shd w:fill="EAF2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FR-001</w:t>
            </w:r>
          </w:p>
        </w:tc>
        <w:tc>
          <w:tcPr>
            <w:tcW w:type="dxa" w:w="1400"/>
            <w:shd w:fill="EAF2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Functional</w:t>
            </w:r>
          </w:p>
        </w:tc>
        <w:tc>
          <w:tcPr>
            <w:tcW w:type="dxa" w:w="3600"/>
            <w:shd w:fill="EAF2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The system shall automatically notify the on-duty On-Call Engineer via SMS, email, and push notification within 60 seconds of an alert being triggered by the Monitoring System.</w:t>
            </w:r>
          </w:p>
        </w:tc>
        <w:tc>
          <w:tcPr>
            <w:tcW w:type="dxa" w:w="1000"/>
            <w:shd w:fill="EAF2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100"/>
            <w:shd w:fill="EAF2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 simulated alert is triggered; the notification log shows dispatch timestamps on all three channels (SMS, email, push) within 60s of the alert-trigger timestamp.</w:t>
            </w:r>
          </w:p>
        </w:tc>
        <w:tc>
          <w:tcPr>
            <w:tcW w:type="dxa" w:w="2400"/>
            <w:shd w:fill="EAF2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Timely notification directly reduces Mean Time To Acknowledge (MTTA), the primary metric for on-call effectiveness.</w:t>
            </w:r>
          </w:p>
        </w:tc>
        <w:tc>
          <w:tcPr>
            <w:tcW w:type="dxa" w:w="1400"/>
            <w:shd w:fill="EAF2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000"/>
            <w:shd w:fill="EAF2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FR-002</w:t>
            </w:r>
          </w:p>
        </w:tc>
        <w:tc>
          <w:tcPr>
            <w:tcW w:type="dxa" w:w="1400"/>
            <w:shd w:fill="EAF2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Functional</w:t>
            </w:r>
          </w:p>
        </w:tc>
        <w:tc>
          <w:tcPr>
            <w:tcW w:type="dxa" w:w="3600"/>
            <w:shd w:fill="EAF2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The system shall allow an On-Call Engineer to acknowledge an active alert with a single action, recording the acknowledger's user ID and a UTC timestamp.</w:t>
            </w:r>
          </w:p>
        </w:tc>
        <w:tc>
          <w:tcPr>
            <w:tcW w:type="dxa" w:w="1000"/>
            <w:shd w:fill="EAF2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100"/>
            <w:shd w:fill="EAF2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After the acknowledge action, the incident log contains the engineer's user ID and a UTC timestamp within 2 seconds, and the alert status changes from “Open” to “Acknowledged”.</w:t>
            </w:r>
          </w:p>
        </w:tc>
        <w:tc>
          <w:tcPr>
            <w:tcW w:type="dxa" w:w="2400"/>
            <w:shd w:fill="EAF2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Acknowledgment confirms a human has taken ownership and stops the auto-escalation timer.</w:t>
            </w:r>
          </w:p>
        </w:tc>
        <w:tc>
          <w:tcPr>
            <w:tcW w:type="dxa" w:w="1400"/>
            <w:shd w:fill="EAF2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000"/>
            <w:shd w:fill="EAF2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FR-003</w:t>
            </w:r>
          </w:p>
        </w:tc>
        <w:tc>
          <w:tcPr>
            <w:tcW w:type="dxa" w:w="1400"/>
            <w:shd w:fill="EAF2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Functional</w:t>
            </w:r>
          </w:p>
        </w:tc>
        <w:tc>
          <w:tcPr>
            <w:tcW w:type="dxa" w:w="3600"/>
            <w:shd w:fill="EAF2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The system shall automatically escalate an alert to the next engineer in the on-call rotation if it is not acknowledged within a configurable timeout (default 5 minutes).</w:t>
            </w:r>
          </w:p>
        </w:tc>
        <w:tc>
          <w:tcPr>
            <w:tcW w:type="dxa" w:w="1000"/>
            <w:shd w:fill="EAF2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100"/>
            <w:shd w:fill="EAF2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 a test where an alert is left unacknowledged for 5 minutes, the escalation log records an “auto-escalated” entry with elapsed time ≥ 300s and a notification is sent to the next-level engineer.</w:t>
            </w:r>
          </w:p>
        </w:tc>
        <w:tc>
          <w:tcPr>
            <w:tcW w:type="dxa" w:w="2400"/>
            <w:shd w:fill="EAF2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Prevents alerts from being missed due to engineer unavailability, guaranteeing continuous coverage.</w:t>
            </w:r>
          </w:p>
        </w:tc>
        <w:tc>
          <w:tcPr>
            <w:tcW w:type="dxa" w:w="1400"/>
            <w:shd w:fill="EAF2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000"/>
            <w:shd w:fill="EAF2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FR-004</w:t>
            </w:r>
          </w:p>
        </w:tc>
        <w:tc>
          <w:tcPr>
            <w:tcW w:type="dxa" w:w="1400"/>
            <w:shd w:fill="EAF2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Functional</w:t>
            </w:r>
          </w:p>
        </w:tc>
        <w:tc>
          <w:tcPr>
            <w:tcW w:type="dxa" w:w="3600"/>
            <w:shd w:fill="EAF2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The system shall allow an Incident Commander to declare a “Major Incident,” which creates a dedicated incident channel and assigns responder roles.</w:t>
            </w:r>
          </w:p>
        </w:tc>
        <w:tc>
          <w:tcPr>
            <w:tcW w:type="dxa" w:w="1000"/>
            <w:shd w:fill="EAF2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100"/>
            <w:shd w:fill="EAF2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On declaration, the system creates a uniquely named incident channel and logs role assignments (Incident Commander, Scribe, Responder) within 10 seconds.</w:t>
            </w:r>
          </w:p>
        </w:tc>
        <w:tc>
          <w:tcPr>
            <w:tcW w:type="dxa" w:w="2400"/>
            <w:shd w:fill="EAF2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Coordinated response to severe incidents requires a clear communication channel and defined roles from the outset.</w:t>
            </w:r>
          </w:p>
        </w:tc>
        <w:tc>
          <w:tcPr>
            <w:tcW w:type="dxa" w:w="1400"/>
            <w:shd w:fill="EAF2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000"/>
            <w:shd w:fill="EAF2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FR-005</w:t>
            </w:r>
          </w:p>
        </w:tc>
        <w:tc>
          <w:tcPr>
            <w:tcW w:type="dxa" w:w="1400"/>
            <w:shd w:fill="EAF2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Functional</w:t>
            </w:r>
          </w:p>
        </w:tc>
        <w:tc>
          <w:tcPr>
            <w:tcW w:type="dxa" w:w="3600"/>
            <w:shd w:fill="EAF2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The system shall allow an On-Call Engineer to view the on-call schedule and request a shift swap, which only takes effect after the receiving engineer explicitly accepts it.</w:t>
            </w:r>
          </w:p>
        </w:tc>
        <w:tc>
          <w:tcPr>
            <w:tcW w:type="dxa" w:w="1000"/>
            <w:shd w:fill="EAF2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100"/>
            <w:shd w:fill="EAF2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 swap request updates the schedule only after a recorded acceptance action by the target engineer; any swap lacking a recorded acceptance is rejected by the system.</w:t>
            </w:r>
          </w:p>
        </w:tc>
        <w:tc>
          <w:tcPr>
            <w:tcW w:type="dxa" w:w="2400"/>
            <w:shd w:fill="EAF2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Supports rotation flexibility while preventing unapproved swaps from creating on-call coverage gaps.</w:t>
            </w:r>
          </w:p>
        </w:tc>
        <w:tc>
          <w:tcPr>
            <w:tcW w:type="dxa" w:w="1400"/>
            <w:shd w:fill="EAF2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000"/>
            <w:shd w:fill="FDF3E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NFR-001</w:t>
            </w:r>
          </w:p>
        </w:tc>
        <w:tc>
          <w:tcPr>
            <w:tcW w:type="dxa" w:w="1400"/>
            <w:shd w:fill="FDF3E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Nonfunc.</w:t>
            </w:r>
          </w:p>
        </w:tc>
        <w:tc>
          <w:tcPr>
            <w:tcW w:type="dxa" w:w="3600"/>
            <w:shd w:fill="FDF3E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The system shall maintain 99.9% uptime for the alerting and notification pipeline, measured on a rolling 30-day basis.</w:t>
            </w:r>
          </w:p>
        </w:tc>
        <w:tc>
          <w:tcPr>
            <w:tcW w:type="dxa" w:w="1000"/>
            <w:shd w:fill="FDF3E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100"/>
            <w:shd w:fill="FDF3E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The uptime monitoring dashboard shows no more than 43.2 minutes of cumulative pipeline downtime in any 30-day period.</w:t>
            </w:r>
          </w:p>
        </w:tc>
        <w:tc>
          <w:tcPr>
            <w:tcW w:type="dxa" w:w="2400"/>
            <w:shd w:fill="FDF3E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Because the system's core purpose is timely notification, its own availability must exceed that of the systems it monitors.</w:t>
            </w:r>
          </w:p>
        </w:tc>
        <w:tc>
          <w:tcPr>
            <w:tcW w:type="dxa" w:w="1400"/>
            <w:shd w:fill="FDF3E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000"/>
            <w:shd w:fill="FDF3E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NFR-002</w:t>
            </w:r>
          </w:p>
        </w:tc>
        <w:tc>
          <w:tcPr>
            <w:tcW w:type="dxa" w:w="1400"/>
            <w:shd w:fill="FDF3E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Nonfunc.</w:t>
            </w:r>
          </w:p>
        </w:tc>
        <w:tc>
          <w:tcPr>
            <w:tcW w:type="dxa" w:w="3600"/>
            <w:shd w:fill="FDF3E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The system shall encrypt all incident data and on-call contact information (phone numbers, emails) at rest using AES-256 and in transit using TLS 1.2 or higher.</w:t>
            </w:r>
          </w:p>
        </w:tc>
        <w:tc>
          <w:tcPr>
            <w:tcW w:type="dxa" w:w="1000"/>
            <w:shd w:fill="FDF3E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100"/>
            <w:shd w:fill="FDF3E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 security scan confirms AES-256 encryption on all data stores and TLS 1.2+ on all network endpoints; no plaintext contact data is found in a database export.</w:t>
            </w:r>
          </w:p>
        </w:tc>
        <w:tc>
          <w:tcPr>
            <w:tcW w:type="dxa" w:w="2400"/>
            <w:shd w:fill="FDF3E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On-call contact details and incident data are sensitive; encryption protects them from unauthorized access or interception.</w:t>
            </w:r>
          </w:p>
        </w:tc>
        <w:tc>
          <w:tcPr>
            <w:tcW w:type="dxa" w:w="1400"/>
            <w:shd w:fill="FDF3E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/>
    <w:p>
      <w:r>
        <w:rPr>
          <w:i/>
          <w:iCs/>
          <w:sz w:val="18"/>
          <w:szCs w:val="18"/>
        </w:rPr>
        <w:t xml:space="preserve">Legend: FR = Functional Requirement, NFR = Nonfunctional Requirement. Each description uses “The system shall…” phrasing; each acceptance criterion states a measurable, testable pass/fail condition.</w:t>
      </w:r>
    </w:p>
    <w:sectPr>
      <w:pgSz w:w="15840" w:h="12240" w:orient="landscape"/>
      <w:pgMar w:top="720" w:right="540" w:bottom="720" w:left="5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2026-08-25T08:07:01.059Z</dcterms:created>
  <dcterms:modified xsi:type="dcterms:W3CDTF">2026-08-25T08:07:01.060Z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