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C58B8" w14:textId="09281205" w:rsidR="0096721F" w:rsidRPr="00DF36C3" w:rsidRDefault="0096721F" w:rsidP="0096721F">
      <w:pPr>
        <w:spacing w:line="276" w:lineRule="auto"/>
        <w:rPr>
          <w:rFonts w:ascii="Calibri" w:hAnsi="Calibri"/>
          <w:b/>
          <w:sz w:val="28"/>
          <w:szCs w:val="28"/>
        </w:rPr>
      </w:pPr>
      <w:r w:rsidRPr="00DF36C3">
        <w:rPr>
          <w:rFonts w:ascii="Calibri" w:hAnsi="Calibri"/>
          <w:b/>
          <w:sz w:val="28"/>
          <w:szCs w:val="28"/>
        </w:rPr>
        <w:t>Access Control</w:t>
      </w:r>
      <w:r w:rsidR="00A64732" w:rsidRPr="00DF36C3">
        <w:rPr>
          <w:rFonts w:ascii="Calibri" w:hAnsi="Calibri"/>
          <w:b/>
          <w:sz w:val="28"/>
          <w:szCs w:val="28"/>
        </w:rPr>
        <w:t>: Database</w:t>
      </w:r>
      <w:r w:rsidRPr="00DF36C3">
        <w:rPr>
          <w:rFonts w:ascii="Calibri" w:hAnsi="Calibri"/>
          <w:b/>
          <w:sz w:val="28"/>
          <w:szCs w:val="28"/>
        </w:rPr>
        <w:t xml:space="preserve"> Development Mitigation SOP</w:t>
      </w:r>
    </w:p>
    <w:p w14:paraId="382DA5B2" w14:textId="249C4843" w:rsidR="0096721F" w:rsidRPr="00DF36C3" w:rsidRDefault="0096721F" w:rsidP="007F48C5">
      <w:pPr>
        <w:spacing w:line="276" w:lineRule="auto"/>
        <w:rPr>
          <w:rFonts w:ascii="Calibri" w:hAnsi="Calibri"/>
          <w:sz w:val="22"/>
          <w:szCs w:val="22"/>
        </w:rPr>
      </w:pPr>
      <w:r w:rsidRPr="4ED00D8A">
        <w:rPr>
          <w:rFonts w:ascii="Calibri" w:hAnsi="Calibri"/>
          <w:sz w:val="22"/>
          <w:szCs w:val="22"/>
        </w:rPr>
        <w:t xml:space="preserve">Access Control vulnerabilities occur when access to a resource is granted to an attacker. This can include access to the database, restricted packages or executing arbitrary code. Vulnerabilities can be exploited through </w:t>
      </w:r>
      <w:r w:rsidR="007F48C5" w:rsidRPr="4ED00D8A">
        <w:rPr>
          <w:rFonts w:ascii="Calibri" w:hAnsi="Calibri"/>
          <w:sz w:val="22"/>
          <w:szCs w:val="22"/>
        </w:rPr>
        <w:t xml:space="preserve">a database </w:t>
      </w:r>
      <w:r w:rsidRPr="4ED00D8A">
        <w:rPr>
          <w:rFonts w:ascii="Calibri" w:hAnsi="Calibri"/>
          <w:sz w:val="22"/>
          <w:szCs w:val="22"/>
        </w:rPr>
        <w:t>when the execution of a SQL statement containing a user-controlled primary key allows an attack</w:t>
      </w:r>
      <w:r w:rsidR="46862B78" w:rsidRPr="4ED00D8A">
        <w:rPr>
          <w:rFonts w:ascii="Calibri" w:hAnsi="Calibri"/>
          <w:sz w:val="22"/>
          <w:szCs w:val="22"/>
        </w:rPr>
        <w:t>er</w:t>
      </w:r>
      <w:r w:rsidRPr="4ED00D8A">
        <w:rPr>
          <w:rFonts w:ascii="Calibri" w:hAnsi="Calibri"/>
          <w:sz w:val="22"/>
          <w:szCs w:val="22"/>
        </w:rPr>
        <w:t xml:space="preserve"> to view unauthorized records. The system is vulnerable to this breach in security when data enters the system from an untrusted source or data is used to specify the value of a primary key in a SQL query.</w:t>
      </w:r>
    </w:p>
    <w:p w14:paraId="4A3A6E06" w14:textId="77777777" w:rsidR="0096721F" w:rsidRPr="00DF36C3" w:rsidRDefault="0096721F" w:rsidP="0096721F">
      <w:pPr>
        <w:spacing w:line="276" w:lineRule="auto"/>
        <w:rPr>
          <w:rFonts w:ascii="Calibri" w:hAnsi="Calibri"/>
          <w:sz w:val="22"/>
          <w:szCs w:val="22"/>
        </w:rPr>
      </w:pPr>
    </w:p>
    <w:p w14:paraId="3E9BC1EF" w14:textId="77777777" w:rsidR="0096721F" w:rsidRPr="00972EE7" w:rsidRDefault="0096721F" w:rsidP="0096721F">
      <w:pPr>
        <w:spacing w:line="276" w:lineRule="auto"/>
        <w:rPr>
          <w:rFonts w:ascii="Calibri" w:hAnsi="Calibri"/>
          <w:b/>
          <w:sz w:val="26"/>
          <w:szCs w:val="26"/>
        </w:rPr>
      </w:pPr>
      <w:r w:rsidRPr="00972EE7">
        <w:rPr>
          <w:rFonts w:ascii="Calibri" w:hAnsi="Calibri"/>
          <w:b/>
          <w:sz w:val="26"/>
          <w:szCs w:val="26"/>
        </w:rPr>
        <w:t>Defense Against Access Control</w:t>
      </w:r>
      <w:r w:rsidR="00A64732" w:rsidRPr="00972EE7">
        <w:rPr>
          <w:rFonts w:ascii="Calibri" w:hAnsi="Calibri"/>
          <w:b/>
          <w:sz w:val="26"/>
          <w:szCs w:val="26"/>
        </w:rPr>
        <w:t>: Database</w:t>
      </w:r>
    </w:p>
    <w:p w14:paraId="786BBAEC" w14:textId="76037E77" w:rsidR="0096721F" w:rsidRPr="00DF36C3" w:rsidRDefault="0096721F" w:rsidP="4ED00D8A">
      <w:pPr>
        <w:widowControl w:val="0"/>
        <w:autoSpaceDE w:val="0"/>
        <w:autoSpaceDN w:val="0"/>
        <w:adjustRightInd w:val="0"/>
        <w:rPr>
          <w:rFonts w:ascii="Calibri" w:hAnsi="Calibri" w:cs="Georgia"/>
          <w:sz w:val="22"/>
          <w:szCs w:val="22"/>
        </w:rPr>
      </w:pPr>
      <w:r w:rsidRPr="4ED00D8A">
        <w:rPr>
          <w:rFonts w:ascii="Calibri" w:hAnsi="Calibri"/>
          <w:sz w:val="22"/>
          <w:szCs w:val="22"/>
        </w:rPr>
        <w:t xml:space="preserve">Per IA Guidance, these defects can be considered invalid if authorization is present on the presentation later (end point), therefore providing access control to the database. </w:t>
      </w:r>
      <w:r w:rsidRPr="4ED00D8A">
        <w:rPr>
          <w:rFonts w:ascii="Calibri" w:hAnsi="Calibri" w:cs="Georgia"/>
          <w:sz w:val="22"/>
          <w:szCs w:val="22"/>
        </w:rPr>
        <w:t xml:space="preserve">To determine if the defect is valid, locate the enclosing function listed in the defect and find all usages. Follow the usage chain until you find an </w:t>
      </w:r>
      <w:r w:rsidRPr="4ED00D8A">
        <w:rPr>
          <w:rFonts w:ascii="Courier New" w:hAnsi="Courier New" w:cs="Courier New"/>
          <w:sz w:val="22"/>
          <w:szCs w:val="22"/>
        </w:rPr>
        <w:t>@Authorize</w:t>
      </w:r>
      <w:r w:rsidRPr="4ED00D8A">
        <w:rPr>
          <w:rFonts w:ascii="Calibri" w:hAnsi="Calibri" w:cs="Courier"/>
          <w:sz w:val="22"/>
          <w:szCs w:val="22"/>
        </w:rPr>
        <w:t>, </w:t>
      </w:r>
      <w:proofErr w:type="spellStart"/>
      <w:r w:rsidR="00F83F44">
        <w:rPr>
          <w:rFonts w:ascii="Courier New" w:hAnsi="Courier New" w:cs="Courier New"/>
          <w:sz w:val="22"/>
          <w:szCs w:val="22"/>
        </w:rPr>
        <w:t>ProjecP</w:t>
      </w:r>
      <w:r w:rsidRPr="4ED00D8A">
        <w:rPr>
          <w:rFonts w:ascii="Courier New" w:hAnsi="Courier New" w:cs="Courier New"/>
          <w:sz w:val="22"/>
          <w:szCs w:val="22"/>
        </w:rPr>
        <w:t>ep.isAuthorized</w:t>
      </w:r>
      <w:proofErr w:type="spellEnd"/>
      <w:r w:rsidRPr="4ED00D8A">
        <w:rPr>
          <w:rFonts w:ascii="Courier New" w:hAnsi="Courier New" w:cs="Courier New"/>
          <w:sz w:val="22"/>
          <w:szCs w:val="22"/>
        </w:rPr>
        <w:t>(...</w:t>
      </w:r>
      <w:r w:rsidR="00D04DE0" w:rsidRPr="4ED00D8A">
        <w:rPr>
          <w:rFonts w:ascii="Courier New" w:hAnsi="Courier New" w:cs="Courier New"/>
          <w:sz w:val="22"/>
          <w:szCs w:val="22"/>
        </w:rPr>
        <w:t>)</w:t>
      </w:r>
      <w:r w:rsidRPr="4ED00D8A">
        <w:rPr>
          <w:rFonts w:ascii="Calibri" w:hAnsi="Calibri" w:cs="Courier New"/>
          <w:sz w:val="22"/>
          <w:szCs w:val="22"/>
        </w:rPr>
        <w:t xml:space="preserve"> </w:t>
      </w:r>
      <w:r w:rsidRPr="4ED00D8A">
        <w:rPr>
          <w:rFonts w:ascii="Calibri" w:hAnsi="Calibri" w:cs="Courier"/>
          <w:sz w:val="22"/>
          <w:szCs w:val="22"/>
        </w:rPr>
        <w:t xml:space="preserve">or </w:t>
      </w:r>
      <w:proofErr w:type="spellStart"/>
      <w:r w:rsidR="00F83F44">
        <w:rPr>
          <w:rFonts w:ascii="Courier New" w:hAnsi="Courier New" w:cs="Courier New"/>
          <w:sz w:val="22"/>
          <w:szCs w:val="22"/>
        </w:rPr>
        <w:t>ProjecP</w:t>
      </w:r>
      <w:r w:rsidR="00F83F44" w:rsidRPr="4ED00D8A">
        <w:rPr>
          <w:rFonts w:ascii="Courier New" w:hAnsi="Courier New" w:cs="Courier New"/>
          <w:sz w:val="22"/>
          <w:szCs w:val="22"/>
        </w:rPr>
        <w:t>ep</w:t>
      </w:r>
      <w:r w:rsidRPr="4ED00D8A">
        <w:rPr>
          <w:rFonts w:ascii="Courier New" w:hAnsi="Courier New" w:cs="Courier New"/>
          <w:sz w:val="22"/>
          <w:szCs w:val="22"/>
        </w:rPr>
        <w:t>.enforce</w:t>
      </w:r>
      <w:proofErr w:type="spellEnd"/>
      <w:r w:rsidRPr="4ED00D8A">
        <w:rPr>
          <w:rFonts w:ascii="Courier New" w:hAnsi="Courier New" w:cs="Courier New"/>
          <w:sz w:val="22"/>
          <w:szCs w:val="22"/>
        </w:rPr>
        <w:t>(...)</w:t>
      </w:r>
      <w:r w:rsidRPr="4ED00D8A">
        <w:rPr>
          <w:rFonts w:ascii="Calibri" w:hAnsi="Calibri" w:cs="Georgia"/>
          <w:sz w:val="22"/>
          <w:szCs w:val="22"/>
        </w:rPr>
        <w:t>. If you reach a top-level controller method (is </w:t>
      </w:r>
      <w:r w:rsidRPr="4ED00D8A">
        <w:rPr>
          <w:rFonts w:ascii="Calibri" w:hAnsi="Calibri" w:cs="Courier"/>
          <w:sz w:val="22"/>
          <w:szCs w:val="22"/>
        </w:rPr>
        <w:t xml:space="preserve">public </w:t>
      </w:r>
      <w:r w:rsidRPr="4ED00D8A">
        <w:rPr>
          <w:rFonts w:ascii="Calibri" w:hAnsi="Calibri" w:cs="Georgia"/>
          <w:sz w:val="22"/>
          <w:szCs w:val="22"/>
        </w:rPr>
        <w:t>and has </w:t>
      </w:r>
      <w:r w:rsidRPr="4ED00D8A">
        <w:rPr>
          <w:rFonts w:ascii="Courier New" w:hAnsi="Courier New" w:cs="Courier New"/>
          <w:sz w:val="22"/>
          <w:szCs w:val="22"/>
        </w:rPr>
        <w:t>@RequestMapping</w:t>
      </w:r>
      <w:r w:rsidRPr="4ED00D8A">
        <w:rPr>
          <w:rFonts w:ascii="Calibri" w:hAnsi="Calibri" w:cs="Georgia"/>
          <w:sz w:val="22"/>
          <w:szCs w:val="22"/>
        </w:rPr>
        <w:t>) and none of the authorization checks are present on the controller method this is a valid defect. Resolve the defect by adding the appropriate authorization to the controller method.</w:t>
      </w:r>
    </w:p>
    <w:p w14:paraId="57EEEC6A" w14:textId="77777777" w:rsidR="0096721F" w:rsidRPr="00DF36C3" w:rsidRDefault="0096721F" w:rsidP="4ED00D8A">
      <w:pPr>
        <w:widowControl w:val="0"/>
        <w:autoSpaceDE w:val="0"/>
        <w:autoSpaceDN w:val="0"/>
        <w:adjustRightInd w:val="0"/>
        <w:rPr>
          <w:rFonts w:ascii="Calibri" w:hAnsi="Calibri" w:cs="Georgia"/>
          <w:sz w:val="22"/>
          <w:szCs w:val="22"/>
        </w:rPr>
      </w:pPr>
    </w:p>
    <w:p w14:paraId="03F081F1" w14:textId="77777777" w:rsidR="0096721F" w:rsidRPr="00DF36C3" w:rsidRDefault="0096721F" w:rsidP="4ED00D8A">
      <w:pPr>
        <w:widowControl w:val="0"/>
        <w:autoSpaceDE w:val="0"/>
        <w:autoSpaceDN w:val="0"/>
        <w:adjustRightInd w:val="0"/>
        <w:rPr>
          <w:rFonts w:ascii="Calibri" w:hAnsi="Calibri" w:cs="Georgia"/>
          <w:sz w:val="22"/>
          <w:szCs w:val="22"/>
        </w:rPr>
      </w:pPr>
      <w:r w:rsidRPr="4ED00D8A">
        <w:rPr>
          <w:rFonts w:ascii="Calibri" w:hAnsi="Calibri" w:cs="Georgia"/>
          <w:sz w:val="22"/>
          <w:szCs w:val="22"/>
        </w:rPr>
        <w:t>In some instances, the enclosing function never bubbles up to a controller. Some of these instances are simply that the method is never used. In other instances, the calling hierarchy endpoint is not part of the presentation layer (e.g. batch services). Currently specific guidance has not been provided to handle these cases. The general assumption is that these endpoints are used for machine-to-machine communications and therefore not vulnerable.</w:t>
      </w:r>
    </w:p>
    <w:p w14:paraId="3CB5AF73" w14:textId="77777777" w:rsidR="0096721F" w:rsidRPr="00DF36C3" w:rsidRDefault="0096721F" w:rsidP="4ED00D8A">
      <w:pPr>
        <w:spacing w:line="276" w:lineRule="auto"/>
        <w:rPr>
          <w:rFonts w:ascii="Calibri" w:hAnsi="Calibri"/>
          <w:sz w:val="22"/>
          <w:szCs w:val="22"/>
        </w:rPr>
      </w:pPr>
      <w:proofErr w:type="gramStart"/>
      <w:r w:rsidRPr="4ED00D8A">
        <w:rPr>
          <w:rFonts w:ascii="Calibri" w:hAnsi="Calibri" w:cs="Georgia"/>
          <w:sz w:val="22"/>
          <w:szCs w:val="22"/>
        </w:rPr>
        <w:t>In order for</w:t>
      </w:r>
      <w:proofErr w:type="gramEnd"/>
      <w:r w:rsidRPr="4ED00D8A">
        <w:rPr>
          <w:rFonts w:ascii="Calibri" w:hAnsi="Calibri" w:cs="Georgia"/>
          <w:sz w:val="22"/>
          <w:szCs w:val="22"/>
        </w:rPr>
        <w:t xml:space="preserve"> the defect to be considered invalid by IA, provide a call trace from the enclosing function to each endpoint and justify why each individual endpoint is secure.</w:t>
      </w:r>
      <w:r w:rsidRPr="4ED00D8A">
        <w:rPr>
          <w:rFonts w:ascii="Calibri" w:hAnsi="Calibri"/>
          <w:sz w:val="22"/>
          <w:szCs w:val="22"/>
        </w:rPr>
        <w:t xml:space="preserve"> </w:t>
      </w:r>
    </w:p>
    <w:p w14:paraId="2118B1C3" w14:textId="77777777" w:rsidR="0096721F" w:rsidRPr="00DF36C3" w:rsidRDefault="0096721F" w:rsidP="4ED00D8A">
      <w:pPr>
        <w:spacing w:line="276" w:lineRule="auto"/>
        <w:rPr>
          <w:rFonts w:ascii="Calibri" w:hAnsi="Calibri"/>
          <w:sz w:val="22"/>
          <w:szCs w:val="22"/>
        </w:rPr>
      </w:pPr>
    </w:p>
    <w:p w14:paraId="4B68374B" w14:textId="77777777" w:rsidR="0096721F" w:rsidRPr="00DF36C3" w:rsidRDefault="0096721F" w:rsidP="0096721F">
      <w:pPr>
        <w:spacing w:line="276" w:lineRule="auto"/>
        <w:rPr>
          <w:rFonts w:ascii="Calibri" w:hAnsi="Calibri"/>
          <w:sz w:val="22"/>
          <w:szCs w:val="22"/>
        </w:rPr>
      </w:pPr>
      <w:r w:rsidRPr="00DF36C3">
        <w:rPr>
          <w:rFonts w:ascii="Calibri" w:hAnsi="Calibri"/>
          <w:sz w:val="22"/>
          <w:szCs w:val="22"/>
        </w:rPr>
        <w:t>Additionally, all access should be denied by fault and require explicit grants to specific roles for access to each function. Entitlements and permissions should not be hardcoded.</w:t>
      </w:r>
    </w:p>
    <w:p w14:paraId="781E0D96" w14:textId="77777777" w:rsidR="0096721F" w:rsidRPr="00DF36C3" w:rsidRDefault="0096721F" w:rsidP="0096721F">
      <w:pPr>
        <w:spacing w:line="276" w:lineRule="auto"/>
        <w:rPr>
          <w:rFonts w:ascii="Calibri" w:hAnsi="Calibri"/>
          <w:sz w:val="22"/>
          <w:szCs w:val="22"/>
        </w:rPr>
      </w:pPr>
    </w:p>
    <w:p w14:paraId="406DC68D" w14:textId="78A926F3" w:rsidR="002F022B" w:rsidRPr="00972EE7" w:rsidRDefault="002F022B" w:rsidP="0096721F">
      <w:pPr>
        <w:spacing w:line="276" w:lineRule="auto"/>
        <w:rPr>
          <w:rFonts w:ascii="Calibri" w:hAnsi="Calibri"/>
          <w:b/>
          <w:sz w:val="26"/>
          <w:szCs w:val="26"/>
        </w:rPr>
      </w:pPr>
      <w:r w:rsidRPr="00972EE7">
        <w:rPr>
          <w:rFonts w:ascii="Calibri" w:hAnsi="Calibri"/>
          <w:b/>
          <w:sz w:val="26"/>
          <w:szCs w:val="26"/>
        </w:rPr>
        <w:t>Example</w:t>
      </w:r>
    </w:p>
    <w:p w14:paraId="50C9F3CF" w14:textId="77777777" w:rsidR="0096721F" w:rsidRPr="00585115" w:rsidRDefault="0096721F" w:rsidP="00E511BC">
      <w:pPr>
        <w:shd w:val="clear" w:color="auto" w:fill="E0E0E0"/>
        <w:spacing w:line="276" w:lineRule="auto"/>
        <w:rPr>
          <w:rFonts w:ascii="Courier New" w:hAnsi="Courier New" w:cs="Courier New"/>
          <w:sz w:val="22"/>
          <w:szCs w:val="22"/>
        </w:rPr>
      </w:pPr>
      <w:r w:rsidRPr="00585115">
        <w:rPr>
          <w:rFonts w:ascii="Courier New" w:hAnsi="Courier New" w:cs="Courier New"/>
          <w:sz w:val="22"/>
          <w:szCs w:val="22"/>
        </w:rPr>
        <w:t>@ResponseBody</w:t>
      </w:r>
    </w:p>
    <w:p w14:paraId="6E9B27E9" w14:textId="77777777" w:rsidR="0096721F" w:rsidRPr="00585115" w:rsidRDefault="0096721F" w:rsidP="00E511BC">
      <w:pPr>
        <w:shd w:val="clear" w:color="auto" w:fill="E0E0E0"/>
        <w:spacing w:line="276" w:lineRule="auto"/>
        <w:rPr>
          <w:rFonts w:ascii="Courier New" w:hAnsi="Courier New" w:cs="Courier New"/>
          <w:sz w:val="22"/>
          <w:szCs w:val="22"/>
        </w:rPr>
      </w:pPr>
      <w:r w:rsidRPr="00585115">
        <w:rPr>
          <w:rFonts w:ascii="Courier New" w:hAnsi="Courier New" w:cs="Courier New"/>
          <w:sz w:val="22"/>
          <w:szCs w:val="22"/>
        </w:rPr>
        <w:t>@</w:t>
      </w:r>
      <w:proofErr w:type="gramStart"/>
      <w:r w:rsidRPr="00585115">
        <w:rPr>
          <w:rFonts w:ascii="Courier New" w:hAnsi="Courier New" w:cs="Courier New"/>
          <w:sz w:val="22"/>
          <w:szCs w:val="22"/>
        </w:rPr>
        <w:t>RequestMapping(</w:t>
      </w:r>
      <w:proofErr w:type="gramEnd"/>
      <w:r w:rsidRPr="00585115">
        <w:rPr>
          <w:rFonts w:ascii="Courier New" w:hAnsi="Courier New" w:cs="Courier New"/>
          <w:sz w:val="22"/>
          <w:szCs w:val="22"/>
        </w:rPr>
        <w:t>value = “/</w:t>
      </w:r>
      <w:proofErr w:type="spellStart"/>
      <w:r w:rsidRPr="00585115">
        <w:rPr>
          <w:rFonts w:ascii="Courier New" w:hAnsi="Courier New" w:cs="Courier New"/>
          <w:sz w:val="22"/>
          <w:szCs w:val="22"/>
        </w:rPr>
        <w:t>saveRoCapabilities</w:t>
      </w:r>
      <w:proofErr w:type="spellEnd"/>
      <w:r w:rsidRPr="00585115">
        <w:rPr>
          <w:rFonts w:ascii="Courier New" w:hAnsi="Courier New" w:cs="Courier New"/>
          <w:sz w:val="22"/>
          <w:szCs w:val="22"/>
        </w:rPr>
        <w:t xml:space="preserve">”, method = </w:t>
      </w:r>
      <w:proofErr w:type="spellStart"/>
      <w:r w:rsidRPr="00585115">
        <w:rPr>
          <w:rFonts w:ascii="Courier New" w:hAnsi="Courier New" w:cs="Courier New"/>
          <w:sz w:val="22"/>
          <w:szCs w:val="22"/>
        </w:rPr>
        <w:t>RequestMethod.POST</w:t>
      </w:r>
      <w:proofErr w:type="spellEnd"/>
      <w:r w:rsidRPr="00585115">
        <w:rPr>
          <w:rFonts w:ascii="Courier New" w:hAnsi="Courier New" w:cs="Courier New"/>
          <w:sz w:val="22"/>
          <w:szCs w:val="22"/>
        </w:rPr>
        <w:t>)</w:t>
      </w:r>
    </w:p>
    <w:p w14:paraId="5156FC12" w14:textId="77777777" w:rsidR="0096721F" w:rsidRPr="00585115" w:rsidRDefault="0096721F" w:rsidP="00E511BC">
      <w:pPr>
        <w:shd w:val="clear" w:color="auto" w:fill="E0E0E0"/>
        <w:spacing w:line="276" w:lineRule="auto"/>
        <w:rPr>
          <w:rFonts w:ascii="Courier New" w:hAnsi="Courier New" w:cs="Courier New"/>
          <w:sz w:val="22"/>
          <w:szCs w:val="22"/>
        </w:rPr>
      </w:pPr>
      <w:r w:rsidRPr="00585115">
        <w:rPr>
          <w:rFonts w:ascii="Courier New" w:hAnsi="Courier New" w:cs="Courier New"/>
          <w:sz w:val="22"/>
          <w:szCs w:val="22"/>
        </w:rPr>
        <w:t xml:space="preserve">public </w:t>
      </w:r>
      <w:proofErr w:type="spellStart"/>
      <w:r w:rsidRPr="00585115">
        <w:rPr>
          <w:rFonts w:ascii="Courier New" w:hAnsi="Courier New" w:cs="Courier New"/>
          <w:sz w:val="22"/>
          <w:szCs w:val="22"/>
        </w:rPr>
        <w:t>RegionalOfficeCapacity</w:t>
      </w:r>
      <w:proofErr w:type="spellEnd"/>
      <w:r w:rsidRPr="00585115">
        <w:rPr>
          <w:rFonts w:ascii="Courier New" w:hAnsi="Courier New" w:cs="Courier New"/>
          <w:sz w:val="22"/>
          <w:szCs w:val="22"/>
        </w:rPr>
        <w:t xml:space="preserve"> </w:t>
      </w:r>
      <w:proofErr w:type="spellStart"/>
      <w:r w:rsidRPr="00585115">
        <w:rPr>
          <w:rFonts w:ascii="Courier New" w:hAnsi="Courier New" w:cs="Courier New"/>
          <w:sz w:val="22"/>
          <w:szCs w:val="22"/>
        </w:rPr>
        <w:t>saveRoCapabilities</w:t>
      </w:r>
      <w:proofErr w:type="spellEnd"/>
      <w:r w:rsidRPr="00585115">
        <w:rPr>
          <w:rFonts w:ascii="Courier New" w:hAnsi="Courier New" w:cs="Courier New"/>
          <w:sz w:val="22"/>
          <w:szCs w:val="22"/>
        </w:rPr>
        <w:t xml:space="preserve"> (</w:t>
      </w:r>
      <w:proofErr w:type="gramStart"/>
      <w:r w:rsidRPr="00585115">
        <w:rPr>
          <w:rFonts w:ascii="Courier New" w:hAnsi="Courier New" w:cs="Courier New"/>
          <w:sz w:val="22"/>
          <w:szCs w:val="22"/>
        </w:rPr>
        <w:t>…){</w:t>
      </w:r>
      <w:proofErr w:type="gramEnd"/>
    </w:p>
    <w:p w14:paraId="11112412" w14:textId="77777777" w:rsidR="0096721F" w:rsidRPr="00585115" w:rsidRDefault="0096721F" w:rsidP="00E511BC">
      <w:pPr>
        <w:shd w:val="clear" w:color="auto" w:fill="E0E0E0"/>
        <w:spacing w:line="276" w:lineRule="auto"/>
        <w:ind w:firstLine="720"/>
        <w:rPr>
          <w:rFonts w:ascii="Courier New" w:hAnsi="Courier New" w:cs="Courier New"/>
          <w:sz w:val="22"/>
          <w:szCs w:val="22"/>
        </w:rPr>
      </w:pPr>
      <w:r w:rsidRPr="00585115">
        <w:rPr>
          <w:rFonts w:ascii="Courier New" w:hAnsi="Courier New" w:cs="Courier New"/>
          <w:sz w:val="22"/>
          <w:szCs w:val="22"/>
        </w:rPr>
        <w:t>…</w:t>
      </w:r>
    </w:p>
    <w:p w14:paraId="59A17EBC" w14:textId="77777777" w:rsidR="0096721F" w:rsidRPr="00585115" w:rsidRDefault="0096721F" w:rsidP="00E511BC">
      <w:pPr>
        <w:shd w:val="clear" w:color="auto" w:fill="E0E0E0"/>
        <w:spacing w:line="276" w:lineRule="auto"/>
        <w:rPr>
          <w:rFonts w:ascii="Courier New" w:hAnsi="Courier New" w:cs="Courier New"/>
          <w:sz w:val="22"/>
          <w:szCs w:val="22"/>
        </w:rPr>
      </w:pPr>
      <w:r w:rsidRPr="00585115">
        <w:rPr>
          <w:rFonts w:ascii="Courier New" w:hAnsi="Courier New" w:cs="Courier New"/>
          <w:sz w:val="22"/>
          <w:szCs w:val="22"/>
        </w:rPr>
        <w:t>}</w:t>
      </w:r>
    </w:p>
    <w:p w14:paraId="2387D4FB" w14:textId="77777777" w:rsidR="0096721F" w:rsidRPr="00585115" w:rsidRDefault="0096721F" w:rsidP="00E511BC">
      <w:pPr>
        <w:shd w:val="clear" w:color="auto" w:fill="E0E0E0"/>
        <w:spacing w:line="276" w:lineRule="auto"/>
        <w:rPr>
          <w:rFonts w:ascii="Courier New" w:hAnsi="Courier New" w:cs="Courier New"/>
          <w:sz w:val="22"/>
          <w:szCs w:val="22"/>
        </w:rPr>
      </w:pPr>
    </w:p>
    <w:p w14:paraId="2D025D21" w14:textId="77777777" w:rsidR="0096721F" w:rsidRPr="00585115" w:rsidRDefault="0096721F" w:rsidP="00E511BC">
      <w:pPr>
        <w:shd w:val="clear" w:color="auto" w:fill="E0E0E0"/>
        <w:spacing w:line="276" w:lineRule="auto"/>
        <w:rPr>
          <w:rFonts w:ascii="Courier New" w:hAnsi="Courier New" w:cs="Courier New"/>
          <w:sz w:val="22"/>
          <w:szCs w:val="22"/>
        </w:rPr>
      </w:pPr>
      <w:r w:rsidRPr="00585115">
        <w:rPr>
          <w:rFonts w:ascii="Courier New" w:hAnsi="Courier New" w:cs="Courier New"/>
          <w:sz w:val="22"/>
          <w:szCs w:val="22"/>
        </w:rPr>
        <w:t>@Override</w:t>
      </w:r>
    </w:p>
    <w:p w14:paraId="4EBB7A74" w14:textId="77777777" w:rsidR="0096721F" w:rsidRPr="00585115" w:rsidRDefault="0096721F" w:rsidP="00E511BC">
      <w:pPr>
        <w:shd w:val="clear" w:color="auto" w:fill="E0E0E0"/>
        <w:spacing w:line="276" w:lineRule="auto"/>
        <w:rPr>
          <w:rFonts w:ascii="Courier New" w:hAnsi="Courier New" w:cs="Courier New"/>
          <w:sz w:val="22"/>
          <w:szCs w:val="22"/>
        </w:rPr>
      </w:pPr>
      <w:r w:rsidRPr="00585115">
        <w:rPr>
          <w:rFonts w:ascii="Courier New" w:hAnsi="Courier New" w:cs="Courier New"/>
          <w:sz w:val="22"/>
          <w:szCs w:val="22"/>
        </w:rPr>
        <w:t xml:space="preserve">public </w:t>
      </w:r>
      <w:proofErr w:type="spellStart"/>
      <w:r w:rsidRPr="00585115">
        <w:rPr>
          <w:rFonts w:ascii="Courier New" w:hAnsi="Courier New" w:cs="Courier New"/>
          <w:sz w:val="22"/>
          <w:szCs w:val="22"/>
        </w:rPr>
        <w:t>BucketEntity</w:t>
      </w:r>
      <w:proofErr w:type="spellEnd"/>
      <w:r w:rsidRPr="00585115">
        <w:rPr>
          <w:rFonts w:ascii="Courier New" w:hAnsi="Courier New" w:cs="Courier New"/>
          <w:sz w:val="22"/>
          <w:szCs w:val="22"/>
        </w:rPr>
        <w:t xml:space="preserve"> </w:t>
      </w:r>
      <w:proofErr w:type="spellStart"/>
      <w:proofErr w:type="gramStart"/>
      <w:r w:rsidRPr="00585115">
        <w:rPr>
          <w:rFonts w:ascii="Courier New" w:hAnsi="Courier New" w:cs="Courier New"/>
          <w:sz w:val="22"/>
          <w:szCs w:val="22"/>
        </w:rPr>
        <w:t>findById</w:t>
      </w:r>
      <w:proofErr w:type="spellEnd"/>
      <w:r w:rsidRPr="00585115">
        <w:rPr>
          <w:rFonts w:ascii="Courier New" w:hAnsi="Courier New" w:cs="Courier New"/>
          <w:sz w:val="22"/>
          <w:szCs w:val="22"/>
        </w:rPr>
        <w:t>(</w:t>
      </w:r>
      <w:proofErr w:type="gramEnd"/>
      <w:r w:rsidRPr="00585115">
        <w:rPr>
          <w:rFonts w:ascii="Courier New" w:hAnsi="Courier New" w:cs="Courier New"/>
          <w:sz w:val="22"/>
          <w:szCs w:val="22"/>
        </w:rPr>
        <w:t>final long id){</w:t>
      </w:r>
    </w:p>
    <w:p w14:paraId="09558837" w14:textId="77777777" w:rsidR="0096721F" w:rsidRPr="00585115" w:rsidRDefault="0096721F" w:rsidP="00E511BC">
      <w:pPr>
        <w:shd w:val="clear" w:color="auto" w:fill="E0E0E0"/>
        <w:spacing w:line="276" w:lineRule="auto"/>
        <w:rPr>
          <w:rFonts w:ascii="Courier New" w:hAnsi="Courier New" w:cs="Courier New"/>
          <w:sz w:val="22"/>
          <w:szCs w:val="22"/>
        </w:rPr>
      </w:pPr>
      <w:r w:rsidRPr="00585115">
        <w:rPr>
          <w:rFonts w:ascii="Courier New" w:hAnsi="Courier New" w:cs="Courier New"/>
          <w:sz w:val="22"/>
          <w:szCs w:val="22"/>
        </w:rPr>
        <w:tab/>
        <w:t xml:space="preserve">Query </w:t>
      </w:r>
      <w:proofErr w:type="spellStart"/>
      <w:r w:rsidRPr="00585115">
        <w:rPr>
          <w:rFonts w:ascii="Courier New" w:hAnsi="Courier New" w:cs="Courier New"/>
          <w:sz w:val="22"/>
          <w:szCs w:val="22"/>
        </w:rPr>
        <w:t>namedQuery</w:t>
      </w:r>
      <w:proofErr w:type="spellEnd"/>
      <w:r w:rsidRPr="00585115">
        <w:rPr>
          <w:rFonts w:ascii="Courier New" w:hAnsi="Courier New" w:cs="Courier New"/>
          <w:sz w:val="22"/>
          <w:szCs w:val="22"/>
        </w:rPr>
        <w:t xml:space="preserve"> = </w:t>
      </w:r>
      <w:proofErr w:type="spellStart"/>
      <w:proofErr w:type="gramStart"/>
      <w:r w:rsidRPr="00585115">
        <w:rPr>
          <w:rFonts w:ascii="Courier New" w:hAnsi="Courier New" w:cs="Courier New"/>
          <w:sz w:val="22"/>
          <w:szCs w:val="22"/>
        </w:rPr>
        <w:t>em.createNamedQuery</w:t>
      </w:r>
      <w:proofErr w:type="spellEnd"/>
      <w:proofErr w:type="gramEnd"/>
      <w:r w:rsidRPr="00585115">
        <w:rPr>
          <w:rFonts w:ascii="Courier New" w:hAnsi="Courier New" w:cs="Courier New"/>
          <w:sz w:val="22"/>
          <w:szCs w:val="22"/>
        </w:rPr>
        <w:t>(FIND_BY_BUCKET_ID);</w:t>
      </w:r>
    </w:p>
    <w:p w14:paraId="315751D1" w14:textId="77777777" w:rsidR="0096721F" w:rsidRPr="00585115" w:rsidRDefault="0096721F" w:rsidP="00E511BC">
      <w:pPr>
        <w:shd w:val="clear" w:color="auto" w:fill="E0E0E0"/>
        <w:spacing w:line="276" w:lineRule="auto"/>
        <w:rPr>
          <w:rFonts w:ascii="Courier New" w:hAnsi="Courier New" w:cs="Courier New"/>
          <w:sz w:val="22"/>
          <w:szCs w:val="22"/>
        </w:rPr>
      </w:pPr>
      <w:r w:rsidRPr="00585115">
        <w:rPr>
          <w:rFonts w:ascii="Courier New" w:hAnsi="Courier New" w:cs="Courier New"/>
          <w:sz w:val="22"/>
          <w:szCs w:val="22"/>
        </w:rPr>
        <w:tab/>
      </w:r>
      <w:proofErr w:type="spellStart"/>
      <w:r w:rsidRPr="00585115">
        <w:rPr>
          <w:rFonts w:ascii="Courier New" w:hAnsi="Courier New" w:cs="Courier New"/>
          <w:sz w:val="22"/>
          <w:szCs w:val="22"/>
        </w:rPr>
        <w:t>namedQuery.setParameter</w:t>
      </w:r>
      <w:proofErr w:type="spellEnd"/>
      <w:r w:rsidRPr="00585115">
        <w:rPr>
          <w:rFonts w:ascii="Courier New" w:hAnsi="Courier New" w:cs="Courier New"/>
          <w:sz w:val="22"/>
          <w:szCs w:val="22"/>
        </w:rPr>
        <w:t>(“id”, id</w:t>
      </w:r>
      <w:proofErr w:type="gramStart"/>
      <w:r w:rsidRPr="00585115">
        <w:rPr>
          <w:rFonts w:ascii="Courier New" w:hAnsi="Courier New" w:cs="Courier New"/>
          <w:sz w:val="22"/>
          <w:szCs w:val="22"/>
        </w:rPr>
        <w:t>);</w:t>
      </w:r>
      <w:proofErr w:type="gramEnd"/>
    </w:p>
    <w:p w14:paraId="7DEA7C5D" w14:textId="77777777" w:rsidR="0096721F" w:rsidRPr="00585115" w:rsidRDefault="0096721F" w:rsidP="00E511BC">
      <w:pPr>
        <w:shd w:val="clear" w:color="auto" w:fill="E0E0E0"/>
        <w:spacing w:line="276" w:lineRule="auto"/>
        <w:rPr>
          <w:rFonts w:ascii="Courier New" w:hAnsi="Courier New" w:cs="Courier New"/>
          <w:sz w:val="22"/>
          <w:szCs w:val="22"/>
        </w:rPr>
      </w:pPr>
      <w:r w:rsidRPr="00585115">
        <w:rPr>
          <w:rFonts w:ascii="Courier New" w:hAnsi="Courier New" w:cs="Courier New"/>
          <w:sz w:val="22"/>
          <w:szCs w:val="22"/>
        </w:rPr>
        <w:t>}</w:t>
      </w:r>
    </w:p>
    <w:p w14:paraId="27B1F9E4" w14:textId="77777777" w:rsidR="0096721F" w:rsidRPr="00DF36C3" w:rsidRDefault="0096721F" w:rsidP="0096721F">
      <w:pPr>
        <w:spacing w:line="276" w:lineRule="auto"/>
        <w:rPr>
          <w:rFonts w:ascii="Calibri" w:hAnsi="Calibri"/>
          <w:sz w:val="22"/>
          <w:szCs w:val="22"/>
        </w:rPr>
      </w:pPr>
    </w:p>
    <w:p w14:paraId="71CC6E46" w14:textId="1E8C3180" w:rsidR="0096721F" w:rsidRPr="00DF36C3" w:rsidRDefault="00D217C2" w:rsidP="0096721F">
      <w:pPr>
        <w:spacing w:line="276" w:lineRule="auto"/>
        <w:rPr>
          <w:rFonts w:ascii="Calibri" w:hAnsi="Calibri"/>
          <w:b/>
          <w:sz w:val="26"/>
          <w:szCs w:val="26"/>
        </w:rPr>
      </w:pPr>
      <w:r>
        <w:rPr>
          <w:rFonts w:ascii="Calibri" w:hAnsi="Calibri"/>
          <w:b/>
          <w:sz w:val="26"/>
          <w:szCs w:val="26"/>
        </w:rPr>
        <w:lastRenderedPageBreak/>
        <w:t>Explanation</w:t>
      </w:r>
    </w:p>
    <w:p w14:paraId="24E054DD" w14:textId="77255100" w:rsidR="0096721F" w:rsidRPr="00614C41" w:rsidRDefault="0096721F" w:rsidP="00614C41">
      <w:pPr>
        <w:spacing w:line="276" w:lineRule="auto"/>
        <w:rPr>
          <w:rFonts w:ascii="Calibri" w:hAnsi="Calibri"/>
          <w:sz w:val="22"/>
          <w:szCs w:val="22"/>
        </w:rPr>
      </w:pPr>
      <w:r w:rsidRPr="00614C41">
        <w:rPr>
          <w:rFonts w:ascii="Calibri" w:hAnsi="Calibri"/>
          <w:sz w:val="22"/>
          <w:szCs w:val="22"/>
        </w:rPr>
        <w:t xml:space="preserve">When </w:t>
      </w:r>
      <w:proofErr w:type="spellStart"/>
      <w:r w:rsidRPr="00DB6E28">
        <w:rPr>
          <w:rFonts w:ascii="Courier New" w:hAnsi="Courier New" w:cs="Courier New"/>
          <w:sz w:val="22"/>
          <w:szCs w:val="22"/>
        </w:rPr>
        <w:t>findById</w:t>
      </w:r>
      <w:proofErr w:type="spellEnd"/>
      <w:r w:rsidRPr="00614C41">
        <w:rPr>
          <w:rFonts w:ascii="Calibri" w:hAnsi="Calibri"/>
          <w:sz w:val="22"/>
          <w:szCs w:val="22"/>
        </w:rPr>
        <w:t xml:space="preserve"> is called, the long, id, comes in from the </w:t>
      </w:r>
      <w:proofErr w:type="spellStart"/>
      <w:r w:rsidR="00DB6E28" w:rsidRPr="00DB6E28">
        <w:rPr>
          <w:rFonts w:ascii="Courier New" w:hAnsi="Courier New" w:cs="Courier New"/>
          <w:sz w:val="22"/>
          <w:szCs w:val="22"/>
        </w:rPr>
        <w:t>saveRoCapabilities</w:t>
      </w:r>
      <w:proofErr w:type="spellEnd"/>
      <w:r w:rsidR="00DB6E28" w:rsidRPr="00614C41">
        <w:rPr>
          <w:rFonts w:ascii="Calibri" w:hAnsi="Calibri"/>
          <w:sz w:val="22"/>
          <w:szCs w:val="22"/>
        </w:rPr>
        <w:t xml:space="preserve"> </w:t>
      </w:r>
      <w:r w:rsidRPr="00614C41">
        <w:rPr>
          <w:rFonts w:ascii="Calibri" w:hAnsi="Calibri"/>
          <w:sz w:val="22"/>
          <w:szCs w:val="22"/>
        </w:rPr>
        <w:t>method above</w:t>
      </w:r>
      <w:r w:rsidR="00614C41">
        <w:rPr>
          <w:rFonts w:ascii="Calibri" w:hAnsi="Calibri"/>
          <w:sz w:val="22"/>
          <w:szCs w:val="22"/>
        </w:rPr>
        <w:t xml:space="preserve">.  </w:t>
      </w:r>
      <w:r w:rsidRPr="00614C41">
        <w:rPr>
          <w:rFonts w:ascii="Calibri" w:hAnsi="Calibri"/>
          <w:sz w:val="22"/>
          <w:szCs w:val="22"/>
        </w:rPr>
        <w:t xml:space="preserve">The </w:t>
      </w:r>
      <w:proofErr w:type="spellStart"/>
      <w:r w:rsidR="00DB6E28" w:rsidRPr="00DB6E28">
        <w:rPr>
          <w:rFonts w:ascii="Courier New" w:hAnsi="Courier New" w:cs="Courier New"/>
          <w:sz w:val="22"/>
          <w:szCs w:val="22"/>
        </w:rPr>
        <w:t>saveRoCapabilities</w:t>
      </w:r>
      <w:proofErr w:type="spellEnd"/>
      <w:r w:rsidR="00DB6E28" w:rsidRPr="00614C41">
        <w:rPr>
          <w:rFonts w:ascii="Calibri" w:hAnsi="Calibri"/>
          <w:sz w:val="22"/>
          <w:szCs w:val="22"/>
        </w:rPr>
        <w:t xml:space="preserve"> </w:t>
      </w:r>
      <w:r w:rsidRPr="00614C41">
        <w:rPr>
          <w:rFonts w:ascii="Calibri" w:hAnsi="Calibri"/>
          <w:sz w:val="22"/>
          <w:szCs w:val="22"/>
        </w:rPr>
        <w:t>method lacks the @Authorize tag above it</w:t>
      </w:r>
      <w:r w:rsidR="00614C41">
        <w:rPr>
          <w:rFonts w:ascii="Calibri" w:hAnsi="Calibri"/>
          <w:sz w:val="22"/>
          <w:szCs w:val="22"/>
        </w:rPr>
        <w:t xml:space="preserve">. </w:t>
      </w:r>
      <w:r w:rsidRPr="00614C41">
        <w:rPr>
          <w:rFonts w:ascii="Calibri" w:hAnsi="Calibri"/>
          <w:sz w:val="22"/>
          <w:szCs w:val="22"/>
        </w:rPr>
        <w:t xml:space="preserve">To modify the </w:t>
      </w:r>
      <w:proofErr w:type="spellStart"/>
      <w:r w:rsidRPr="00DB6E28">
        <w:rPr>
          <w:rFonts w:ascii="Courier New" w:hAnsi="Courier New" w:cs="Courier New"/>
          <w:sz w:val="22"/>
          <w:szCs w:val="22"/>
        </w:rPr>
        <w:t>saveRoCapabilities</w:t>
      </w:r>
      <w:proofErr w:type="spellEnd"/>
      <w:r w:rsidRPr="00614C41">
        <w:rPr>
          <w:rFonts w:ascii="Calibri" w:hAnsi="Calibri"/>
          <w:sz w:val="22"/>
          <w:szCs w:val="22"/>
        </w:rPr>
        <w:t xml:space="preserve"> method for proper access </w:t>
      </w:r>
      <w:r w:rsidR="00A80803">
        <w:rPr>
          <w:rFonts w:ascii="Calibri" w:hAnsi="Calibri"/>
          <w:sz w:val="22"/>
          <w:szCs w:val="22"/>
        </w:rPr>
        <w:t>control, it is recommended to add the @Authorize tag.</w:t>
      </w:r>
    </w:p>
    <w:p w14:paraId="4D2463FF" w14:textId="77777777" w:rsidR="0096721F" w:rsidRDefault="0096721F" w:rsidP="0096721F">
      <w:pPr>
        <w:spacing w:line="276" w:lineRule="auto"/>
        <w:rPr>
          <w:rFonts w:ascii="Calibri" w:hAnsi="Calibri"/>
          <w:sz w:val="22"/>
          <w:szCs w:val="22"/>
        </w:rPr>
      </w:pPr>
    </w:p>
    <w:p w14:paraId="55A0A013" w14:textId="0353C60F" w:rsidR="00362A72" w:rsidRPr="00DF36C3" w:rsidRDefault="00362A72" w:rsidP="0096721F">
      <w:pPr>
        <w:spacing w:line="276" w:lineRule="auto"/>
        <w:rPr>
          <w:rFonts w:ascii="Calibri" w:hAnsi="Calibri"/>
          <w:sz w:val="22"/>
          <w:szCs w:val="22"/>
        </w:rPr>
      </w:pPr>
      <w:r>
        <w:rPr>
          <w:rFonts w:ascii="Calibri" w:hAnsi="Calibri"/>
          <w:b/>
          <w:sz w:val="26"/>
          <w:szCs w:val="26"/>
        </w:rPr>
        <w:t>Recommendation</w:t>
      </w:r>
    </w:p>
    <w:p w14:paraId="081D12F2" w14:textId="58BD0FD0" w:rsidR="0096721F" w:rsidRPr="00585115" w:rsidRDefault="0096721F" w:rsidP="00A47498">
      <w:pPr>
        <w:shd w:val="clear" w:color="auto" w:fill="E0E0E0"/>
        <w:spacing w:line="276" w:lineRule="auto"/>
        <w:rPr>
          <w:rFonts w:ascii="Courier New" w:hAnsi="Courier New" w:cs="Courier New"/>
          <w:sz w:val="22"/>
          <w:szCs w:val="22"/>
        </w:rPr>
      </w:pPr>
      <w:r w:rsidRPr="00585115">
        <w:rPr>
          <w:rFonts w:ascii="Courier New" w:hAnsi="Courier New" w:cs="Courier New"/>
          <w:sz w:val="22"/>
          <w:szCs w:val="22"/>
        </w:rPr>
        <w:t>@</w:t>
      </w:r>
      <w:proofErr w:type="gramStart"/>
      <w:r w:rsidRPr="00585115">
        <w:rPr>
          <w:rFonts w:ascii="Courier New" w:hAnsi="Courier New" w:cs="Courier New"/>
          <w:sz w:val="22"/>
          <w:szCs w:val="22"/>
        </w:rPr>
        <w:t>Authorize(</w:t>
      </w:r>
      <w:proofErr w:type="gramEnd"/>
      <w:r w:rsidRPr="00585115">
        <w:rPr>
          <w:rFonts w:ascii="Courier New" w:hAnsi="Courier New" w:cs="Courier New"/>
          <w:sz w:val="22"/>
          <w:szCs w:val="22"/>
        </w:rPr>
        <w:t xml:space="preserve">policy = </w:t>
      </w:r>
      <w:proofErr w:type="spellStart"/>
      <w:r w:rsidR="00F83F44">
        <w:rPr>
          <w:rFonts w:ascii="Courier New" w:hAnsi="Courier New" w:cs="Courier New"/>
          <w:sz w:val="22"/>
          <w:szCs w:val="22"/>
        </w:rPr>
        <w:t>Proj</w:t>
      </w:r>
      <w:r w:rsidRPr="00585115">
        <w:rPr>
          <w:rFonts w:ascii="Courier New" w:hAnsi="Courier New" w:cs="Courier New"/>
          <w:sz w:val="22"/>
          <w:szCs w:val="22"/>
        </w:rPr>
        <w:t>Policy.EDIT_CAPACITY</w:t>
      </w:r>
      <w:proofErr w:type="spellEnd"/>
      <w:r w:rsidRPr="00585115">
        <w:rPr>
          <w:rFonts w:ascii="Courier New" w:hAnsi="Courier New" w:cs="Courier New"/>
          <w:sz w:val="22"/>
          <w:szCs w:val="22"/>
        </w:rPr>
        <w:t>)</w:t>
      </w:r>
    </w:p>
    <w:p w14:paraId="5E6C7134" w14:textId="77777777" w:rsidR="0096721F" w:rsidRPr="00585115" w:rsidRDefault="0096721F" w:rsidP="00A47498">
      <w:pPr>
        <w:shd w:val="clear" w:color="auto" w:fill="E0E0E0"/>
        <w:spacing w:line="276" w:lineRule="auto"/>
        <w:rPr>
          <w:rFonts w:ascii="Courier New" w:hAnsi="Courier New" w:cs="Courier New"/>
          <w:sz w:val="22"/>
          <w:szCs w:val="22"/>
        </w:rPr>
      </w:pPr>
      <w:r w:rsidRPr="00585115">
        <w:rPr>
          <w:rFonts w:ascii="Courier New" w:hAnsi="Courier New" w:cs="Courier New"/>
          <w:sz w:val="22"/>
          <w:szCs w:val="22"/>
        </w:rPr>
        <w:t>@ResponseBody</w:t>
      </w:r>
    </w:p>
    <w:p w14:paraId="013FC6F0" w14:textId="77777777" w:rsidR="0096721F" w:rsidRPr="00585115" w:rsidRDefault="0096721F" w:rsidP="00A47498">
      <w:pPr>
        <w:shd w:val="clear" w:color="auto" w:fill="E0E0E0"/>
        <w:spacing w:line="276" w:lineRule="auto"/>
        <w:rPr>
          <w:rFonts w:ascii="Courier New" w:hAnsi="Courier New" w:cs="Courier New"/>
          <w:sz w:val="22"/>
          <w:szCs w:val="22"/>
        </w:rPr>
      </w:pPr>
      <w:r w:rsidRPr="00585115">
        <w:rPr>
          <w:rFonts w:ascii="Courier New" w:hAnsi="Courier New" w:cs="Courier New"/>
          <w:sz w:val="22"/>
          <w:szCs w:val="22"/>
        </w:rPr>
        <w:t>@</w:t>
      </w:r>
      <w:proofErr w:type="gramStart"/>
      <w:r w:rsidRPr="00585115">
        <w:rPr>
          <w:rFonts w:ascii="Courier New" w:hAnsi="Courier New" w:cs="Courier New"/>
          <w:sz w:val="22"/>
          <w:szCs w:val="22"/>
        </w:rPr>
        <w:t>RequestMapping(</w:t>
      </w:r>
      <w:proofErr w:type="gramEnd"/>
      <w:r w:rsidRPr="00585115">
        <w:rPr>
          <w:rFonts w:ascii="Courier New" w:hAnsi="Courier New" w:cs="Courier New"/>
          <w:sz w:val="22"/>
          <w:szCs w:val="22"/>
        </w:rPr>
        <w:t>value = “/</w:t>
      </w:r>
      <w:proofErr w:type="spellStart"/>
      <w:r w:rsidRPr="00585115">
        <w:rPr>
          <w:rFonts w:ascii="Courier New" w:hAnsi="Courier New" w:cs="Courier New"/>
          <w:sz w:val="22"/>
          <w:szCs w:val="22"/>
        </w:rPr>
        <w:t>saveRoCapabilities</w:t>
      </w:r>
      <w:proofErr w:type="spellEnd"/>
      <w:r w:rsidRPr="00585115">
        <w:rPr>
          <w:rFonts w:ascii="Courier New" w:hAnsi="Courier New" w:cs="Courier New"/>
          <w:sz w:val="22"/>
          <w:szCs w:val="22"/>
        </w:rPr>
        <w:t xml:space="preserve">”, method = </w:t>
      </w:r>
      <w:proofErr w:type="spellStart"/>
      <w:r w:rsidRPr="00585115">
        <w:rPr>
          <w:rFonts w:ascii="Courier New" w:hAnsi="Courier New" w:cs="Courier New"/>
          <w:sz w:val="22"/>
          <w:szCs w:val="22"/>
        </w:rPr>
        <w:t>RequestMethod.POST</w:t>
      </w:r>
      <w:proofErr w:type="spellEnd"/>
      <w:r w:rsidRPr="00585115">
        <w:rPr>
          <w:rFonts w:ascii="Courier New" w:hAnsi="Courier New" w:cs="Courier New"/>
          <w:sz w:val="22"/>
          <w:szCs w:val="22"/>
        </w:rPr>
        <w:t>)</w:t>
      </w:r>
    </w:p>
    <w:p w14:paraId="06BFA003" w14:textId="77777777" w:rsidR="0096721F" w:rsidRPr="00585115" w:rsidRDefault="0096721F" w:rsidP="00A47498">
      <w:pPr>
        <w:shd w:val="clear" w:color="auto" w:fill="E0E0E0"/>
        <w:spacing w:line="276" w:lineRule="auto"/>
        <w:rPr>
          <w:rFonts w:ascii="Courier New" w:hAnsi="Courier New" w:cs="Courier New"/>
          <w:sz w:val="22"/>
          <w:szCs w:val="22"/>
        </w:rPr>
      </w:pPr>
      <w:r w:rsidRPr="00585115">
        <w:rPr>
          <w:rFonts w:ascii="Courier New" w:hAnsi="Courier New" w:cs="Courier New"/>
          <w:sz w:val="22"/>
          <w:szCs w:val="22"/>
        </w:rPr>
        <w:t xml:space="preserve">public </w:t>
      </w:r>
      <w:proofErr w:type="spellStart"/>
      <w:r w:rsidRPr="00585115">
        <w:rPr>
          <w:rFonts w:ascii="Courier New" w:hAnsi="Courier New" w:cs="Courier New"/>
          <w:sz w:val="22"/>
          <w:szCs w:val="22"/>
        </w:rPr>
        <w:t>RegionalOfficeCapacity</w:t>
      </w:r>
      <w:proofErr w:type="spellEnd"/>
      <w:r w:rsidRPr="00585115">
        <w:rPr>
          <w:rFonts w:ascii="Courier New" w:hAnsi="Courier New" w:cs="Courier New"/>
          <w:sz w:val="22"/>
          <w:szCs w:val="22"/>
        </w:rPr>
        <w:t xml:space="preserve"> </w:t>
      </w:r>
      <w:proofErr w:type="spellStart"/>
      <w:r w:rsidRPr="00585115">
        <w:rPr>
          <w:rFonts w:ascii="Courier New" w:hAnsi="Courier New" w:cs="Courier New"/>
          <w:sz w:val="22"/>
          <w:szCs w:val="22"/>
        </w:rPr>
        <w:t>saveRoCapabilities</w:t>
      </w:r>
      <w:proofErr w:type="spellEnd"/>
      <w:r w:rsidRPr="00585115">
        <w:rPr>
          <w:rFonts w:ascii="Courier New" w:hAnsi="Courier New" w:cs="Courier New"/>
          <w:sz w:val="22"/>
          <w:szCs w:val="22"/>
        </w:rPr>
        <w:t xml:space="preserve"> (</w:t>
      </w:r>
      <w:proofErr w:type="gramStart"/>
      <w:r w:rsidRPr="00585115">
        <w:rPr>
          <w:rFonts w:ascii="Courier New" w:hAnsi="Courier New" w:cs="Courier New"/>
          <w:sz w:val="22"/>
          <w:szCs w:val="22"/>
        </w:rPr>
        <w:t>…){</w:t>
      </w:r>
      <w:proofErr w:type="gramEnd"/>
    </w:p>
    <w:p w14:paraId="006A36C3" w14:textId="77777777" w:rsidR="0096721F" w:rsidRPr="00585115" w:rsidRDefault="0096721F" w:rsidP="00A47498">
      <w:pPr>
        <w:shd w:val="clear" w:color="auto" w:fill="E0E0E0"/>
        <w:spacing w:line="276" w:lineRule="auto"/>
        <w:ind w:firstLine="720"/>
        <w:rPr>
          <w:rFonts w:ascii="Courier New" w:hAnsi="Courier New" w:cs="Courier New"/>
          <w:sz w:val="22"/>
          <w:szCs w:val="22"/>
        </w:rPr>
      </w:pPr>
      <w:r w:rsidRPr="00585115">
        <w:rPr>
          <w:rFonts w:ascii="Courier New" w:hAnsi="Courier New" w:cs="Courier New"/>
          <w:sz w:val="22"/>
          <w:szCs w:val="22"/>
        </w:rPr>
        <w:t>…</w:t>
      </w:r>
    </w:p>
    <w:p w14:paraId="05C38124" w14:textId="77777777" w:rsidR="0096721F" w:rsidRPr="00585115" w:rsidRDefault="0096721F" w:rsidP="00A47498">
      <w:pPr>
        <w:shd w:val="clear" w:color="auto" w:fill="E0E0E0"/>
        <w:spacing w:line="276" w:lineRule="auto"/>
        <w:rPr>
          <w:rFonts w:ascii="Courier New" w:hAnsi="Courier New" w:cs="Courier New"/>
          <w:sz w:val="22"/>
          <w:szCs w:val="22"/>
        </w:rPr>
      </w:pPr>
      <w:r w:rsidRPr="00585115">
        <w:rPr>
          <w:rFonts w:ascii="Courier New" w:hAnsi="Courier New" w:cs="Courier New"/>
          <w:sz w:val="22"/>
          <w:szCs w:val="22"/>
        </w:rPr>
        <w:t>}</w:t>
      </w:r>
    </w:p>
    <w:p w14:paraId="383DF6F1" w14:textId="77777777" w:rsidR="0096721F" w:rsidRPr="00DF36C3" w:rsidRDefault="0096721F" w:rsidP="0096721F">
      <w:pPr>
        <w:spacing w:line="276" w:lineRule="auto"/>
        <w:rPr>
          <w:rFonts w:ascii="Calibri" w:hAnsi="Calibri"/>
          <w:sz w:val="22"/>
          <w:szCs w:val="22"/>
        </w:rPr>
      </w:pPr>
    </w:p>
    <w:p w14:paraId="677CCF31" w14:textId="36136D76" w:rsidR="1181E9B4" w:rsidRDefault="1181E9B4" w:rsidP="30CF7EA1">
      <w:pPr>
        <w:spacing w:line="276" w:lineRule="auto"/>
        <w:rPr>
          <w:rFonts w:ascii="Calibri" w:hAnsi="Calibri"/>
          <w:b/>
          <w:bCs/>
          <w:sz w:val="22"/>
          <w:szCs w:val="22"/>
        </w:rPr>
      </w:pPr>
      <w:r w:rsidRPr="30CF7EA1">
        <w:rPr>
          <w:rFonts w:ascii="Calibri" w:hAnsi="Calibri"/>
          <w:b/>
          <w:bCs/>
          <w:sz w:val="22"/>
          <w:szCs w:val="22"/>
        </w:rPr>
        <w:t>@Core Component</w:t>
      </w:r>
      <w:r w:rsidR="6545A337" w:rsidRPr="30CF7EA1">
        <w:rPr>
          <w:rFonts w:ascii="Calibri" w:hAnsi="Calibri"/>
          <w:b/>
          <w:bCs/>
          <w:sz w:val="22"/>
          <w:szCs w:val="22"/>
        </w:rPr>
        <w:t xml:space="preserve"> Custom Access Controls</w:t>
      </w:r>
    </w:p>
    <w:p w14:paraId="2F31C1CE" w14:textId="46121161" w:rsidR="1181E9B4" w:rsidRDefault="1181E9B4" w:rsidP="30CF7EA1">
      <w:pPr>
        <w:spacing w:line="276" w:lineRule="auto"/>
        <w:rPr>
          <w:rFonts w:ascii="Calibri" w:eastAsia="Calibri" w:hAnsi="Calibri" w:cs="Calibri"/>
          <w:sz w:val="22"/>
          <w:szCs w:val="22"/>
        </w:rPr>
      </w:pPr>
      <w:r w:rsidRPr="30CF7EA1">
        <w:rPr>
          <w:rFonts w:ascii="Calibri" w:hAnsi="Calibri"/>
          <w:sz w:val="22"/>
          <w:szCs w:val="22"/>
        </w:rPr>
        <w:t xml:space="preserve">The above information is relative to all components. However, Core has “developer-specific” or “custom-coded” access control annotations. </w:t>
      </w:r>
      <w:r w:rsidRPr="30CF7EA1">
        <w:rPr>
          <w:rFonts w:ascii="Calibri" w:eastAsia="Calibri" w:hAnsi="Calibri" w:cs="Calibri"/>
          <w:color w:val="1D1C1D"/>
          <w:sz w:val="22"/>
          <w:szCs w:val="22"/>
        </w:rPr>
        <w:t xml:space="preserve">@Authorize and the method </w:t>
      </w:r>
      <w:proofErr w:type="spellStart"/>
      <w:proofErr w:type="gramStart"/>
      <w:r w:rsidR="00F83F44">
        <w:rPr>
          <w:rFonts w:ascii="Calibri" w:eastAsia="Calibri" w:hAnsi="Calibri" w:cs="Calibri"/>
          <w:color w:val="1D1C1D"/>
          <w:sz w:val="22"/>
          <w:szCs w:val="22"/>
        </w:rPr>
        <w:t>proj</w:t>
      </w:r>
      <w:r w:rsidRPr="30CF7EA1">
        <w:rPr>
          <w:rFonts w:ascii="Calibri" w:eastAsia="Calibri" w:hAnsi="Calibri" w:cs="Calibri"/>
          <w:color w:val="1D1C1D"/>
          <w:sz w:val="22"/>
          <w:szCs w:val="22"/>
        </w:rPr>
        <w:t>pep.enforce</w:t>
      </w:r>
      <w:proofErr w:type="spellEnd"/>
      <w:proofErr w:type="gramEnd"/>
      <w:r w:rsidRPr="30CF7EA1">
        <w:rPr>
          <w:rFonts w:ascii="Calibri" w:eastAsia="Calibri" w:hAnsi="Calibri" w:cs="Calibri"/>
          <w:color w:val="1D1C1D"/>
          <w:sz w:val="22"/>
          <w:szCs w:val="22"/>
        </w:rPr>
        <w:t xml:space="preserve">() are core specific authorizations. The other annotations that can provide access control are spring annotations, </w:t>
      </w:r>
      <w:r w:rsidRPr="30CF7EA1">
        <w:rPr>
          <w:rFonts w:ascii="Calibri" w:eastAsia="Calibri" w:hAnsi="Calibri" w:cs="Calibri"/>
          <w:color w:val="E01E5A"/>
          <w:sz w:val="22"/>
          <w:szCs w:val="22"/>
        </w:rPr>
        <w:t>@PreAuthorize</w:t>
      </w:r>
      <w:r w:rsidRPr="30CF7EA1">
        <w:rPr>
          <w:rFonts w:ascii="Calibri" w:eastAsia="Calibri" w:hAnsi="Calibri" w:cs="Calibri"/>
          <w:color w:val="1D1C1D"/>
          <w:sz w:val="22"/>
          <w:szCs w:val="22"/>
        </w:rPr>
        <w:t xml:space="preserve">, </w:t>
      </w:r>
      <w:r w:rsidRPr="30CF7EA1">
        <w:rPr>
          <w:rFonts w:ascii="Calibri" w:eastAsia="Calibri" w:hAnsi="Calibri" w:cs="Calibri"/>
          <w:color w:val="E01E5A"/>
          <w:sz w:val="22"/>
          <w:szCs w:val="22"/>
        </w:rPr>
        <w:t>@PreFilter</w:t>
      </w:r>
      <w:r w:rsidRPr="30CF7EA1">
        <w:rPr>
          <w:rFonts w:ascii="Calibri" w:eastAsia="Calibri" w:hAnsi="Calibri" w:cs="Calibri"/>
          <w:color w:val="1D1C1D"/>
          <w:sz w:val="22"/>
          <w:szCs w:val="22"/>
        </w:rPr>
        <w:t xml:space="preserve">, </w:t>
      </w:r>
      <w:r w:rsidRPr="30CF7EA1">
        <w:rPr>
          <w:rFonts w:ascii="Calibri" w:eastAsia="Calibri" w:hAnsi="Calibri" w:cs="Calibri"/>
          <w:color w:val="E01E5A"/>
          <w:sz w:val="22"/>
          <w:szCs w:val="22"/>
        </w:rPr>
        <w:t>@PostAuthorize</w:t>
      </w:r>
      <w:r w:rsidRPr="30CF7EA1">
        <w:rPr>
          <w:rFonts w:ascii="Calibri" w:eastAsia="Calibri" w:hAnsi="Calibri" w:cs="Calibri"/>
          <w:color w:val="1D1C1D"/>
          <w:sz w:val="22"/>
          <w:szCs w:val="22"/>
        </w:rPr>
        <w:t xml:space="preserve"> and </w:t>
      </w:r>
      <w:r w:rsidRPr="30CF7EA1">
        <w:rPr>
          <w:rFonts w:ascii="Calibri" w:eastAsia="Calibri" w:hAnsi="Calibri" w:cs="Calibri"/>
          <w:color w:val="E01E5A"/>
          <w:sz w:val="22"/>
          <w:szCs w:val="22"/>
        </w:rPr>
        <w:t xml:space="preserve">@PostFilter. </w:t>
      </w:r>
      <w:r w:rsidRPr="30CF7EA1">
        <w:rPr>
          <w:rFonts w:ascii="Calibri" w:eastAsia="Calibri" w:hAnsi="Calibri" w:cs="Calibri"/>
          <w:color w:val="1D1C1D"/>
          <w:sz w:val="22"/>
          <w:szCs w:val="22"/>
        </w:rPr>
        <w:t xml:space="preserve"> </w:t>
      </w:r>
      <w:r w:rsidR="42574450" w:rsidRPr="30CF7EA1">
        <w:rPr>
          <w:rFonts w:ascii="Calibri" w:eastAsia="Calibri" w:hAnsi="Calibri" w:cs="Calibri"/>
          <w:color w:val="1D1C1D"/>
          <w:sz w:val="22"/>
          <w:szCs w:val="22"/>
        </w:rPr>
        <w:t xml:space="preserve">Please remember that Core has “custom” or “developer-specific” annotations. </w:t>
      </w:r>
      <w:r w:rsidRPr="30CF7EA1">
        <w:rPr>
          <w:rFonts w:ascii="Calibri" w:eastAsia="Calibri" w:hAnsi="Calibri" w:cs="Calibri"/>
          <w:color w:val="1D1C1D"/>
          <w:sz w:val="22"/>
          <w:szCs w:val="22"/>
        </w:rPr>
        <w:t xml:space="preserve"> </w:t>
      </w:r>
    </w:p>
    <w:p w14:paraId="53E568B2" w14:textId="4C14E9AC" w:rsidR="30CF7EA1" w:rsidRDefault="30CF7EA1" w:rsidP="30CF7EA1">
      <w:pPr>
        <w:spacing w:line="276" w:lineRule="auto"/>
        <w:rPr>
          <w:rFonts w:ascii="Calibri" w:eastAsia="Calibri" w:hAnsi="Calibri" w:cs="Calibri"/>
          <w:color w:val="1D1C1D"/>
          <w:sz w:val="22"/>
          <w:szCs w:val="22"/>
        </w:rPr>
      </w:pPr>
    </w:p>
    <w:p w14:paraId="3C37535D" w14:textId="77777777" w:rsidR="0096721F" w:rsidRPr="00972EE7" w:rsidRDefault="0096721F" w:rsidP="0096721F">
      <w:pPr>
        <w:spacing w:line="276" w:lineRule="auto"/>
        <w:rPr>
          <w:rFonts w:ascii="Calibri" w:hAnsi="Calibri"/>
          <w:sz w:val="26"/>
          <w:szCs w:val="26"/>
        </w:rPr>
      </w:pPr>
      <w:r w:rsidRPr="00972EE7">
        <w:rPr>
          <w:rFonts w:ascii="Calibri" w:hAnsi="Calibri"/>
          <w:b/>
          <w:sz w:val="26"/>
          <w:szCs w:val="26"/>
        </w:rPr>
        <w:t>References</w:t>
      </w:r>
    </w:p>
    <w:p w14:paraId="3185E47D" w14:textId="1546B999" w:rsidR="0096721F" w:rsidRPr="00DF36C3" w:rsidRDefault="00000000" w:rsidP="004B2AD2">
      <w:pPr>
        <w:pStyle w:val="ListParagraph"/>
        <w:numPr>
          <w:ilvl w:val="0"/>
          <w:numId w:val="6"/>
        </w:numPr>
        <w:spacing w:line="276" w:lineRule="auto"/>
        <w:rPr>
          <w:rFonts w:ascii="Calibri" w:hAnsi="Calibri"/>
          <w:sz w:val="22"/>
          <w:szCs w:val="22"/>
        </w:rPr>
      </w:pPr>
      <w:hyperlink r:id="rId8" w:anchor="Java%2fJSP" w:history="1">
        <w:r w:rsidR="0096721F" w:rsidRPr="1546B999">
          <w:rPr>
            <w:rStyle w:val="Hyperlink"/>
            <w:rFonts w:ascii="Calibri" w:eastAsia="Calibri" w:hAnsi="Calibri" w:cs="Calibri"/>
            <w:sz w:val="22"/>
            <w:szCs w:val="22"/>
          </w:rPr>
          <w:t>HP</w:t>
        </w:r>
        <w:r w:rsidR="1546B999" w:rsidRPr="1546B999">
          <w:rPr>
            <w:rStyle w:val="Hyperlink"/>
            <w:rFonts w:ascii="Calibri" w:eastAsia="Calibri" w:hAnsi="Calibri" w:cs="Calibri"/>
            <w:sz w:val="22"/>
            <w:szCs w:val="22"/>
          </w:rPr>
          <w:t xml:space="preserve"> Enterprise Security – Access Control: </w:t>
        </w:r>
        <w:r w:rsidR="0096721F" w:rsidRPr="1546B999">
          <w:rPr>
            <w:rStyle w:val="Hyperlink"/>
            <w:rFonts w:ascii="Calibri" w:eastAsia="Calibri" w:hAnsi="Calibri" w:cs="Calibri"/>
            <w:sz w:val="22"/>
            <w:szCs w:val="22"/>
          </w:rPr>
          <w:t>Database</w:t>
        </w:r>
      </w:hyperlink>
    </w:p>
    <w:p w14:paraId="789B50BF" w14:textId="06C081DB" w:rsidR="0096721F" w:rsidRPr="00DF36C3" w:rsidRDefault="0096721F" w:rsidP="004B2AD2">
      <w:pPr>
        <w:pStyle w:val="ListParagraph"/>
        <w:numPr>
          <w:ilvl w:val="0"/>
          <w:numId w:val="6"/>
        </w:numPr>
        <w:spacing w:line="276" w:lineRule="auto"/>
        <w:rPr>
          <w:rFonts w:ascii="Calibri" w:hAnsi="Calibri"/>
          <w:sz w:val="22"/>
          <w:szCs w:val="22"/>
        </w:rPr>
      </w:pPr>
      <w:r w:rsidRPr="00A62040">
        <w:rPr>
          <w:rFonts w:ascii="Calibri" w:hAnsi="Calibri"/>
          <w:sz w:val="22"/>
          <w:szCs w:val="22"/>
        </w:rPr>
        <w:t>IA Defect SOP on Dev Wiki</w:t>
      </w:r>
    </w:p>
    <w:p w14:paraId="50F21F0C" w14:textId="52303859" w:rsidR="3F02E26B" w:rsidRDefault="00000000" w:rsidP="30CF7EA1">
      <w:pPr>
        <w:pStyle w:val="ListParagraph"/>
        <w:numPr>
          <w:ilvl w:val="0"/>
          <w:numId w:val="6"/>
        </w:numPr>
        <w:spacing w:line="276" w:lineRule="auto"/>
        <w:rPr>
          <w:sz w:val="22"/>
          <w:szCs w:val="22"/>
        </w:rPr>
      </w:pPr>
      <w:hyperlink r:id="rId9">
        <w:r w:rsidR="3F02E26B" w:rsidRPr="30CF7EA1">
          <w:rPr>
            <w:rStyle w:val="Hyperlink"/>
            <w:rFonts w:ascii="Calibri" w:eastAsia="Calibri" w:hAnsi="Calibri" w:cs="Calibri"/>
            <w:sz w:val="22"/>
            <w:szCs w:val="22"/>
          </w:rPr>
          <w:t>https://docs.spring.io/spring-security/site/docs/3.2.0.CI-SNAPSHOT/reference/html/el-access.html</w:t>
        </w:r>
      </w:hyperlink>
    </w:p>
    <w:p w14:paraId="79759835" w14:textId="77777777" w:rsidR="00320410" w:rsidRPr="00DF36C3" w:rsidRDefault="00320410">
      <w:pPr>
        <w:rPr>
          <w:rFonts w:ascii="Calibri" w:hAnsi="Calibri"/>
        </w:rPr>
      </w:pPr>
    </w:p>
    <w:sectPr w:rsidR="00320410" w:rsidRPr="00DF36C3" w:rsidSect="001346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variable"/>
    <w:sig w:usb0="00000287" w:usb1="00000000" w:usb2="00000000" w:usb3="00000000" w:csb0="0000009F" w:csb1="00000000"/>
  </w:font>
  <w:font w:name="Courier">
    <w:panose1 w:val="020704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13CF"/>
    <w:multiLevelType w:val="hybridMultilevel"/>
    <w:tmpl w:val="CA8C05CA"/>
    <w:lvl w:ilvl="0" w:tplc="3D045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73B0E"/>
    <w:multiLevelType w:val="hybridMultilevel"/>
    <w:tmpl w:val="50E4A1C4"/>
    <w:lvl w:ilvl="0" w:tplc="3D045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85923"/>
    <w:multiLevelType w:val="hybridMultilevel"/>
    <w:tmpl w:val="AF388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5A7020"/>
    <w:multiLevelType w:val="hybridMultilevel"/>
    <w:tmpl w:val="AA6C7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004322"/>
    <w:multiLevelType w:val="hybridMultilevel"/>
    <w:tmpl w:val="80408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E528A7"/>
    <w:multiLevelType w:val="hybridMultilevel"/>
    <w:tmpl w:val="960024BC"/>
    <w:lvl w:ilvl="0" w:tplc="3D045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8820796">
    <w:abstractNumId w:val="2"/>
  </w:num>
  <w:num w:numId="2" w16cid:durableId="442454531">
    <w:abstractNumId w:val="0"/>
  </w:num>
  <w:num w:numId="3" w16cid:durableId="1752190106">
    <w:abstractNumId w:val="1"/>
  </w:num>
  <w:num w:numId="4" w16cid:durableId="1025331911">
    <w:abstractNumId w:val="5"/>
  </w:num>
  <w:num w:numId="5" w16cid:durableId="1995835325">
    <w:abstractNumId w:val="4"/>
  </w:num>
  <w:num w:numId="6" w16cid:durableId="6608905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721F"/>
    <w:rsid w:val="00080F95"/>
    <w:rsid w:val="00134621"/>
    <w:rsid w:val="00153FB8"/>
    <w:rsid w:val="00283EDE"/>
    <w:rsid w:val="002B3B84"/>
    <w:rsid w:val="002F022B"/>
    <w:rsid w:val="00320410"/>
    <w:rsid w:val="00362A72"/>
    <w:rsid w:val="004537F0"/>
    <w:rsid w:val="004B2AD2"/>
    <w:rsid w:val="00575574"/>
    <w:rsid w:val="00585115"/>
    <w:rsid w:val="005B5FB0"/>
    <w:rsid w:val="00614C41"/>
    <w:rsid w:val="006E111B"/>
    <w:rsid w:val="007F48C5"/>
    <w:rsid w:val="0096721F"/>
    <w:rsid w:val="00972C2B"/>
    <w:rsid w:val="00972EE7"/>
    <w:rsid w:val="00A47498"/>
    <w:rsid w:val="00A62040"/>
    <w:rsid w:val="00A64732"/>
    <w:rsid w:val="00A80803"/>
    <w:rsid w:val="00D04DE0"/>
    <w:rsid w:val="00D217C2"/>
    <w:rsid w:val="00DB6E28"/>
    <w:rsid w:val="00DF36C3"/>
    <w:rsid w:val="00E511BC"/>
    <w:rsid w:val="00F83F44"/>
    <w:rsid w:val="0E272F7A"/>
    <w:rsid w:val="1181E9B4"/>
    <w:rsid w:val="1546B999"/>
    <w:rsid w:val="2F1397C9"/>
    <w:rsid w:val="30CF7EA1"/>
    <w:rsid w:val="3F02E26B"/>
    <w:rsid w:val="42574450"/>
    <w:rsid w:val="46862B78"/>
    <w:rsid w:val="4ED00D8A"/>
    <w:rsid w:val="51E14BE3"/>
    <w:rsid w:val="5A7C0D22"/>
    <w:rsid w:val="6545A3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B8B77E"/>
  <w14:defaultImageDpi w14:val="300"/>
  <w15:docId w15:val="{2A4F0934-C239-48AB-9970-C42F6515D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2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21F"/>
    <w:pPr>
      <w:ind w:left="720"/>
      <w:contextualSpacing/>
    </w:pPr>
  </w:style>
  <w:style w:type="character" w:styleId="Hyperlink">
    <w:name w:val="Hyperlink"/>
    <w:basedOn w:val="DefaultParagraphFont"/>
    <w:uiPriority w:val="99"/>
    <w:unhideWhenUsed/>
    <w:rsid w:val="009672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lncat.fortify.com/en/detail?id=desc.dataflow.java.access_control_databas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lack-redir.net/link?url=https%3A%2F%2Fdocs.spring.io%2Fspring-security%2Fsite%2Fdocs%2F3.2.0.CI-SNAPSHOT%2Freference%2Fhtml%2Fel-acc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B96A68332B1F4785DB78586938A4D3" ma:contentTypeVersion="9" ma:contentTypeDescription="Create a new document." ma:contentTypeScope="" ma:versionID="d05534e3f380e68500d63b1804aaa1bd">
  <xsd:schema xmlns:xsd="http://www.w3.org/2001/XMLSchema" xmlns:xs="http://www.w3.org/2001/XMLSchema" xmlns:p="http://schemas.microsoft.com/office/2006/metadata/properties" xmlns:ns2="5624b722-6e5a-4e23-9b3c-4b9a6f7a0a8d" xmlns:ns3="7f21f299-588a-4aae-b528-ae35f676a836" targetNamespace="http://schemas.microsoft.com/office/2006/metadata/properties" ma:root="true" ma:fieldsID="d8e77e7bbf04e37c698d50dc87519c15" ns2:_="" ns3:_="">
    <xsd:import namespace="5624b722-6e5a-4e23-9b3c-4b9a6f7a0a8d"/>
    <xsd:import namespace="7f21f299-588a-4aae-b528-ae35f676a8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24b722-6e5a-4e23-9b3c-4b9a6f7a0a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21f299-588a-4aae-b528-ae35f676a83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52146F-222B-42E6-9FC2-5979BC4D0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24b722-6e5a-4e23-9b3c-4b9a6f7a0a8d"/>
    <ds:schemaRef ds:uri="7f21f299-588a-4aae-b528-ae35f676a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A4E1DE-515E-417C-AD20-DC389560BBD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6517C6-75BD-42AD-815B-53A039244F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572</Words>
  <Characters>3263</Characters>
  <Application>Microsoft Office Word</Application>
  <DocSecurity>0</DocSecurity>
  <Lines>27</Lines>
  <Paragraphs>7</Paragraphs>
  <ScaleCrop>false</ScaleCrop>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 Control-Database Mitigation SOP</dc:title>
  <dc:subject/>
  <dc:creator>Alex Castelli</dc:creator>
  <cp:keywords/>
  <dc:description/>
  <cp:lastModifiedBy>Rogers, Steven (S.)</cp:lastModifiedBy>
  <cp:revision>32</cp:revision>
  <dcterms:created xsi:type="dcterms:W3CDTF">2016-04-08T13:04:00Z</dcterms:created>
  <dcterms:modified xsi:type="dcterms:W3CDTF">2024-11-07T19:37:00Z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9ea470a7-0451-411d-a77f-421166223583</vt:lpwstr>
  </property>
  <property fmtid="{D5CDD505-2E9C-101B-9397-08002B2CF9AE}" pid="3" name="ContentTypeId">
    <vt:lpwstr>0x0101005AB96A68332B1F4785DB78586938A4D3</vt:lpwstr>
  </property>
</Properties>
</file>