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FB56" w14:textId="77777777" w:rsidR="00A30D86" w:rsidRPr="00991B20" w:rsidRDefault="00A30D86" w:rsidP="00A30D86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XML Entity Expansion</w:t>
      </w:r>
      <w:r w:rsidR="003C71F2">
        <w:rPr>
          <w:rFonts w:asciiTheme="majorHAnsi" w:hAnsiTheme="majorHAnsi"/>
          <w:b/>
          <w:sz w:val="28"/>
          <w:szCs w:val="28"/>
        </w:rPr>
        <w:t xml:space="preserve"> Injection</w:t>
      </w:r>
      <w:r w:rsidRPr="00ED5E1C">
        <w:rPr>
          <w:rFonts w:asciiTheme="majorHAnsi" w:hAnsiTheme="majorHAnsi"/>
          <w:b/>
          <w:sz w:val="28"/>
          <w:szCs w:val="28"/>
        </w:rPr>
        <w:t xml:space="preserve"> Development Mitigation SOP</w:t>
      </w:r>
    </w:p>
    <w:p w14:paraId="2DFBDB4C" w14:textId="239A57EE" w:rsidR="00A30D86" w:rsidRDefault="00C866B7" w:rsidP="00A30D86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An XML Entity Expansion Injection vulnerability</w:t>
      </w:r>
      <w:r w:rsidR="00895034">
        <w:rPr>
          <w:rFonts w:asciiTheme="majorHAnsi" w:hAnsiTheme="majorHAnsi"/>
          <w:sz w:val="22"/>
          <w:szCs w:val="22"/>
        </w:rPr>
        <w:t>, also known as an XML Bomb,</w:t>
      </w:r>
      <w:r>
        <w:rPr>
          <w:rFonts w:asciiTheme="majorHAnsi" w:hAnsiTheme="majorHAnsi"/>
          <w:sz w:val="22"/>
          <w:szCs w:val="22"/>
        </w:rPr>
        <w:t xml:space="preserve"> can occur when using XML parsers configured to not prevent nor limi</w:t>
      </w:r>
      <w:r w:rsidR="006F28D6">
        <w:rPr>
          <w:rFonts w:asciiTheme="majorHAnsi" w:hAnsiTheme="majorHAnsi"/>
          <w:sz w:val="22"/>
          <w:szCs w:val="22"/>
        </w:rPr>
        <w:t>t</w:t>
      </w:r>
      <w:r>
        <w:rPr>
          <w:rFonts w:asciiTheme="majorHAnsi" w:hAnsiTheme="majorHAnsi"/>
          <w:sz w:val="22"/>
          <w:szCs w:val="22"/>
        </w:rPr>
        <w:t xml:space="preserve"> document type definition (DTD) entity resolution.</w:t>
      </w:r>
      <w:r w:rsidR="00275586">
        <w:rPr>
          <w:rFonts w:asciiTheme="majorHAnsi" w:hAnsiTheme="majorHAnsi"/>
          <w:sz w:val="22"/>
          <w:szCs w:val="22"/>
        </w:rPr>
        <w:t xml:space="preserve"> </w:t>
      </w:r>
      <w:r w:rsidR="000F1ABC">
        <w:rPr>
          <w:rFonts w:asciiTheme="majorHAnsi" w:hAnsiTheme="majorHAnsi"/>
          <w:sz w:val="22"/>
          <w:szCs w:val="22"/>
        </w:rPr>
        <w:t>These</w:t>
      </w:r>
      <w:r w:rsidR="00275586">
        <w:rPr>
          <w:rFonts w:asciiTheme="majorHAnsi" w:hAnsiTheme="majorHAnsi"/>
          <w:sz w:val="22"/>
          <w:szCs w:val="22"/>
        </w:rPr>
        <w:t xml:space="preserve"> attacks are denial of service attacks that benefit from valid and well-formed XML blocks that expand exponentially until they exhaust</w:t>
      </w:r>
      <w:r w:rsidR="0071661C">
        <w:rPr>
          <w:rFonts w:asciiTheme="majorHAnsi" w:hAnsiTheme="majorHAnsi"/>
          <w:sz w:val="22"/>
          <w:szCs w:val="22"/>
        </w:rPr>
        <w:t xml:space="preserve"> the server allocated resources. </w:t>
      </w:r>
      <w:r w:rsidR="00277ADC">
        <w:rPr>
          <w:rFonts w:asciiTheme="majorHAnsi" w:hAnsiTheme="majorHAnsi"/>
          <w:sz w:val="22"/>
          <w:szCs w:val="22"/>
        </w:rPr>
        <w:t xml:space="preserve">XML allows the definition of </w:t>
      </w:r>
      <w:r w:rsidR="00895034">
        <w:rPr>
          <w:rFonts w:asciiTheme="majorHAnsi" w:hAnsiTheme="majorHAnsi"/>
          <w:sz w:val="22"/>
          <w:szCs w:val="22"/>
        </w:rPr>
        <w:t>custom entities</w:t>
      </w:r>
      <w:r w:rsidR="00D94043">
        <w:rPr>
          <w:rFonts w:asciiTheme="majorHAnsi" w:hAnsiTheme="majorHAnsi"/>
          <w:sz w:val="22"/>
          <w:szCs w:val="22"/>
        </w:rPr>
        <w:t>,</w:t>
      </w:r>
      <w:r w:rsidR="00895034">
        <w:rPr>
          <w:rFonts w:asciiTheme="majorHAnsi" w:hAnsiTheme="majorHAnsi"/>
          <w:sz w:val="22"/>
          <w:szCs w:val="22"/>
        </w:rPr>
        <w:t xml:space="preserve"> which act as string substitution macros. By nesting recurrent entity resolutions, an attacker can crash the server resources.</w:t>
      </w:r>
    </w:p>
    <w:p w14:paraId="2073BC59" w14:textId="77777777" w:rsidR="00C866B7" w:rsidRPr="00ED5E1C" w:rsidRDefault="00C866B7" w:rsidP="00A30D8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18D045" w14:textId="0FF7F0A3" w:rsidR="00A30D86" w:rsidRPr="00C07A9C" w:rsidRDefault="00A30D86" w:rsidP="00A30D86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C07A9C">
        <w:rPr>
          <w:rFonts w:asciiTheme="majorHAnsi" w:hAnsiTheme="majorHAnsi"/>
          <w:b/>
          <w:sz w:val="26"/>
          <w:szCs w:val="26"/>
        </w:rPr>
        <w:t xml:space="preserve">Defense Against </w:t>
      </w:r>
      <w:r w:rsidR="008F7FCB" w:rsidRPr="00C07A9C">
        <w:rPr>
          <w:rFonts w:asciiTheme="majorHAnsi" w:hAnsiTheme="majorHAnsi"/>
          <w:b/>
          <w:sz w:val="26"/>
          <w:szCs w:val="26"/>
        </w:rPr>
        <w:t>XML Entity Expansion Injection</w:t>
      </w:r>
    </w:p>
    <w:p w14:paraId="7CFAC2DA" w14:textId="542325E6" w:rsidR="00A30D86" w:rsidRDefault="00FA3191" w:rsidP="00A30D86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XML parsers must be configured securely so that it does not allow DTD custom entities as part of an incoming XML document.</w:t>
      </w:r>
    </w:p>
    <w:p w14:paraId="328A7261" w14:textId="77777777" w:rsidR="00FA3191" w:rsidRDefault="00FA3191" w:rsidP="00A30D8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5D8C4C" w14:textId="51FC3215" w:rsidR="006E64E6" w:rsidRDefault="006E64E6" w:rsidP="00A30D86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51E949C7" w14:textId="008AF23A" w:rsidR="006E64E6" w:rsidRPr="006957DF" w:rsidRDefault="006E64E6" w:rsidP="00A2203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 xml:space="preserve">private static </w:t>
      </w:r>
      <w:proofErr w:type="spellStart"/>
      <w:r w:rsidRPr="006957DF">
        <w:rPr>
          <w:rFonts w:ascii="Courier New" w:hAnsi="Courier New" w:cs="Courier New"/>
          <w:sz w:val="22"/>
          <w:szCs w:val="22"/>
        </w:rPr>
        <w:t>XMLStreamReader</w:t>
      </w:r>
      <w:proofErr w:type="spellEnd"/>
      <w:r w:rsidRPr="006957D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957DF">
        <w:rPr>
          <w:rFonts w:ascii="Courier New" w:hAnsi="Courier New" w:cs="Courier New"/>
          <w:sz w:val="22"/>
          <w:szCs w:val="22"/>
        </w:rPr>
        <w:t>createXmlR</w:t>
      </w:r>
      <w:r w:rsidR="001867A4">
        <w:rPr>
          <w:rFonts w:ascii="Courier New" w:hAnsi="Courier New" w:cs="Courier New"/>
          <w:sz w:val="22"/>
          <w:szCs w:val="22"/>
        </w:rPr>
        <w:t>eader</w:t>
      </w:r>
      <w:proofErr w:type="spellEnd"/>
      <w:r w:rsidR="001867A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1867A4">
        <w:rPr>
          <w:rFonts w:ascii="Courier New" w:hAnsi="Courier New" w:cs="Courier New"/>
          <w:sz w:val="22"/>
          <w:szCs w:val="22"/>
        </w:rPr>
        <w:t>InputStream</w:t>
      </w:r>
      <w:proofErr w:type="spellEnd"/>
      <w:r w:rsidR="001867A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867A4">
        <w:rPr>
          <w:rFonts w:ascii="Courier New" w:hAnsi="Courier New" w:cs="Courier New"/>
          <w:sz w:val="22"/>
          <w:szCs w:val="22"/>
        </w:rPr>
        <w:t>dbqXmlStream</w:t>
      </w:r>
      <w:proofErr w:type="spellEnd"/>
      <w:r w:rsidRPr="006957DF">
        <w:rPr>
          <w:rFonts w:ascii="Courier New" w:hAnsi="Courier New" w:cs="Courier New"/>
          <w:sz w:val="22"/>
          <w:szCs w:val="22"/>
        </w:rPr>
        <w:t>) {</w:t>
      </w:r>
    </w:p>
    <w:p w14:paraId="53575DEF" w14:textId="082B889B" w:rsidR="006E64E6" w:rsidRPr="006957DF" w:rsidRDefault="006E64E6" w:rsidP="00A2203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ab/>
      </w:r>
      <w:proofErr w:type="spellStart"/>
      <w:r w:rsidRPr="006957DF">
        <w:rPr>
          <w:rFonts w:ascii="Courier New" w:hAnsi="Courier New" w:cs="Courier New"/>
          <w:sz w:val="22"/>
          <w:szCs w:val="22"/>
        </w:rPr>
        <w:t>XMLInputFactory</w:t>
      </w:r>
      <w:proofErr w:type="spellEnd"/>
      <w:r w:rsidRPr="006957DF">
        <w:rPr>
          <w:rFonts w:ascii="Courier New" w:hAnsi="Courier New" w:cs="Courier New"/>
          <w:sz w:val="22"/>
          <w:szCs w:val="22"/>
        </w:rPr>
        <w:t xml:space="preserve"> factory = </w:t>
      </w:r>
      <w:proofErr w:type="spellStart"/>
      <w:r w:rsidRPr="006957DF">
        <w:rPr>
          <w:rFonts w:ascii="Courier New" w:hAnsi="Courier New" w:cs="Courier New"/>
          <w:sz w:val="22"/>
          <w:szCs w:val="22"/>
        </w:rPr>
        <w:t>XMLInputFactory.newInstance</w:t>
      </w:r>
      <w:proofErr w:type="spellEnd"/>
      <w:r w:rsidRPr="006957DF">
        <w:rPr>
          <w:rFonts w:ascii="Courier New" w:hAnsi="Courier New" w:cs="Courier New"/>
          <w:sz w:val="22"/>
          <w:szCs w:val="22"/>
        </w:rPr>
        <w:t>(</w:t>
      </w:r>
      <w:proofErr w:type="gramStart"/>
      <w:r w:rsidRPr="006957D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917B770" w14:textId="77777777" w:rsidR="00192BEA" w:rsidRDefault="001867A4" w:rsidP="00A22030">
      <w:pPr>
        <w:shd w:val="clear" w:color="auto" w:fill="E0E0E0"/>
        <w:spacing w:line="276" w:lineRule="au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factory.setFeature</w:t>
      </w:r>
      <w:proofErr w:type="spellEnd"/>
      <w:proofErr w:type="gramEnd"/>
      <w:r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="006E64E6" w:rsidRPr="006957DF">
        <w:rPr>
          <w:rFonts w:ascii="Courier New" w:hAnsi="Courier New" w:cs="Courier New"/>
          <w:b/>
          <w:sz w:val="22"/>
          <w:szCs w:val="22"/>
        </w:rPr>
        <w:t>XMLInputFactory.IS_SUPP</w:t>
      </w:r>
      <w:r>
        <w:rPr>
          <w:rFonts w:ascii="Courier New" w:hAnsi="Courier New" w:cs="Courier New"/>
          <w:b/>
          <w:sz w:val="22"/>
          <w:szCs w:val="22"/>
        </w:rPr>
        <w:t>ORTING_EXTERNAL_E</w:t>
      </w:r>
      <w:proofErr w:type="spellEnd"/>
    </w:p>
    <w:p w14:paraId="6AC0FEC1" w14:textId="7EBAFB89" w:rsidR="006E64E6" w:rsidRPr="00131425" w:rsidRDefault="00192BEA" w:rsidP="00A22030">
      <w:pPr>
        <w:shd w:val="clear" w:color="auto" w:fill="E0E0E0"/>
        <w:spacing w:line="276" w:lineRule="au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="001867A4">
        <w:rPr>
          <w:rFonts w:ascii="Courier New" w:hAnsi="Courier New" w:cs="Courier New"/>
          <w:b/>
          <w:sz w:val="22"/>
          <w:szCs w:val="22"/>
        </w:rPr>
        <w:t>NTITIES, false</w:t>
      </w:r>
      <w:r w:rsidR="006E64E6" w:rsidRPr="006957DF">
        <w:rPr>
          <w:rFonts w:ascii="Courier New" w:hAnsi="Courier New" w:cs="Courier New"/>
          <w:b/>
          <w:sz w:val="22"/>
          <w:szCs w:val="22"/>
        </w:rPr>
        <w:t>);</w:t>
      </w:r>
    </w:p>
    <w:p w14:paraId="73744C59" w14:textId="77777777" w:rsidR="006E64E6" w:rsidRPr="006957DF" w:rsidRDefault="006E64E6" w:rsidP="00A2203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ab/>
        <w:t>try {</w:t>
      </w:r>
    </w:p>
    <w:p w14:paraId="64E416B7" w14:textId="264D5E40" w:rsidR="00DB7D7C" w:rsidRPr="006957DF" w:rsidRDefault="00DB7D7C" w:rsidP="00A2203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ab/>
      </w:r>
      <w:r w:rsidRPr="006957DF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spellStart"/>
      <w:proofErr w:type="gramStart"/>
      <w:r w:rsidRPr="006957DF">
        <w:rPr>
          <w:rFonts w:ascii="Courier New" w:hAnsi="Courier New" w:cs="Courier New"/>
          <w:sz w:val="22"/>
          <w:szCs w:val="22"/>
        </w:rPr>
        <w:t>facto</w:t>
      </w:r>
      <w:r w:rsidR="001867A4">
        <w:rPr>
          <w:rFonts w:ascii="Courier New" w:hAnsi="Courier New" w:cs="Courier New"/>
          <w:sz w:val="22"/>
          <w:szCs w:val="22"/>
        </w:rPr>
        <w:t>ry.createXMLStreamReader</w:t>
      </w:r>
      <w:proofErr w:type="spellEnd"/>
      <w:proofErr w:type="gramEnd"/>
      <w:r w:rsidR="001867A4">
        <w:rPr>
          <w:rFonts w:ascii="Courier New" w:hAnsi="Courier New" w:cs="Courier New"/>
          <w:sz w:val="22"/>
          <w:szCs w:val="22"/>
        </w:rPr>
        <w:t>(</w:t>
      </w:r>
      <w:proofErr w:type="spellStart"/>
      <w:r w:rsidR="001867A4">
        <w:rPr>
          <w:rFonts w:ascii="Courier New" w:hAnsi="Courier New" w:cs="Courier New"/>
          <w:sz w:val="22"/>
          <w:szCs w:val="22"/>
        </w:rPr>
        <w:t>dbqXmlStream</w:t>
      </w:r>
      <w:proofErr w:type="spellEnd"/>
      <w:r w:rsidRPr="006957DF">
        <w:rPr>
          <w:rFonts w:ascii="Courier New" w:hAnsi="Courier New" w:cs="Courier New"/>
          <w:sz w:val="22"/>
          <w:szCs w:val="22"/>
        </w:rPr>
        <w:t>);</w:t>
      </w:r>
    </w:p>
    <w:p w14:paraId="2AA34826" w14:textId="233B8D0A" w:rsidR="006E64E6" w:rsidRPr="006957DF" w:rsidRDefault="001867A4" w:rsidP="00A22030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  <w:proofErr w:type="gramStart"/>
      <w:r>
        <w:rPr>
          <w:rFonts w:ascii="Courier New" w:hAnsi="Courier New" w:cs="Courier New"/>
          <w:sz w:val="22"/>
          <w:szCs w:val="22"/>
        </w:rPr>
        <w:t>catch(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XMLStreamException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</w:t>
      </w:r>
      <w:r w:rsidR="006E64E6" w:rsidRPr="006957DF">
        <w:rPr>
          <w:rFonts w:ascii="Courier New" w:hAnsi="Courier New" w:cs="Courier New"/>
          <w:sz w:val="22"/>
          <w:szCs w:val="22"/>
        </w:rPr>
        <w:t>) {</w:t>
      </w:r>
    </w:p>
    <w:p w14:paraId="26E7A5B9" w14:textId="478ABAC3" w:rsidR="00A22030" w:rsidRDefault="001867A4" w:rsidP="00A22030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throw new </w:t>
      </w:r>
      <w:proofErr w:type="spellStart"/>
      <w:proofErr w:type="gramStart"/>
      <w:r w:rsidR="00EA1CFC">
        <w:rPr>
          <w:rFonts w:ascii="Courier New" w:hAnsi="Courier New" w:cs="Courier New"/>
          <w:sz w:val="22"/>
          <w:szCs w:val="22"/>
        </w:rPr>
        <w:t>System</w:t>
      </w:r>
      <w:r>
        <w:rPr>
          <w:rFonts w:ascii="Courier New" w:hAnsi="Courier New" w:cs="Courier New"/>
          <w:sz w:val="22"/>
          <w:szCs w:val="22"/>
        </w:rPr>
        <w:t>FaultException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“An exception occurred”, </w:t>
      </w:r>
    </w:p>
    <w:p w14:paraId="6D27F1E8" w14:textId="274774F3" w:rsidR="006E64E6" w:rsidRPr="006957DF" w:rsidRDefault="00A22030" w:rsidP="00A22030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867A4">
        <w:rPr>
          <w:rFonts w:ascii="Courier New" w:hAnsi="Courier New" w:cs="Courier New"/>
          <w:sz w:val="22"/>
          <w:szCs w:val="22"/>
        </w:rPr>
        <w:t>e</w:t>
      </w:r>
      <w:proofErr w:type="gramStart"/>
      <w:r w:rsidR="006E64E6" w:rsidRPr="006957D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ABE9782" w14:textId="5513A183" w:rsidR="006E64E6" w:rsidRPr="006957DF" w:rsidRDefault="006E64E6" w:rsidP="00A22030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>}</w:t>
      </w:r>
    </w:p>
    <w:p w14:paraId="3F600C30" w14:textId="7DC03FAA" w:rsidR="00A30D86" w:rsidRPr="006957DF" w:rsidRDefault="006E64E6" w:rsidP="00A2203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6957DF">
        <w:rPr>
          <w:rFonts w:ascii="Courier New" w:hAnsi="Courier New" w:cs="Courier New"/>
          <w:sz w:val="22"/>
          <w:szCs w:val="22"/>
        </w:rPr>
        <w:t>}</w:t>
      </w:r>
    </w:p>
    <w:p w14:paraId="498A0892" w14:textId="77777777" w:rsidR="00382ECA" w:rsidRDefault="00382ECA" w:rsidP="00A30D8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F779BC2" w14:textId="3F5F3008" w:rsidR="00382ECA" w:rsidRPr="00C07A9C" w:rsidRDefault="00C07A9C" w:rsidP="00A30D86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C07A9C">
        <w:rPr>
          <w:rFonts w:asciiTheme="majorHAnsi" w:hAnsiTheme="majorHAnsi"/>
          <w:b/>
          <w:sz w:val="26"/>
          <w:szCs w:val="26"/>
        </w:rPr>
        <w:t>Explanation</w:t>
      </w:r>
    </w:p>
    <w:p w14:paraId="1E0A19EB" w14:textId="246115D9" w:rsidR="00E547BB" w:rsidRPr="00C07A9C" w:rsidRDefault="00382ECA" w:rsidP="00C07A9C">
      <w:pPr>
        <w:spacing w:line="276" w:lineRule="auto"/>
        <w:rPr>
          <w:rFonts w:asciiTheme="majorHAnsi" w:hAnsiTheme="majorHAnsi"/>
          <w:sz w:val="22"/>
          <w:szCs w:val="22"/>
        </w:rPr>
      </w:pPr>
      <w:r w:rsidRPr="00C07A9C">
        <w:rPr>
          <w:rFonts w:asciiTheme="majorHAnsi" w:hAnsiTheme="majorHAnsi"/>
          <w:sz w:val="22"/>
          <w:szCs w:val="22"/>
        </w:rPr>
        <w:t>This is an exampl</w:t>
      </w:r>
      <w:r w:rsidR="009C1ADF">
        <w:rPr>
          <w:rFonts w:asciiTheme="majorHAnsi" w:hAnsiTheme="majorHAnsi"/>
          <w:sz w:val="22"/>
          <w:szCs w:val="22"/>
        </w:rPr>
        <w:t xml:space="preserve">e of how to correctly prevent </w:t>
      </w:r>
      <w:proofErr w:type="gramStart"/>
      <w:r w:rsidR="009C1ADF">
        <w:rPr>
          <w:rFonts w:asciiTheme="majorHAnsi" w:hAnsiTheme="majorHAnsi"/>
          <w:sz w:val="22"/>
          <w:szCs w:val="22"/>
        </w:rPr>
        <w:t>a</w:t>
      </w:r>
      <w:proofErr w:type="gramEnd"/>
      <w:r w:rsidRPr="00C07A9C">
        <w:rPr>
          <w:rFonts w:asciiTheme="majorHAnsi" w:hAnsiTheme="majorHAnsi"/>
          <w:sz w:val="22"/>
          <w:szCs w:val="22"/>
        </w:rPr>
        <w:t xml:space="preserve"> </w:t>
      </w:r>
      <w:r w:rsidR="00066F20" w:rsidRPr="00C07A9C">
        <w:rPr>
          <w:rFonts w:asciiTheme="majorHAnsi" w:hAnsiTheme="majorHAnsi"/>
          <w:sz w:val="22"/>
          <w:szCs w:val="22"/>
        </w:rPr>
        <w:t xml:space="preserve">XML Entity Expansion Injection vulnerability </w:t>
      </w:r>
      <w:r w:rsidRPr="00C07A9C">
        <w:rPr>
          <w:rFonts w:asciiTheme="majorHAnsi" w:hAnsiTheme="majorHAnsi"/>
          <w:sz w:val="22"/>
          <w:szCs w:val="22"/>
        </w:rPr>
        <w:t>because t</w:t>
      </w:r>
      <w:r w:rsidR="00E2045C">
        <w:rPr>
          <w:rFonts w:asciiTheme="majorHAnsi" w:hAnsiTheme="majorHAnsi"/>
          <w:sz w:val="22"/>
          <w:szCs w:val="22"/>
        </w:rPr>
        <w:t xml:space="preserve">he factory sets the feature of </w:t>
      </w:r>
      <w:proofErr w:type="spellStart"/>
      <w:r w:rsidRPr="00E2045C">
        <w:rPr>
          <w:rFonts w:ascii="Courier New" w:hAnsi="Courier New" w:cs="Courier New"/>
          <w:sz w:val="22"/>
          <w:szCs w:val="22"/>
        </w:rPr>
        <w:t>XMLInputFactory.I</w:t>
      </w:r>
      <w:r w:rsidR="00E2045C" w:rsidRPr="00E2045C">
        <w:rPr>
          <w:rFonts w:ascii="Courier New" w:hAnsi="Courier New" w:cs="Courier New"/>
          <w:sz w:val="22"/>
          <w:szCs w:val="22"/>
        </w:rPr>
        <w:t>S_SUPPORTING_EXTERNAL_ENTITIES</w:t>
      </w:r>
      <w:proofErr w:type="spellEnd"/>
      <w:r w:rsidR="00E2045C" w:rsidRPr="00E2045C">
        <w:rPr>
          <w:rFonts w:ascii="Calibri" w:hAnsi="Calibri" w:cs="Courier New"/>
          <w:sz w:val="22"/>
          <w:szCs w:val="22"/>
        </w:rPr>
        <w:t xml:space="preserve"> </w:t>
      </w:r>
      <w:r w:rsidRPr="00C07A9C">
        <w:rPr>
          <w:rFonts w:asciiTheme="majorHAnsi" w:hAnsiTheme="majorHAnsi"/>
          <w:sz w:val="22"/>
          <w:szCs w:val="22"/>
        </w:rPr>
        <w:t xml:space="preserve">to </w:t>
      </w:r>
      <w:r w:rsidRPr="00273269">
        <w:rPr>
          <w:rFonts w:ascii="Courier New" w:hAnsi="Courier New" w:cs="Courier New"/>
          <w:sz w:val="22"/>
          <w:szCs w:val="22"/>
        </w:rPr>
        <w:t>false</w:t>
      </w:r>
      <w:r w:rsidRPr="00C07A9C">
        <w:rPr>
          <w:rFonts w:asciiTheme="majorHAnsi" w:hAnsiTheme="majorHAnsi"/>
          <w:sz w:val="22"/>
          <w:szCs w:val="22"/>
        </w:rPr>
        <w:t>. This restricts access to external entities.</w:t>
      </w:r>
      <w:r w:rsidR="00C07A9C">
        <w:rPr>
          <w:rFonts w:asciiTheme="majorHAnsi" w:hAnsiTheme="majorHAnsi"/>
          <w:sz w:val="22"/>
          <w:szCs w:val="22"/>
        </w:rPr>
        <w:t xml:space="preserve"> </w:t>
      </w:r>
      <w:r w:rsidR="00E547BB" w:rsidRPr="00C07A9C">
        <w:rPr>
          <w:rFonts w:asciiTheme="majorHAnsi" w:hAnsiTheme="majorHAnsi"/>
          <w:sz w:val="22"/>
          <w:szCs w:val="22"/>
        </w:rPr>
        <w:t xml:space="preserve">If that line (bolded above) </w:t>
      </w:r>
      <w:r w:rsidR="00663722" w:rsidRPr="00C07A9C">
        <w:rPr>
          <w:rFonts w:asciiTheme="majorHAnsi" w:hAnsiTheme="majorHAnsi"/>
          <w:sz w:val="22"/>
          <w:szCs w:val="22"/>
        </w:rPr>
        <w:t>were</w:t>
      </w:r>
      <w:r w:rsidR="00E547BB" w:rsidRPr="00C07A9C">
        <w:rPr>
          <w:rFonts w:asciiTheme="majorHAnsi" w:hAnsiTheme="majorHAnsi"/>
          <w:sz w:val="22"/>
          <w:szCs w:val="22"/>
        </w:rPr>
        <w:t xml:space="preserve"> not included, there would be no restriction to </w:t>
      </w:r>
      <w:r w:rsidR="00150DF3" w:rsidRPr="00C07A9C">
        <w:rPr>
          <w:rFonts w:asciiTheme="majorHAnsi" w:hAnsiTheme="majorHAnsi"/>
          <w:sz w:val="22"/>
          <w:szCs w:val="22"/>
        </w:rPr>
        <w:t>external entities. That property requires the parser to resolve external parsed entities.</w:t>
      </w:r>
    </w:p>
    <w:p w14:paraId="531A2246" w14:textId="77777777" w:rsidR="006E64E6" w:rsidRPr="003D54F5" w:rsidRDefault="006E64E6" w:rsidP="00A30D8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2C06567" w14:textId="77777777" w:rsidR="00A30D86" w:rsidRPr="00C07A9C" w:rsidRDefault="00A30D86" w:rsidP="00A30D86">
      <w:pPr>
        <w:spacing w:line="276" w:lineRule="auto"/>
        <w:rPr>
          <w:rFonts w:asciiTheme="majorHAnsi" w:hAnsiTheme="majorHAnsi"/>
          <w:sz w:val="26"/>
          <w:szCs w:val="26"/>
        </w:rPr>
      </w:pPr>
      <w:r w:rsidRPr="00C07A9C">
        <w:rPr>
          <w:rFonts w:asciiTheme="majorHAnsi" w:hAnsiTheme="majorHAnsi"/>
          <w:b/>
          <w:sz w:val="26"/>
          <w:szCs w:val="26"/>
        </w:rPr>
        <w:t>References</w:t>
      </w:r>
    </w:p>
    <w:p w14:paraId="173DB75B" w14:textId="70B596B2" w:rsidR="00493BFF" w:rsidRDefault="00000000" w:rsidP="00A94C79">
      <w:pPr>
        <w:pStyle w:val="ListParagraph"/>
        <w:numPr>
          <w:ilvl w:val="0"/>
          <w:numId w:val="5"/>
        </w:numPr>
        <w:rPr>
          <w:sz w:val="22"/>
          <w:szCs w:val="22"/>
        </w:rPr>
      </w:pPr>
      <w:hyperlink r:id="rId8" w:history="1">
        <w:r w:rsidR="00A94C79" w:rsidRPr="00A94C79">
          <w:rPr>
            <w:rStyle w:val="Hyperlink"/>
            <w:sz w:val="22"/>
            <w:szCs w:val="22"/>
          </w:rPr>
          <w:t>HP Enterprise Security – XML Entity Expansion Injection</w:t>
        </w:r>
      </w:hyperlink>
    </w:p>
    <w:p w14:paraId="0834291B" w14:textId="58197DD8" w:rsidR="00150DF3" w:rsidRPr="00A94C79" w:rsidRDefault="00000000" w:rsidP="00A94C79">
      <w:pPr>
        <w:pStyle w:val="ListParagraph"/>
        <w:numPr>
          <w:ilvl w:val="0"/>
          <w:numId w:val="5"/>
        </w:numPr>
        <w:rPr>
          <w:sz w:val="22"/>
          <w:szCs w:val="22"/>
        </w:rPr>
      </w:pPr>
      <w:hyperlink r:id="rId9" w:anchor="IS%5FREPLACING%5FENTITY%5FREFERENCES" w:history="1">
        <w:r w:rsidR="00150DF3" w:rsidRPr="00150DF3">
          <w:rPr>
            <w:rStyle w:val="Hyperlink"/>
            <w:sz w:val="22"/>
            <w:szCs w:val="22"/>
          </w:rPr>
          <w:t>Oracle Docs – Field Details</w:t>
        </w:r>
      </w:hyperlink>
    </w:p>
    <w:sectPr w:rsidR="00150DF3" w:rsidRPr="00A94C79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923"/>
    <w:multiLevelType w:val="hybridMultilevel"/>
    <w:tmpl w:val="AF38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47B8"/>
    <w:multiLevelType w:val="hybridMultilevel"/>
    <w:tmpl w:val="228E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0921"/>
    <w:multiLevelType w:val="hybridMultilevel"/>
    <w:tmpl w:val="F096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1278"/>
    <w:multiLevelType w:val="hybridMultilevel"/>
    <w:tmpl w:val="856AC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87924"/>
    <w:multiLevelType w:val="hybridMultilevel"/>
    <w:tmpl w:val="7DAA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2604">
    <w:abstractNumId w:val="1"/>
  </w:num>
  <w:num w:numId="2" w16cid:durableId="1198860288">
    <w:abstractNumId w:val="2"/>
  </w:num>
  <w:num w:numId="3" w16cid:durableId="203368981">
    <w:abstractNumId w:val="3"/>
  </w:num>
  <w:num w:numId="4" w16cid:durableId="1198347463">
    <w:abstractNumId w:val="5"/>
  </w:num>
  <w:num w:numId="5" w16cid:durableId="798112912">
    <w:abstractNumId w:val="0"/>
  </w:num>
  <w:num w:numId="6" w16cid:durableId="735277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D86"/>
    <w:rsid w:val="00066F20"/>
    <w:rsid w:val="000F1ABC"/>
    <w:rsid w:val="00131425"/>
    <w:rsid w:val="00134621"/>
    <w:rsid w:val="00150DF3"/>
    <w:rsid w:val="001867A4"/>
    <w:rsid w:val="00186C45"/>
    <w:rsid w:val="00192BEA"/>
    <w:rsid w:val="00273269"/>
    <w:rsid w:val="00275586"/>
    <w:rsid w:val="00277ADC"/>
    <w:rsid w:val="00382ECA"/>
    <w:rsid w:val="003C71F2"/>
    <w:rsid w:val="00493BFF"/>
    <w:rsid w:val="00663722"/>
    <w:rsid w:val="00692E93"/>
    <w:rsid w:val="006957DF"/>
    <w:rsid w:val="006E64E6"/>
    <w:rsid w:val="006F28D6"/>
    <w:rsid w:val="0071661C"/>
    <w:rsid w:val="00895034"/>
    <w:rsid w:val="008F7FCB"/>
    <w:rsid w:val="009C1ADF"/>
    <w:rsid w:val="00A22030"/>
    <w:rsid w:val="00A30D86"/>
    <w:rsid w:val="00A94C79"/>
    <w:rsid w:val="00C07A9C"/>
    <w:rsid w:val="00C866B7"/>
    <w:rsid w:val="00D94043"/>
    <w:rsid w:val="00DB7D7C"/>
    <w:rsid w:val="00E13AC2"/>
    <w:rsid w:val="00E2045C"/>
    <w:rsid w:val="00E547BB"/>
    <w:rsid w:val="00EA1CFC"/>
    <w:rsid w:val="00F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12870"/>
  <w14:defaultImageDpi w14:val="300"/>
  <w15:docId w15:val="{2A4F0934-C239-48AB-9970-C42F6515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enterprisesecurity.com/vulncat/en/vulncat/dotnet/xee_injec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oracle.com/javase/6/docs/api/javax/xml/stream/XMLInpu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430E4-8660-4B68-A8F5-606369B27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11998-CB88-42FE-8E4B-366F211976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0264DE-4CA3-4BB5-BA01-39573F8A7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4b722-6e5a-4e23-9b3c-4b9a6f7a0a8d"/>
    <ds:schemaRef ds:uri="7f21f299-588a-4aae-b528-ae35f676a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Entity Expansion Injection Mitigation SOP</dc:title>
  <dc:subject/>
  <dc:creator>Alex Castelli</dc:creator>
  <cp:keywords/>
  <dc:description/>
  <cp:lastModifiedBy>Rogers, Steven (S.)</cp:lastModifiedBy>
  <cp:revision>33</cp:revision>
  <dcterms:created xsi:type="dcterms:W3CDTF">2016-04-13T13:35:00Z</dcterms:created>
  <dcterms:modified xsi:type="dcterms:W3CDTF">2024-11-07T19:36:00Z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b094c73b-fccc-42d5-8edf-76e39776e0ae</vt:lpwstr>
  </property>
</Properties>
</file>