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aps/>
          <w:color w:val="5D6D7E"/>
          <w:sz w:val="28"/>
          <w:szCs w:val="28"/>
        </w:rPr>
        <w:t xml:space="preserve">NANOSOFT TECHNOLOGY</w:t>
      </w:r>
    </w:p>
    <w:p>
      <w:pPr>
        <w:spacing w:after="360" w:before="0"/>
        <w:jc w:val="center"/>
      </w:pPr>
      <w:r>
        <w:rPr>
          <w:rFonts w:ascii="Arial" w:cs="Arial" w:eastAsia="Arial" w:hAnsi="Arial"/>
          <w:color w:val="5D6D7E"/>
          <w:sz w:val="22"/>
          <w:szCs w:val="22"/>
        </w:rPr>
        <w:t xml:space="preserve">Kanjata Rd, Lavington, Nairobi  •  We Mind Your Business</w:t>
      </w:r>
    </w:p>
    <w:p>
      <w:pPr>
        <w:pBdr>
          <w:bottom w:val="single" w:color="1A56A0" w:sz="12" w:space="8"/>
        </w:pBdr>
        <w:spacing w:after="200" w:before="0"/>
        <w:jc w:val="center"/>
      </w:pPr>
      <w:r>
        <w:rPr>
          <w:rFonts w:ascii="Arial" w:cs="Arial" w:eastAsia="Arial" w:hAnsi="Arial"/>
          <w:b/>
          <w:bCs/>
          <w:color w:val="1A56A0"/>
          <w:sz w:val="64"/>
          <w:szCs w:val="64"/>
        </w:rPr>
        <w:t xml:space="preserve">Twenty CRM</w:t>
      </w:r>
    </w:p>
    <w:p>
      <w:pPr>
        <w:spacing w:after="80" w:before="160"/>
        <w:jc w:val="center"/>
      </w:pPr>
      <w:r>
        <w:rPr>
          <w:rFonts w:ascii="Arial" w:cs="Arial" w:eastAsia="Arial" w:hAnsi="Arial"/>
          <w:b/>
          <w:bCs/>
          <w:color w:val="1C2833"/>
          <w:sz w:val="40"/>
          <w:szCs w:val="40"/>
        </w:rPr>
        <w:t xml:space="preserve">Enterprise Implementation Guide</w:t>
      </w:r>
    </w:p>
    <w:p>
      <w:pPr>
        <w:spacing w:after="40" w:before="0"/>
        <w:jc w:val="center"/>
      </w:pPr>
      <w:r>
        <w:rPr>
          <w:rFonts w:ascii="Arial" w:cs="Arial" w:eastAsia="Arial" w:hAnsi="Arial"/>
          <w:i/>
          <w:iCs/>
          <w:color w:val="5D6D7E"/>
          <w:sz w:val="24"/>
          <w:szCs w:val="24"/>
        </w:rPr>
        <w:t xml:space="preserve">Open-Source CRM  ·  Self-Hosted  ·  Fully Customised for Nanosoft</w:t>
      </w:r>
    </w:p>
    <w:p>
      <w:pPr>
        <w:spacing w:after="40" w:before="800"/>
        <w:jc w:val="center"/>
      </w:pPr>
      <w:r>
        <w:rPr>
          <w:rFonts w:ascii="Arial" w:cs="Arial" w:eastAsia="Arial" w:hAnsi="Arial"/>
          <w:color w:val="5D6D7E"/>
          <w:sz w:val="22"/>
          <w:szCs w:val="22"/>
        </w:rPr>
        <w:t xml:space="preserve">Prepared by: Lead Twenty CRM Implementation Partner</w:t>
      </w:r>
    </w:p>
    <w:p>
      <w:pPr>
        <w:spacing w:after="40" w:before="0"/>
        <w:jc w:val="center"/>
      </w:pPr>
      <w:r>
        <w:rPr>
          <w:rFonts w:ascii="Arial" w:cs="Arial" w:eastAsia="Arial" w:hAnsi="Arial"/>
          <w:color w:val="5D6D7E"/>
          <w:sz w:val="22"/>
          <w:szCs w:val="22"/>
        </w:rPr>
        <w:t xml:space="preserve">Version 1.0  ·  June 2026</w:t>
      </w:r>
    </w:p>
    <w:p>
      <w:r>
        <w:br w:type="page"/>
      </w:r>
    </w:p>
    <w:p>
      <w:pPr>
        <w:pStyle w:val="Heading1"/>
        <w:pBdr>
          <w:bottom w:val="single" w:color="1A56A0" w:sz="6" w:space="6"/>
        </w:pBdr>
        <w:spacing w:after="200" w:before="360"/>
      </w:pPr>
      <w:r>
        <w:rPr>
          <w:rFonts w:ascii="Arial" w:cs="Arial" w:eastAsia="Arial" w:hAnsi="Arial"/>
          <w:b/>
          <w:bCs/>
          <w:color w:val="1A56A0"/>
          <w:sz w:val="36"/>
          <w:szCs w:val="36"/>
        </w:rPr>
        <w:t xml:space="preserve">1. Executive Summary</w:t>
      </w:r>
    </w:p>
    <w:p>
      <w:pPr>
        <w:spacing w:after="120" w:before="0"/>
        <w:jc w:val="left"/>
      </w:pPr>
      <w:r>
        <w:rPr>
          <w:rFonts w:ascii="Arial" w:cs="Arial" w:eastAsia="Arial" w:hAnsi="Arial"/>
          <w:b w:val="false"/>
          <w:bCs w:val="false"/>
          <w:i w:val="false"/>
          <w:iCs w:val="false"/>
          <w:color w:val="1C2833"/>
          <w:sz w:val="22"/>
          <w:szCs w:val="22"/>
        </w:rPr>
        <w:t xml:space="preserve">Nanosoft Technology has served businesses across Africa for over 22 years, building a portfolio of bespoke IT solutions — from school ERP (Nano Shule) and payroll (Nano Pay) to security, access control, and farm management. With 210+ active clients and recurring licence renewal cycles, Nanosoft's growth now demands a structured, centralised CRM to manage relationships, sales pipelines, support tickets, and renewal workflows.</w:t>
      </w:r>
    </w:p>
    <w:p>
      <w:pPr>
        <w:spacing w:after="120" w:before="0"/>
        <w:jc w:val="left"/>
      </w:pPr>
      <w:r>
        <w:rPr>
          <w:rFonts w:ascii="Arial" w:cs="Arial" w:eastAsia="Arial" w:hAnsi="Arial"/>
          <w:b w:val="false"/>
          <w:bCs w:val="false"/>
          <w:i w:val="false"/>
          <w:iCs w:val="false"/>
          <w:color w:val="1C2833"/>
          <w:sz w:val="22"/>
          <w:szCs w:val="22"/>
        </w:rPr>
        <w:t xml:space="preserve">This guide presents a complete plan for implementing Twenty — the #1 open-source CRM, a Salesforce/HubSpot alternative — on Nanosoft's own infrastructure. As the implementation partner and lead Twenty CRM engineer, this document covers:</w:t>
      </w:r>
    </w:p>
    <w:p>
      <w:pPr>
        <w:pStyle w:val="ListParagraph"/>
        <w:numPr>
          <w:ilvl w:val="0"/>
          <w:numId w:val="2"/>
        </w:numPr>
        <w:spacing w:after="40" w:before="40"/>
      </w:pPr>
      <w:r>
        <w:rPr>
          <w:rFonts w:ascii="Arial" w:cs="Arial" w:eastAsia="Arial" w:hAnsi="Arial"/>
          <w:color w:val="1C2833"/>
          <w:sz w:val="22"/>
          <w:szCs w:val="22"/>
        </w:rPr>
        <w:t xml:space="preserve">Architecture overview and technology stack</w:t>
      </w:r>
    </w:p>
    <w:p>
      <w:pPr>
        <w:pStyle w:val="ListParagraph"/>
        <w:numPr>
          <w:ilvl w:val="0"/>
          <w:numId w:val="2"/>
        </w:numPr>
        <w:spacing w:after="40" w:before="40"/>
      </w:pPr>
      <w:r>
        <w:rPr>
          <w:rFonts w:ascii="Arial" w:cs="Arial" w:eastAsia="Arial" w:hAnsi="Arial"/>
          <w:color w:val="1C2833"/>
          <w:sz w:val="22"/>
          <w:szCs w:val="22"/>
        </w:rPr>
        <w:t xml:space="preserve">Production deployment on a Linux server in Nairobi</w:t>
      </w:r>
    </w:p>
    <w:p>
      <w:pPr>
        <w:pStyle w:val="ListParagraph"/>
        <w:numPr>
          <w:ilvl w:val="0"/>
          <w:numId w:val="2"/>
        </w:numPr>
        <w:spacing w:after="40" w:before="40"/>
      </w:pPr>
      <w:r>
        <w:rPr>
          <w:rFonts w:ascii="Arial" w:cs="Arial" w:eastAsia="Arial" w:hAnsi="Arial"/>
          <w:color w:val="1C2833"/>
          <w:sz w:val="22"/>
          <w:szCs w:val="22"/>
        </w:rPr>
        <w:t xml:space="preserve">Data model design mapped to Nanosoft's product portfolio</w:t>
      </w:r>
    </w:p>
    <w:p>
      <w:pPr>
        <w:pStyle w:val="ListParagraph"/>
        <w:numPr>
          <w:ilvl w:val="0"/>
          <w:numId w:val="2"/>
        </w:numPr>
        <w:spacing w:after="40" w:before="40"/>
      </w:pPr>
      <w:r>
        <w:rPr>
          <w:rFonts w:ascii="Arial" w:cs="Arial" w:eastAsia="Arial" w:hAnsi="Arial"/>
          <w:color w:val="1C2833"/>
          <w:sz w:val="22"/>
          <w:szCs w:val="22"/>
        </w:rPr>
        <w:t xml:space="preserve">Sales pipeline configuration for software licensing and support contracts</w:t>
      </w:r>
    </w:p>
    <w:p>
      <w:pPr>
        <w:pStyle w:val="ListParagraph"/>
        <w:numPr>
          <w:ilvl w:val="0"/>
          <w:numId w:val="2"/>
        </w:numPr>
        <w:spacing w:after="40" w:before="40"/>
      </w:pPr>
      <w:r>
        <w:rPr>
          <w:rFonts w:ascii="Arial" w:cs="Arial" w:eastAsia="Arial" w:hAnsi="Arial"/>
          <w:color w:val="1C2833"/>
          <w:sz w:val="22"/>
          <w:szCs w:val="22"/>
        </w:rPr>
        <w:t xml:space="preserve">Custom objects: NanoProduct, ClientLicence, SupportTicket, ProjectDeliverable</w:t>
      </w:r>
    </w:p>
    <w:p>
      <w:pPr>
        <w:pStyle w:val="ListParagraph"/>
        <w:numPr>
          <w:ilvl w:val="0"/>
          <w:numId w:val="2"/>
        </w:numPr>
        <w:spacing w:after="40" w:before="40"/>
      </w:pPr>
      <w:r>
        <w:rPr>
          <w:rFonts w:ascii="Arial" w:cs="Arial" w:eastAsia="Arial" w:hAnsi="Arial"/>
          <w:color w:val="1C2833"/>
          <w:sz w:val="22"/>
          <w:szCs w:val="22"/>
        </w:rPr>
        <w:t xml:space="preserve">Email sync, calendar, and no-code workflow automation</w:t>
      </w:r>
    </w:p>
    <w:p>
      <w:pPr>
        <w:pStyle w:val="ListParagraph"/>
        <w:numPr>
          <w:ilvl w:val="0"/>
          <w:numId w:val="2"/>
        </w:numPr>
        <w:spacing w:after="40" w:before="40"/>
      </w:pPr>
      <w:r>
        <w:rPr>
          <w:rFonts w:ascii="Arial" w:cs="Arial" w:eastAsia="Arial" w:hAnsi="Arial"/>
          <w:color w:val="1C2833"/>
          <w:sz w:val="22"/>
          <w:szCs w:val="22"/>
        </w:rPr>
        <w:t xml:space="preserve">API and webhook integration with Nanosoft's own products</w:t>
      </w:r>
    </w:p>
    <w:p>
      <w:pPr>
        <w:pStyle w:val="ListParagraph"/>
        <w:numPr>
          <w:ilvl w:val="0"/>
          <w:numId w:val="2"/>
        </w:numPr>
        <w:spacing w:after="40" w:before="40"/>
      </w:pPr>
      <w:r>
        <w:rPr>
          <w:rFonts w:ascii="Arial" w:cs="Arial" w:eastAsia="Arial" w:hAnsi="Arial"/>
          <w:color w:val="1C2833"/>
          <w:sz w:val="22"/>
          <w:szCs w:val="22"/>
        </w:rPr>
        <w:t xml:space="preserve">User roles, onboarding timeline, and ongoing maintenance</w:t>
      </w:r>
    </w:p>
    <w:p>
      <w:pPr>
        <w:spacing w:after="120" w:before="0"/>
        <w:jc w:val="left"/>
      </w:pPr>
      <w:r>
        <w:rPr>
          <w:rFonts w:ascii="Arial" w:cs="Arial" w:eastAsia="Arial" w:hAnsi="Arial"/>
          <w:b w:val="false"/>
          <w:bCs w:val="false"/>
          <w:i w:val="false"/>
          <w:iCs w:val="false"/>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67E22" w:sz="1"/>
              <w:left w:val="single" w:color="E67E22" w:sz="1"/>
              <w:bottom w:val="single" w:color="E67E22" w:sz="1"/>
              <w:right w:val="single" w:color="E67E22"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WHY TWENTY</w:t>
            </w:r>
          </w:p>
        </w:tc>
        <w:tc>
          <w:tcPr>
            <w:tcW w:type="dxa" w:w="7960"/>
            <w:tcBorders>
              <w:top w:val="single" w:color="E67E22" w:sz="1"/>
              <w:left w:val="single" w:color="E67E22" w:sz="1"/>
              <w:bottom w:val="single" w:color="E67E22" w:sz="1"/>
              <w:right w:val="single" w:color="E67E22" w:sz="1"/>
            </w:tcBorders>
            <w:shd w:fill="FEF3E2" w:val="clear"/>
            <w:tcMar>
              <w:top w:type="dxa" w:w="100"/>
              <w:left w:type="dxa" w:w="150"/>
              <w:bottom w:type="dxa" w:w="100"/>
              <w:right w:type="dxa" w:w="150"/>
            </w:tcMar>
          </w:tcPr>
          <w:p>
            <w:r>
              <w:rPr>
                <w:rFonts w:ascii="Arial" w:cs="Arial" w:eastAsia="Arial" w:hAnsi="Arial"/>
                <w:color w:val="1C2833"/>
                <w:sz w:val="20"/>
                <w:szCs w:val="20"/>
              </w:rPr>
              <w:t xml:space="preserve">Twenty is fully open-source (MIT licence), self-hostable, and schema-driven with 44,000+ GitHub stars. It avoids per-seat SaaS fees — critical for an Africa-based SME — while offering a Salesforce-class feature set including custom objects, two-way email sync, workflows, webhooks, and REST + GraphQL APIs.</w:t>
            </w:r>
          </w:p>
        </w:tc>
      </w:tr>
    </w:tbl>
    <w:p>
      <w:r>
        <w:br w:type="page"/>
      </w:r>
    </w:p>
    <w:p>
      <w:pPr>
        <w:pStyle w:val="Heading1"/>
        <w:pBdr>
          <w:bottom w:val="single" w:color="1A56A0" w:sz="6" w:space="6"/>
        </w:pBdr>
        <w:spacing w:after="200" w:before="360"/>
      </w:pPr>
      <w:r>
        <w:rPr>
          <w:rFonts w:ascii="Arial" w:cs="Arial" w:eastAsia="Arial" w:hAnsi="Arial"/>
          <w:b/>
          <w:bCs/>
          <w:color w:val="1A56A0"/>
          <w:sz w:val="36"/>
          <w:szCs w:val="36"/>
        </w:rPr>
        <w:t xml:space="preserve">2. About Twenty CRM</w:t>
      </w:r>
    </w:p>
    <w:p>
      <w:pPr>
        <w:pStyle w:val="Heading2"/>
        <w:spacing w:after="140" w:before="280"/>
      </w:pPr>
      <w:r>
        <w:rPr>
          <w:rFonts w:ascii="Arial" w:cs="Arial" w:eastAsia="Arial" w:hAnsi="Arial"/>
          <w:b/>
          <w:bCs/>
          <w:color w:val="1C2833"/>
          <w:sz w:val="28"/>
          <w:szCs w:val="28"/>
        </w:rPr>
        <w:t xml:space="preserve">2.1 What is Twenty?</w:t>
      </w:r>
    </w:p>
    <w:p>
      <w:pPr>
        <w:spacing w:after="120" w:before="0"/>
        <w:jc w:val="left"/>
      </w:pPr>
      <w:r>
        <w:rPr>
          <w:rFonts w:ascii="Arial" w:cs="Arial" w:eastAsia="Arial" w:hAnsi="Arial"/>
          <w:b w:val="false"/>
          <w:bCs w:val="false"/>
          <w:i w:val="false"/>
          <w:iCs w:val="false"/>
          <w:color w:val="1C2833"/>
          <w:sz w:val="22"/>
          <w:szCs w:val="22"/>
        </w:rPr>
        <w:t xml:space="preserve">Twenty is a modern, open-source CRM built as a direct alternative to Salesforce and HubSpot. It is schema-driven: every custom object, field, or relation you create automatically generates matching REST and GraphQL API endpoints with no additional code. Workspaces are multi-tenant, and the Metadata API allows schema changes to be version-controlled and deployed via CI/CD pipelines.</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Layer</w:t>
            </w:r>
          </w:p>
        </w:tc>
        <w:tc>
          <w:tcPr>
            <w:tcW w:type="dxa" w:w="71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Technology</w:t>
            </w:r>
          </w:p>
        </w:tc>
      </w:tr>
      <w:tr>
        <w:tc>
          <w:tcPr>
            <w:tcW w:type="dxa" w:w="22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Backend</w:t>
            </w:r>
          </w:p>
        </w:tc>
        <w:tc>
          <w:tcPr>
            <w:tcW w:type="dxa" w:w="71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NestJS + TypeScript, BullMQ for background jobs and AI agent execution</w:t>
            </w:r>
          </w:p>
        </w:tc>
      </w:tr>
      <w:tr>
        <w:tc>
          <w:tcPr>
            <w:tcW w:type="dxa" w:w="22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Frontend</w:t>
            </w:r>
          </w:p>
        </w:tc>
        <w:tc>
          <w:tcPr>
            <w:tcW w:type="dxa" w:w="71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React 18, Recoil state management, Emotion CSS-in-JS, Lingui i18n</w:t>
            </w:r>
          </w:p>
        </w:tc>
      </w:tr>
      <w:tr>
        <w:tc>
          <w:tcPr>
            <w:tcW w:type="dxa" w:w="22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Database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PostgreSQL 15 — multi-tenant schema per workspace</w:t>
            </w:r>
          </w:p>
        </w:tc>
      </w:tr>
      <w:tr>
        <w:tc>
          <w:tcPr>
            <w:tcW w:type="dxa" w:w="22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Cache / Queue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Redis 7</w:t>
            </w:r>
          </w:p>
        </w:tc>
      </w:tr>
      <w:tr>
        <w:tc>
          <w:tcPr>
            <w:tcW w:type="dxa" w:w="22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API</w:t>
            </w:r>
          </w:p>
        </w:tc>
        <w:tc>
          <w:tcPr>
            <w:tcW w:type="dxa" w:w="71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REST (/rest/) + GraphQL (/graphql/) — Core and Metadata APIs</w:t>
            </w:r>
          </w:p>
        </w:tc>
      </w:tr>
      <w:tr>
        <w:tc>
          <w:tcPr>
            <w:tcW w:type="dxa" w:w="22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Deployment</w:t>
            </w:r>
          </w:p>
        </w:tc>
        <w:tc>
          <w:tcPr>
            <w:tcW w:type="dxa" w:w="71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Docker Compose (single VM) or Kubernetes (high-availability option)</w:t>
            </w:r>
          </w:p>
        </w:tc>
      </w:tr>
      <w:tr>
        <w:tc>
          <w:tcPr>
            <w:tcW w:type="dxa" w:w="22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Licence</w:t>
            </w:r>
          </w:p>
        </w:tc>
        <w:tc>
          <w:tcPr>
            <w:tcW w:type="dxa" w:w="71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MIT — no seat fees, no vendor lock-in, full source access</w:t>
            </w:r>
          </w:p>
        </w:tc>
      </w:tr>
    </w:tbl>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2.3 Key Features Relevant to Nanosoft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Feature</w:t>
            </w:r>
          </w:p>
        </w:tc>
        <w:tc>
          <w:tcPr>
            <w:tcW w:type="dxa" w:w="65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Details</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Custom Objects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Create Product, Contract, Ticket objects — each auto-gets REST + GraphQL endpoints</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Kanban Pipeline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Drag-and-drop opportunity stages; edit stages inline; real-time updates</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Email Sync</w:t>
            </w:r>
          </w:p>
        </w:tc>
        <w:tc>
          <w:tcPr>
            <w:tcW w:type="dxa" w:w="6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Two-way Google Workspace and Microsoft 365 sync; threads auto-logged on records</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Workflow Engine</w:t>
            </w:r>
          </w:p>
        </w:tc>
        <w:tc>
          <w:tcPr>
            <w:tcW w:type="dxa" w:w="6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No-code triggers, conditions, HTTP requests, webhooks, serverless functions</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Webhooks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Real-time push to external systems; filter by object type and event action</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Metadata API</w:t>
            </w:r>
          </w:p>
        </w:tc>
        <w:tc>
          <w:tcPr>
            <w:tcW w:type="dxa" w:w="6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Programmatically create/modify schema — ideal for CI/CD and integration scripts</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Role-Based Access</w:t>
            </w:r>
          </w:p>
        </w:tc>
        <w:tc>
          <w:tcPr>
            <w:tcW w:type="dxa" w:w="6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Member roles, API key scoping, workspace isolation per team</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AI Ready</w:t>
            </w:r>
          </w:p>
        </w:tc>
        <w:tc>
          <w:tcPr>
            <w:tcW w:type="dxa" w:w="6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BullMQ job queue infrastructure supports AI agent execution and LLM-powered automation</w:t>
            </w:r>
          </w:p>
        </w:tc>
      </w:tr>
    </w:tbl>
    <w:p>
      <w:pPr>
        <w:spacing w:after="120" w:before="0"/>
        <w:jc w:val="left"/>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1A56A0" w:sz="6" w:space="6"/>
        </w:pBdr>
        <w:spacing w:after="200" w:before="360"/>
      </w:pPr>
      <w:r>
        <w:rPr>
          <w:rFonts w:ascii="Arial" w:cs="Arial" w:eastAsia="Arial" w:hAnsi="Arial"/>
          <w:b/>
          <w:bCs/>
          <w:color w:val="1A56A0"/>
          <w:sz w:val="36"/>
          <w:szCs w:val="36"/>
        </w:rPr>
        <w:t xml:space="preserve">3. Infrastructure &amp; Deployment</w:t>
      </w:r>
    </w:p>
    <w:p>
      <w:pPr>
        <w:pStyle w:val="Heading2"/>
        <w:spacing w:after="140" w:before="280"/>
      </w:pPr>
      <w:r>
        <w:rPr>
          <w:rFonts w:ascii="Arial" w:cs="Arial" w:eastAsia="Arial" w:hAnsi="Arial"/>
          <w:b/>
          <w:bCs/>
          <w:color w:val="1C2833"/>
          <w:sz w:val="28"/>
          <w:szCs w:val="28"/>
        </w:rPr>
        <w:t xml:space="preserve">3.1 Server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67E22" w:sz="1"/>
              <w:left w:val="single" w:color="E67E22" w:sz="1"/>
              <w:bottom w:val="single" w:color="E67E22" w:sz="1"/>
              <w:right w:val="single" w:color="E67E22"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MINIMUM</w:t>
            </w:r>
          </w:p>
        </w:tc>
        <w:tc>
          <w:tcPr>
            <w:tcW w:type="dxa" w:w="7960"/>
            <w:tcBorders>
              <w:top w:val="single" w:color="E67E22" w:sz="1"/>
              <w:left w:val="single" w:color="E67E22" w:sz="1"/>
              <w:bottom w:val="single" w:color="E67E22" w:sz="1"/>
              <w:right w:val="single" w:color="E67E22" w:sz="1"/>
            </w:tcBorders>
            <w:shd w:fill="FEF3E2" w:val="clear"/>
            <w:tcMar>
              <w:top w:type="dxa" w:w="100"/>
              <w:left w:type="dxa" w:w="150"/>
              <w:bottom w:type="dxa" w:w="100"/>
              <w:right w:type="dxa" w:w="150"/>
            </w:tcMar>
          </w:tcPr>
          <w:p>
            <w:r>
              <w:rPr>
                <w:rFonts w:ascii="Arial" w:cs="Arial" w:eastAsia="Arial" w:hAnsi="Arial"/>
                <w:color w:val="1C2833"/>
                <w:sz w:val="20"/>
                <w:szCs w:val="20"/>
              </w:rPr>
              <w:t xml:space="preserve">2 GB RAM, 2 vCPU, 20 GB SSD. Twenty at idle uses ~950 MB total across PostgreSQL, Redis, and the application server.</w:t>
            </w:r>
          </w:p>
        </w:tc>
      </w:tr>
    </w:tbl>
    <w:p>
      <w:pPr>
        <w:spacing w:after="120" w:before="0"/>
        <w:jc w:val="left"/>
      </w:pPr>
      <w:r>
        <w:rPr>
          <w:rFonts w:ascii="Arial" w:cs="Arial" w:eastAsia="Arial" w:hAnsi="Arial"/>
          <w:b w:val="false"/>
          <w:bCs w:val="false"/>
          <w:i w:val="false"/>
          <w:iCs w:val="false"/>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Tier</w:t>
            </w:r>
          </w:p>
        </w:tc>
        <w:tc>
          <w:tcPr>
            <w:tcW w:type="dxa" w:w="30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Specification</w:t>
            </w:r>
          </w:p>
        </w:tc>
        <w:tc>
          <w:tcPr>
            <w:tcW w:type="dxa" w:w="39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Suitable For</w:t>
            </w:r>
          </w:p>
        </w:tc>
      </w:tr>
      <w:tr>
        <w:tc>
          <w:tcPr>
            <w:tcW w:type="dxa" w:w="24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Starter</w:t>
            </w:r>
          </w:p>
        </w:tc>
        <w:tc>
          <w:tcPr>
            <w:tcW w:type="dxa" w:w="3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2 vCPU / 4 GB / 40 GB SSD</w:t>
            </w:r>
          </w:p>
        </w:tc>
        <w:tc>
          <w:tcPr>
            <w:tcW w:type="dxa" w:w="39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Pilot, up to 10 users</w:t>
            </w:r>
          </w:p>
        </w:tc>
      </w:tr>
      <w:tr>
        <w:tc>
          <w:tcPr>
            <w:tcW w:type="dxa" w:w="2400"/>
            <w:tcBorders>
              <w:top w:val="single" w:color="B0BEC5" w:sz="1"/>
              <w:left w:val="single" w:color="B0BEC5" w:sz="1"/>
              <w:bottom w:val="single" w:color="B0BEC5" w:sz="1"/>
              <w:right w:val="single" w:color="B0BEC5" w:sz="1"/>
            </w:tcBorders>
            <w:shd w:fill="D0E4F7" w:val="clear"/>
            <w:tcMar>
              <w:top w:type="dxa" w:w="80"/>
              <w:left w:type="dxa" w:w="150"/>
              <w:bottom w:type="dxa" w:w="80"/>
              <w:right w:type="dxa" w:w="150"/>
            </w:tcMar>
          </w:tcPr>
          <w:p>
            <w:r>
              <w:rPr>
                <w:rFonts w:ascii="Arial" w:cs="Arial" w:eastAsia="Arial" w:hAnsi="Arial"/>
                <w:b w:val="false"/>
                <w:bCs w:val="false"/>
                <w:color w:val="1C2833"/>
                <w:sz w:val="20"/>
                <w:szCs w:val="20"/>
              </w:rPr>
              <w:t xml:space="preserve">Recommended</w:t>
            </w:r>
          </w:p>
        </w:tc>
        <w:tc>
          <w:tcPr>
            <w:tcW w:type="dxa" w:w="3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4 vCPU / 8 GB / 80 GB SSD</w:t>
            </w:r>
          </w:p>
        </w:tc>
        <w:tc>
          <w:tcPr>
            <w:tcW w:type="dxa" w:w="39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10–50 users, email sync active</w:t>
            </w:r>
          </w:p>
        </w:tc>
      </w:tr>
      <w:tr>
        <w:tc>
          <w:tcPr>
            <w:tcW w:type="dxa" w:w="24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Production HA</w:t>
            </w:r>
          </w:p>
        </w:tc>
        <w:tc>
          <w:tcPr>
            <w:tcW w:type="dxa" w:w="3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8 vCPU / 16 GB / 200 GB SSD + replica</w:t>
            </w:r>
          </w:p>
        </w:tc>
        <w:tc>
          <w:tcPr>
            <w:tcW w:type="dxa" w:w="39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50+ users, high availability</w:t>
            </w:r>
          </w:p>
        </w:tc>
      </w:tr>
    </w:tbl>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3.2 Recommended Deployment — Docker Compose on Ubuntu 22.04 LTS</w:t>
      </w:r>
    </w:p>
    <w:p>
      <w:pPr>
        <w:spacing w:after="120" w:before="0"/>
        <w:jc w:val="left"/>
      </w:pPr>
      <w:r>
        <w:rPr>
          <w:rFonts w:ascii="Arial" w:cs="Arial" w:eastAsia="Arial" w:hAnsi="Arial"/>
          <w:b w:val="false"/>
          <w:bCs w:val="false"/>
          <w:i w:val="false"/>
          <w:iCs w:val="false"/>
          <w:color w:val="1C2833"/>
          <w:sz w:val="22"/>
          <w:szCs w:val="22"/>
        </w:rPr>
        <w:t xml:space="preserve">This is the simplest, most maintainable approach for Phase 1. All components run in isolated Docker containers on a single Linux server. Scaling to Kubernetes can be done later without data migration.</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3"/>
        <w:spacing w:after="100" w:before="200"/>
      </w:pPr>
      <w:r>
        <w:rPr>
          <w:rFonts w:ascii="Arial" w:cs="Arial" w:eastAsia="Arial" w:hAnsi="Arial"/>
          <w:b/>
          <w:bCs/>
          <w:color w:val="5D6D7E"/>
          <w:sz w:val="24"/>
          <w:szCs w:val="24"/>
        </w:rPr>
        <w:t xml:space="preserve">Step 1 — Prepare the server</w:t>
      </w:r>
    </w:p>
    <w:p>
      <w:pPr>
        <w:shd w:fill="F4F6F9" w:val="clear"/>
        <w:spacing w:after="40" w:before="40"/>
      </w:pPr>
      <w:r>
        <w:rPr>
          <w:rFonts w:ascii="Courier New" w:cs="Courier New" w:eastAsia="Courier New" w:hAnsi="Courier New"/>
          <w:color w:val="333333"/>
          <w:sz w:val="18"/>
          <w:szCs w:val="18"/>
        </w:rPr>
        <w:t xml:space="preserve">sudo apt-get update &amp;&amp; sudo apt-get install -y docker.io docker-compose-v2 nginx certbot python3-certbot-nginx</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3"/>
        <w:spacing w:after="100" w:before="200"/>
      </w:pPr>
      <w:r>
        <w:rPr>
          <w:rFonts w:ascii="Arial" w:cs="Arial" w:eastAsia="Arial" w:hAnsi="Arial"/>
          <w:b/>
          <w:bCs/>
          <w:color w:val="5D6D7E"/>
          <w:sz w:val="24"/>
          <w:szCs w:val="24"/>
        </w:rPr>
        <w:t xml:space="preserve">Step 2 — One-line Twenty install (latest stable)</w:t>
      </w:r>
    </w:p>
    <w:p>
      <w:pPr>
        <w:shd w:fill="F4F6F9" w:val="clear"/>
        <w:spacing w:after="40" w:before="40"/>
      </w:pPr>
      <w:r>
        <w:rPr>
          <w:rFonts w:ascii="Courier New" w:cs="Courier New" w:eastAsia="Courier New" w:hAnsi="Courier New"/>
          <w:color w:val="333333"/>
          <w:sz w:val="18"/>
          <w:szCs w:val="18"/>
        </w:rPr>
        <w:t xml:space="preserve">bash &lt;(curl -sL https://raw.githubusercontent.com/twentyhq/twenty/main/packages/twenty-docker/scripts/install.sh)</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3"/>
        <w:spacing w:after="100" w:before="200"/>
      </w:pPr>
      <w:r>
        <w:rPr>
          <w:rFonts w:ascii="Arial" w:cs="Arial" w:eastAsia="Arial" w:hAnsi="Arial"/>
          <w:b/>
          <w:bCs/>
          <w:color w:val="5D6D7E"/>
          <w:sz w:val="24"/>
          <w:szCs w:val="24"/>
        </w:rPr>
        <w:t xml:space="preserve">Step 3 — Configure the .env file</w:t>
      </w:r>
    </w:p>
    <w:p>
      <w:pPr>
        <w:shd w:fill="F4F6F9" w:val="clear"/>
        <w:spacing w:after="40" w:before="40"/>
      </w:pPr>
      <w:r>
        <w:rPr>
          <w:rFonts w:ascii="Courier New" w:cs="Courier New" w:eastAsia="Courier New" w:hAnsi="Courier New"/>
          <w:color w:val="333333"/>
          <w:sz w:val="18"/>
          <w:szCs w:val="18"/>
        </w:rPr>
        <w:t xml:space="preserve">ENCRYPTION_KEY=$(openssl rand -base64 32)   # Keep secret — losing it locks out all OAuth tokens</w:t>
      </w:r>
    </w:p>
    <w:p>
      <w:pPr>
        <w:shd w:fill="F4F6F9" w:val="clear"/>
        <w:spacing w:after="40" w:before="40"/>
      </w:pPr>
      <w:r>
        <w:rPr>
          <w:rFonts w:ascii="Courier New" w:cs="Courier New" w:eastAsia="Courier New" w:hAnsi="Courier New"/>
          <w:color w:val="333333"/>
          <w:sz w:val="18"/>
          <w:szCs w:val="18"/>
        </w:rPr>
        <w:t xml:space="preserve">PG_DATABASE_PASSWORD=&lt;strong_password_no_special_chars&gt;</w:t>
      </w:r>
    </w:p>
    <w:p>
      <w:pPr>
        <w:shd w:fill="F4F6F9" w:val="clear"/>
        <w:spacing w:after="40" w:before="40"/>
      </w:pPr>
      <w:r>
        <w:rPr>
          <w:rFonts w:ascii="Courier New" w:cs="Courier New" w:eastAsia="Courier New" w:hAnsi="Courier New"/>
          <w:color w:val="333333"/>
          <w:sz w:val="18"/>
          <w:szCs w:val="18"/>
        </w:rPr>
        <w:t xml:space="preserve">SERVER_URL=https://crm.nanosoft.co.ke</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3"/>
        <w:spacing w:after="100" w:before="200"/>
      </w:pPr>
      <w:r>
        <w:rPr>
          <w:rFonts w:ascii="Arial" w:cs="Arial" w:eastAsia="Arial" w:hAnsi="Arial"/>
          <w:b/>
          <w:bCs/>
          <w:color w:val="5D6D7E"/>
          <w:sz w:val="24"/>
          <w:szCs w:val="24"/>
        </w:rPr>
        <w:t xml:space="preserve">Step 4 — Launch containers</w:t>
      </w:r>
    </w:p>
    <w:p>
      <w:pPr>
        <w:shd w:fill="F4F6F9" w:val="clear"/>
        <w:spacing w:after="40" w:before="40"/>
      </w:pPr>
      <w:r>
        <w:rPr>
          <w:rFonts w:ascii="Courier New" w:cs="Courier New" w:eastAsia="Courier New" w:hAnsi="Courier New"/>
          <w:color w:val="333333"/>
          <w:sz w:val="18"/>
          <w:szCs w:val="18"/>
        </w:rPr>
        <w:t xml:space="preserve">docker compose up -d</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3"/>
        <w:spacing w:after="100" w:before="200"/>
      </w:pPr>
      <w:r>
        <w:rPr>
          <w:rFonts w:ascii="Arial" w:cs="Arial" w:eastAsia="Arial" w:hAnsi="Arial"/>
          <w:b/>
          <w:bCs/>
          <w:color w:val="5D6D7E"/>
          <w:sz w:val="24"/>
          <w:szCs w:val="24"/>
        </w:rPr>
        <w:t xml:space="preserve">Step 5 — SSL via Nginx + Certbot</w:t>
      </w:r>
    </w:p>
    <w:p>
      <w:pPr>
        <w:shd w:fill="F4F6F9" w:val="clear"/>
        <w:spacing w:after="40" w:before="40"/>
      </w:pPr>
      <w:r>
        <w:rPr>
          <w:rFonts w:ascii="Courier New" w:cs="Courier New" w:eastAsia="Courier New" w:hAnsi="Courier New"/>
          <w:color w:val="333333"/>
          <w:sz w:val="18"/>
          <w:szCs w:val="18"/>
        </w:rPr>
        <w:t xml:space="preserve">certbot --nginx -d crm.nanosoft.co.ke</w:t>
      </w:r>
    </w:p>
    <w:p>
      <w:pPr>
        <w:spacing w:after="120" w:before="0"/>
        <w:jc w:val="left"/>
      </w:pPr>
      <w:r>
        <w:rPr>
          <w:rFonts w:ascii="Arial" w:cs="Arial" w:eastAsia="Arial" w:hAnsi="Arial"/>
          <w:b w:val="false"/>
          <w:bCs w:val="false"/>
          <w:i w:val="false"/>
          <w:iCs w:val="false"/>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67E22" w:sz="1"/>
              <w:left w:val="single" w:color="E67E22" w:sz="1"/>
              <w:bottom w:val="single" w:color="E67E22" w:sz="1"/>
              <w:right w:val="single" w:color="E67E22"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IMPORTANT</w:t>
            </w:r>
          </w:p>
        </w:tc>
        <w:tc>
          <w:tcPr>
            <w:tcW w:type="dxa" w:w="7960"/>
            <w:tcBorders>
              <w:top w:val="single" w:color="E67E22" w:sz="1"/>
              <w:left w:val="single" w:color="E67E22" w:sz="1"/>
              <w:bottom w:val="single" w:color="E67E22" w:sz="1"/>
              <w:right w:val="single" w:color="E67E22" w:sz="1"/>
            </w:tcBorders>
            <w:shd w:fill="FEF3E2" w:val="clear"/>
            <w:tcMar>
              <w:top w:type="dxa" w:w="100"/>
              <w:left w:type="dxa" w:w="150"/>
              <w:bottom w:type="dxa" w:w="100"/>
              <w:right w:type="dxa" w:w="150"/>
            </w:tcMar>
          </w:tcPr>
          <w:p>
            <w:r>
              <w:rPr>
                <w:rFonts w:ascii="Arial" w:cs="Arial" w:eastAsia="Arial" w:hAnsi="Arial"/>
                <w:color w:val="1C2833"/>
                <w:sz w:val="20"/>
                <w:szCs w:val="20"/>
              </w:rPr>
              <w:t xml:space="preserve">SERVER_URL must exactly match the URL users type in their browser. If SSL is configured, use https://. Mismatch causes clipboard API and other browser features to fail.</w:t>
            </w:r>
          </w:p>
        </w:tc>
      </w:tr>
    </w:tbl>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3.3 Automated Daily Backups</w:t>
      </w:r>
    </w:p>
    <w:p>
      <w:pPr>
        <w:spacing w:after="120" w:before="0"/>
        <w:jc w:val="left"/>
      </w:pPr>
      <w:r>
        <w:rPr>
          <w:rFonts w:ascii="Arial" w:cs="Arial" w:eastAsia="Arial" w:hAnsi="Arial"/>
          <w:b w:val="false"/>
          <w:bCs w:val="false"/>
          <w:i w:val="false"/>
          <w:iCs w:val="false"/>
          <w:color w:val="1C2833"/>
          <w:sz w:val="22"/>
          <w:szCs w:val="22"/>
        </w:rPr>
        <w:t xml:space="preserve">Add to crontab on the host server (crontab -e):</w:t>
      </w:r>
    </w:p>
    <w:p>
      <w:pPr>
        <w:shd w:fill="F4F6F9" w:val="clear"/>
        <w:spacing w:after="40" w:before="40"/>
      </w:pPr>
      <w:r>
        <w:rPr>
          <w:rFonts w:ascii="Courier New" w:cs="Courier New" w:eastAsia="Courier New" w:hAnsi="Courier New"/>
          <w:color w:val="333333"/>
          <w:sz w:val="18"/>
          <w:szCs w:val="18"/>
        </w:rPr>
        <w:t xml:space="preserve">0 2 * * * docker exec twenty-postgres pg_dump -U postgres twenty &gt; /backups/twenty_$(date +\%Y\%m\%d).sql</w:t>
      </w:r>
    </w:p>
    <w:p>
      <w:pPr>
        <w:spacing w:after="120" w:before="0"/>
        <w:jc w:val="left"/>
      </w:pPr>
      <w:r>
        <w:rPr>
          <w:rFonts w:ascii="Arial" w:cs="Arial" w:eastAsia="Arial" w:hAnsi="Arial"/>
          <w:b w:val="false"/>
          <w:bCs w:val="false"/>
          <w:i w:val="false"/>
          <w:iCs w:val="false"/>
          <w:color w:val="1C2833"/>
          <w:sz w:val="22"/>
          <w:szCs w:val="22"/>
        </w:rPr>
        <w:t xml:space="preserve">Store backup files in Google Cloud Storage or AWS S3 bucket for off-site retention. Test restores monthly.</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3.4 Upgrade Procedure</w:t>
      </w:r>
    </w:p>
    <w:p>
      <w:pPr>
        <w:spacing w:after="120" w:before="0"/>
        <w:jc w:val="left"/>
      </w:pPr>
      <w:r>
        <w:rPr>
          <w:rFonts w:ascii="Arial" w:cs="Arial" w:eastAsia="Arial" w:hAnsi="Arial"/>
          <w:b w:val="false"/>
          <w:bCs w:val="false"/>
          <w:i w:val="false"/>
          <w:iCs w:val="false"/>
          <w:color w:val="1C2833"/>
          <w:sz w:val="22"/>
          <w:szCs w:val="22"/>
        </w:rPr>
        <w:t xml:space="preserve">Always take a pg_dump backup before upgrading. Migrations are forward-only.</w:t>
      </w:r>
    </w:p>
    <w:p>
      <w:pPr>
        <w:pStyle w:val="ListParagraph"/>
        <w:numPr>
          <w:ilvl w:val="0"/>
          <w:numId w:val="3"/>
        </w:numPr>
        <w:spacing w:after="40" w:before="40"/>
      </w:pPr>
      <w:r>
        <w:rPr>
          <w:rFonts w:ascii="Arial" w:cs="Arial" w:eastAsia="Arial" w:hAnsi="Arial"/>
          <w:color w:val="1C2833"/>
          <w:sz w:val="22"/>
          <w:szCs w:val="22"/>
        </w:rPr>
        <w:t xml:space="preserve">docker compose pull</w:t>
      </w:r>
    </w:p>
    <w:p>
      <w:pPr>
        <w:pStyle w:val="ListParagraph"/>
        <w:numPr>
          <w:ilvl w:val="0"/>
          <w:numId w:val="3"/>
        </w:numPr>
        <w:spacing w:after="40" w:before="40"/>
      </w:pPr>
      <w:r>
        <w:rPr>
          <w:rFonts w:ascii="Arial" w:cs="Arial" w:eastAsia="Arial" w:hAnsi="Arial"/>
          <w:color w:val="1C2833"/>
          <w:sz w:val="22"/>
          <w:szCs w:val="22"/>
        </w:rPr>
        <w:t xml:space="preserve">docker compose run --rm api yarn database:migrate:prod</w:t>
      </w:r>
    </w:p>
    <w:p>
      <w:pPr>
        <w:pStyle w:val="ListParagraph"/>
        <w:numPr>
          <w:ilvl w:val="0"/>
          <w:numId w:val="3"/>
        </w:numPr>
        <w:spacing w:after="40" w:before="40"/>
      </w:pPr>
      <w:r>
        <w:rPr>
          <w:rFonts w:ascii="Arial" w:cs="Arial" w:eastAsia="Arial" w:hAnsi="Arial"/>
          <w:color w:val="1C2833"/>
          <w:sz w:val="22"/>
          <w:szCs w:val="22"/>
        </w:rPr>
        <w:t xml:space="preserve">docker compose up -d</w:t>
      </w:r>
    </w:p>
    <w:p>
      <w:pPr>
        <w:spacing w:after="120" w:before="0"/>
        <w:jc w:val="left"/>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1A56A0" w:sz="6" w:space="6"/>
        </w:pBdr>
        <w:spacing w:after="200" w:before="360"/>
      </w:pPr>
      <w:r>
        <w:rPr>
          <w:rFonts w:ascii="Arial" w:cs="Arial" w:eastAsia="Arial" w:hAnsi="Arial"/>
          <w:b/>
          <w:bCs/>
          <w:color w:val="1A56A0"/>
          <w:sz w:val="36"/>
          <w:szCs w:val="36"/>
        </w:rPr>
        <w:t xml:space="preserve">4. Nanosoft CRM Data Model</w:t>
      </w:r>
    </w:p>
    <w:p>
      <w:pPr>
        <w:spacing w:after="120" w:before="0"/>
        <w:jc w:val="left"/>
      </w:pPr>
      <w:r>
        <w:rPr>
          <w:rFonts w:ascii="Arial" w:cs="Arial" w:eastAsia="Arial" w:hAnsi="Arial"/>
          <w:b w:val="false"/>
          <w:bCs w:val="false"/>
          <w:i w:val="false"/>
          <w:iCs w:val="false"/>
          <w:color w:val="1C2833"/>
          <w:sz w:val="22"/>
          <w:szCs w:val="22"/>
        </w:rPr>
        <w:t xml:space="preserve">Twenty's schema-per-tenant architecture means every object you define immediately generates its own REST and GraphQL API endpoints. The model below is designed specifically for Nanosoft's IT solutions business.</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4.1 Standard Objects (Built-in)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Object</w:t>
            </w:r>
          </w:p>
        </w:tc>
        <w:tc>
          <w:tcPr>
            <w:tcW w:type="dxa" w:w="35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Purpose at Nanosoft</w:t>
            </w:r>
          </w:p>
        </w:tc>
        <w:tc>
          <w:tcPr>
            <w:tcW w:type="dxa" w:w="3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Key Fields</w:t>
            </w:r>
          </w:p>
        </w:tc>
      </w:tr>
      <w:tr>
        <w:tc>
          <w:tcPr>
            <w:tcW w:type="dxa" w:w="20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People</w:t>
            </w:r>
          </w:p>
        </w:tc>
        <w:tc>
          <w:tcPr>
            <w:tcW w:type="dxa" w:w="3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IT managers, procurement officers, HR heads at client orgs</w:t>
            </w:r>
          </w:p>
        </w:tc>
        <w:tc>
          <w:tcPr>
            <w:tcW w:type="dxa" w:w="3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Name, email, phone, job title, linked company</w:t>
            </w:r>
          </w:p>
        </w:tc>
      </w:tr>
      <w:tr>
        <w:tc>
          <w:tcPr>
            <w:tcW w:type="dxa" w:w="20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Companies</w:t>
            </w:r>
          </w:p>
        </w:tc>
        <w:tc>
          <w:tcPr>
            <w:tcW w:type="dxa" w:w="3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Client businesses: Porsche Kenya, Kensalt, Grant Thornton, Nairobi Sports House, etc.</w:t>
            </w:r>
          </w:p>
        </w:tc>
        <w:tc>
          <w:tcPr>
            <w:tcW w:type="dxa" w:w="3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Name, industry, employee count, country, domain</w:t>
            </w:r>
          </w:p>
        </w:tc>
      </w:tr>
      <w:tr>
        <w:tc>
          <w:tcPr>
            <w:tcW w:type="dxa" w:w="20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Opportunities</w:t>
            </w:r>
          </w:p>
        </w:tc>
        <w:tc>
          <w:tcPr>
            <w:tcW w:type="dxa" w:w="3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Active sales deals — new licences, upgrades, hardware security projects</w:t>
            </w:r>
          </w:p>
        </w:tc>
        <w:tc>
          <w:tcPr>
            <w:tcW w:type="dxa" w:w="3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Name, value (KES), stage, close date, linked company</w:t>
            </w:r>
          </w:p>
        </w:tc>
      </w:tr>
      <w:tr>
        <w:tc>
          <w:tcPr>
            <w:tcW w:type="dxa" w:w="20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Notes / Tasks</w:t>
            </w:r>
          </w:p>
        </w:tc>
        <w:tc>
          <w:tcPr>
            <w:tcW w:type="dxa" w:w="3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Meeting minutes, follow-up tasks, support call logs</w:t>
            </w:r>
          </w:p>
        </w:tc>
        <w:tc>
          <w:tcPr>
            <w:tcW w:type="dxa" w:w="3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Title, body, due date, assignee, related record</w:t>
            </w:r>
          </w:p>
        </w:tc>
      </w:tr>
    </w:tbl>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4.2 Custom Objects (Nanosoft-Specific)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67E22" w:sz="1"/>
              <w:left w:val="single" w:color="E67E22" w:sz="1"/>
              <w:bottom w:val="single" w:color="E67E22" w:sz="1"/>
              <w:right w:val="single" w:color="E67E22"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TO CREATE</w:t>
            </w:r>
          </w:p>
        </w:tc>
        <w:tc>
          <w:tcPr>
            <w:tcW w:type="dxa" w:w="7960"/>
            <w:tcBorders>
              <w:top w:val="single" w:color="E67E22" w:sz="1"/>
              <w:left w:val="single" w:color="E67E22" w:sz="1"/>
              <w:bottom w:val="single" w:color="E67E22" w:sz="1"/>
              <w:right w:val="single" w:color="E67E22" w:sz="1"/>
            </w:tcBorders>
            <w:shd w:fill="FEF3E2" w:val="clear"/>
            <w:tcMar>
              <w:top w:type="dxa" w:w="100"/>
              <w:left w:type="dxa" w:w="150"/>
              <w:bottom w:type="dxa" w:w="100"/>
              <w:right w:type="dxa" w:w="150"/>
            </w:tcMar>
          </w:tcPr>
          <w:p>
            <w:r>
              <w:rPr>
                <w:rFonts w:ascii="Arial" w:cs="Arial" w:eastAsia="Arial" w:hAnsi="Arial"/>
                <w:color w:val="1C2833"/>
                <w:sz w:val="20"/>
                <w:szCs w:val="20"/>
              </w:rPr>
              <w:t xml:space="preserve">Go to Settings → Data Model → + Add Object. Once saved, REST endpoint /rest/&lt;objectName&gt; and GraphQL are available immediately — no code deploy required.</w:t>
            </w:r>
          </w:p>
        </w:tc>
      </w:tr>
    </w:tbl>
    <w:p>
      <w:pPr>
        <w:spacing w:after="120" w:before="0"/>
        <w:jc w:val="left"/>
      </w:pPr>
      <w:r>
        <w:rPr>
          <w:rFonts w:ascii="Arial" w:cs="Arial" w:eastAsia="Arial" w:hAnsi="Arial"/>
          <w:b w:val="false"/>
          <w:bCs w:val="false"/>
          <w:i w:val="false"/>
          <w:iCs w:val="false"/>
          <w:color w:val="1C2833"/>
          <w:sz w:val="22"/>
          <w:szCs w:val="22"/>
        </w:rPr>
        <w:t xml:space="preserve"/>
      </w:r>
    </w:p>
    <w:p>
      <w:pPr>
        <w:pStyle w:val="Heading3"/>
        <w:spacing w:after="100" w:before="200"/>
      </w:pPr>
      <w:r>
        <w:rPr>
          <w:rFonts w:ascii="Arial" w:cs="Arial" w:eastAsia="Arial" w:hAnsi="Arial"/>
          <w:b/>
          <w:bCs/>
          <w:color w:val="5D6D7E"/>
          <w:sz w:val="24"/>
          <w:szCs w:val="24"/>
        </w:rPr>
        <w:t xml:space="preserve">4.2.1  NanoProduct — Nanosoft's Product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Field Name</w:t>
            </w:r>
          </w:p>
        </w:tc>
        <w:tc>
          <w:tcPr>
            <w:tcW w:type="dxa" w:w="1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Field Type</w:t>
            </w:r>
          </w:p>
        </w:tc>
        <w:tc>
          <w:tcPr>
            <w:tcW w:type="dxa" w:w="47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Notes / Values</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productName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Text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Nano Shule, Nano Pay, Nano Safeview, Nano Access, Nano Time, Florena</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productCategory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Select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ERP | Payroll | Security | Access Control | Time Mgmt | Agriculture</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deploymentType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Select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On-Premise | Cloud-Hosted | Hybrid</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currentVersion</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Text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Latest released version string</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annualSupportFee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Currency (KES)</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Standard annual support contract amount</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productStatus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Select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Active | Sunset | Beta</w:t>
            </w:r>
          </w:p>
        </w:tc>
      </w:tr>
    </w:tbl>
    <w:p>
      <w:pPr>
        <w:spacing w:after="120" w:before="0"/>
        <w:jc w:val="left"/>
      </w:pPr>
      <w:r>
        <w:rPr>
          <w:rFonts w:ascii="Arial" w:cs="Arial" w:eastAsia="Arial" w:hAnsi="Arial"/>
          <w:b w:val="false"/>
          <w:bCs w:val="false"/>
          <w:i w:val="false"/>
          <w:iCs w:val="false"/>
          <w:color w:val="1C2833"/>
          <w:sz w:val="22"/>
          <w:szCs w:val="22"/>
        </w:rPr>
        <w:t xml:space="preserve"/>
      </w:r>
    </w:p>
    <w:p>
      <w:pPr>
        <w:pStyle w:val="Heading3"/>
        <w:spacing w:after="100" w:before="200"/>
      </w:pPr>
      <w:r>
        <w:rPr>
          <w:rFonts w:ascii="Arial" w:cs="Arial" w:eastAsia="Arial" w:hAnsi="Arial"/>
          <w:b/>
          <w:bCs/>
          <w:color w:val="5D6D7E"/>
          <w:sz w:val="24"/>
          <w:szCs w:val="24"/>
        </w:rPr>
        <w:t xml:space="preserve">4.2.2  ClientLicence — Central Renewal Tracking</w:t>
      </w:r>
    </w:p>
    <w:p>
      <w:pPr>
        <w:spacing w:after="120" w:before="0"/>
        <w:jc w:val="left"/>
      </w:pPr>
      <w:r>
        <w:rPr>
          <w:rFonts w:ascii="Arial" w:cs="Arial" w:eastAsia="Arial" w:hAnsi="Arial"/>
          <w:b w:val="false"/>
          <w:bCs w:val="false"/>
          <w:i w:val="false"/>
          <w:iCs w:val="false"/>
          <w:color w:val="1C2833"/>
          <w:sz w:val="22"/>
          <w:szCs w:val="22"/>
        </w:rPr>
        <w:t xml:space="preserve">One record per client-product combination. The renewalDate field drives all renewal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Field Name</w:t>
            </w:r>
          </w:p>
        </w:tc>
        <w:tc>
          <w:tcPr>
            <w:tcW w:type="dxa" w:w="1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Field Type</w:t>
            </w:r>
          </w:p>
        </w:tc>
        <w:tc>
          <w:tcPr>
            <w:tcW w:type="dxa" w:w="47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Notes</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licenceNumber</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Text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Auto-generated, e.g. NSL-2024-0042</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linkedCompany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Relation → Company</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Which client organisation holds this licence</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linkedProduct</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Relation → NanoProduct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Which Nanosoft solution</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licenceType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Select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Annual | Perpetual + Support | Monthly SaaS</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startDate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Date</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Licence commencement date</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renewalDate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Date</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KEY FIELD — triggers 60-day renewal workflow</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licenceStatus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Select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Active | Expired | Pending Renewal | Cancelled</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numberOfUsers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Number</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Licensed user count at client site</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annualValue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Currency (KES)</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Annual contract value — used for ARR reporting</w:t>
            </w:r>
          </w:p>
        </w:tc>
      </w:tr>
    </w:tbl>
    <w:p>
      <w:pPr>
        <w:spacing w:after="120" w:before="0"/>
        <w:jc w:val="left"/>
      </w:pPr>
      <w:r>
        <w:rPr>
          <w:rFonts w:ascii="Arial" w:cs="Arial" w:eastAsia="Arial" w:hAnsi="Arial"/>
          <w:b w:val="false"/>
          <w:bCs w:val="false"/>
          <w:i w:val="false"/>
          <w:iCs w:val="false"/>
          <w:color w:val="1C2833"/>
          <w:sz w:val="22"/>
          <w:szCs w:val="22"/>
        </w:rPr>
        <w:t xml:space="preserve"/>
      </w:r>
    </w:p>
    <w:p>
      <w:pPr>
        <w:pStyle w:val="Heading3"/>
        <w:spacing w:after="100" w:before="200"/>
      </w:pPr>
      <w:r>
        <w:rPr>
          <w:rFonts w:ascii="Arial" w:cs="Arial" w:eastAsia="Arial" w:hAnsi="Arial"/>
          <w:b/>
          <w:bCs/>
          <w:color w:val="5D6D7E"/>
          <w:sz w:val="24"/>
          <w:szCs w:val="24"/>
        </w:rPr>
        <w:t xml:space="preserve">4.2.3  SupportTicket — Technical Support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Field Name</w:t>
            </w:r>
          </w:p>
        </w:tc>
        <w:tc>
          <w:tcPr>
            <w:tcW w:type="dxa" w:w="1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Field Type</w:t>
            </w:r>
          </w:p>
        </w:tc>
        <w:tc>
          <w:tcPr>
            <w:tcW w:type="dxa" w:w="47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Notes</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ticketRef</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Text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e.g. NST-2026-001</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linkedCompany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Relation → Company</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Reporting client</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linkedProduct</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Relation → NanoProduct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Affected product</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priority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Select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Critical | High | Medium | Low</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status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Select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Open | In Progress | Awaiting Client | Resolved | Closed</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assignedEngineer</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Relation → Person</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Nanosoft staff member handling the ticket</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resolutionDate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Date</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Date resolved — used for SLA calculation</w:t>
            </w:r>
          </w:p>
        </w:tc>
      </w:tr>
    </w:tbl>
    <w:p>
      <w:pPr>
        <w:spacing w:after="120" w:before="0"/>
        <w:jc w:val="left"/>
      </w:pPr>
      <w:r>
        <w:rPr>
          <w:rFonts w:ascii="Arial" w:cs="Arial" w:eastAsia="Arial" w:hAnsi="Arial"/>
          <w:b w:val="false"/>
          <w:bCs w:val="false"/>
          <w:i w:val="false"/>
          <w:iCs w:val="false"/>
          <w:color w:val="1C2833"/>
          <w:sz w:val="22"/>
          <w:szCs w:val="22"/>
        </w:rPr>
        <w:t xml:space="preserve"/>
      </w:r>
    </w:p>
    <w:p>
      <w:pPr>
        <w:pStyle w:val="Heading3"/>
        <w:spacing w:after="100" w:before="200"/>
      </w:pPr>
      <w:r>
        <w:rPr>
          <w:rFonts w:ascii="Arial" w:cs="Arial" w:eastAsia="Arial" w:hAnsi="Arial"/>
          <w:b/>
          <w:bCs/>
          <w:color w:val="5D6D7E"/>
          <w:sz w:val="24"/>
          <w:szCs w:val="24"/>
        </w:rPr>
        <w:t xml:space="preserve">4.2.4  ProjectDeliverable — Bespoke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Field Name</w:t>
            </w:r>
          </w:p>
        </w:tc>
        <w:tc>
          <w:tcPr>
            <w:tcW w:type="dxa" w:w="1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Field Type</w:t>
            </w:r>
          </w:p>
        </w:tc>
        <w:tc>
          <w:tcPr>
            <w:tcW w:type="dxa" w:w="47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Notes</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deliverableTitle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Text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e.g. 'Nano Shule v4 Phase 2 Go-Live'</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linkedCompany</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Relation → Company</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Client commissioning the work</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deliverableType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Select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Installation | Training | Customisation | Go-Live | Integration</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plannedDate</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Date</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Scheduled delivery date</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deliverableStatus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Select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Not Started | In Progress | Complete | Delayed</w:t>
            </w:r>
          </w:p>
        </w:tc>
      </w:tr>
    </w:tbl>
    <w:p>
      <w:pPr>
        <w:spacing w:after="120" w:before="0"/>
        <w:jc w:val="left"/>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1A56A0" w:sz="6" w:space="6"/>
        </w:pBdr>
        <w:spacing w:after="200" w:before="360"/>
      </w:pPr>
      <w:r>
        <w:rPr>
          <w:rFonts w:ascii="Arial" w:cs="Arial" w:eastAsia="Arial" w:hAnsi="Arial"/>
          <w:b/>
          <w:bCs/>
          <w:color w:val="1A56A0"/>
          <w:sz w:val="36"/>
          <w:szCs w:val="36"/>
        </w:rPr>
        <w:t xml:space="preserve">5. Sales Pipeline Configuration</w:t>
      </w:r>
    </w:p>
    <w:p>
      <w:pPr>
        <w:spacing w:after="120" w:before="0"/>
        <w:jc w:val="left"/>
      </w:pPr>
      <w:r>
        <w:rPr>
          <w:rFonts w:ascii="Arial" w:cs="Arial" w:eastAsia="Arial" w:hAnsi="Arial"/>
          <w:b w:val="false"/>
          <w:bCs w:val="false"/>
          <w:i w:val="false"/>
          <w:iCs w:val="false"/>
          <w:color w:val="1C2833"/>
          <w:sz w:val="22"/>
          <w:szCs w:val="22"/>
        </w:rPr>
        <w:t xml:space="preserve">Configure two dedicated pipelines in Twenty under Settings → Objects → Opportunities, using the Stage field to power Kanban views.</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5.1 New Software Licence Pipeline</w:t>
      </w:r>
    </w:p>
    <w:p>
      <w:pPr>
        <w:spacing w:after="120" w:before="0"/>
        <w:jc w:val="left"/>
      </w:pPr>
      <w:r>
        <w:rPr>
          <w:rFonts w:ascii="Arial" w:cs="Arial" w:eastAsia="Arial" w:hAnsi="Arial"/>
          <w:b w:val="false"/>
          <w:bCs w:val="false"/>
          <w:i w:val="false"/>
          <w:iCs w:val="false"/>
          <w:color w:val="1C2833"/>
          <w:sz w:val="22"/>
          <w:szCs w:val="22"/>
        </w:rPr>
        <w:t xml:space="preserve">For all new client acquisitions — prospects evaluating Nano Shule, Nano Pay, Florena, or any security/access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1600"/>
        <w:gridCol w:w="4800"/>
      </w:tblGrid>
      <w:tr>
        <w:tc>
          <w:tcPr>
            <w:tcW w:type="dxa" w:w="3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w:t>
            </w:r>
          </w:p>
        </w:tc>
        <w:tc>
          <w:tcPr>
            <w:tcW w:type="dxa" w:w="26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Stage</w:t>
            </w:r>
          </w:p>
        </w:tc>
        <w:tc>
          <w:tcPr>
            <w:tcW w:type="dxa" w:w="16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Duration</w:t>
            </w:r>
          </w:p>
        </w:tc>
        <w:tc>
          <w:tcPr>
            <w:tcW w:type="dxa" w:w="4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Exit Criteria / Key Actions</w:t>
            </w:r>
          </w:p>
        </w:tc>
      </w:tr>
      <w:tr>
        <w:tc>
          <w:tcPr>
            <w:tcW w:type="dxa" w:w="36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1</w:t>
            </w:r>
          </w:p>
        </w:tc>
        <w:tc>
          <w:tcPr>
            <w:tcW w:type="dxa" w:w="2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Lead / Enquiry</w:t>
            </w:r>
          </w:p>
        </w:tc>
        <w:tc>
          <w:tcPr>
            <w:tcW w:type="dxa" w:w="1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1–3 days</w:t>
            </w:r>
          </w:p>
        </w:tc>
        <w:tc>
          <w:tcPr>
            <w:tcW w:type="dxa" w:w="4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Contact details captured; product interest identified; source recorded</w:t>
            </w:r>
          </w:p>
        </w:tc>
      </w:tr>
      <w:tr>
        <w:tc>
          <w:tcPr>
            <w:tcW w:type="dxa" w:w="36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2</w:t>
            </w:r>
          </w:p>
        </w:tc>
        <w:tc>
          <w:tcPr>
            <w:tcW w:type="dxa" w:w="2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Needs Discovery</w:t>
            </w:r>
          </w:p>
        </w:tc>
        <w:tc>
          <w:tcPr>
            <w:tcW w:type="dxa" w:w="1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1–2 weeks</w:t>
            </w:r>
          </w:p>
        </w:tc>
        <w:tc>
          <w:tcPr>
            <w:tcW w:type="dxa" w:w="4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Discovery call completed; BRD / scoping document drafted</w:t>
            </w:r>
          </w:p>
        </w:tc>
      </w:tr>
      <w:tr>
        <w:tc>
          <w:tcPr>
            <w:tcW w:type="dxa" w:w="36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3</w:t>
            </w:r>
          </w:p>
        </w:tc>
        <w:tc>
          <w:tcPr>
            <w:tcW w:type="dxa" w:w="2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Demo / Proof of Concept</w:t>
            </w:r>
          </w:p>
        </w:tc>
        <w:tc>
          <w:tcPr>
            <w:tcW w:type="dxa" w:w="1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1–2 weeks</w:t>
            </w:r>
          </w:p>
        </w:tc>
        <w:tc>
          <w:tcPr>
            <w:tcW w:type="dxa" w:w="4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Product demo delivered; client expressed formal interest</w:t>
            </w:r>
          </w:p>
        </w:tc>
      </w:tr>
      <w:tr>
        <w:tc>
          <w:tcPr>
            <w:tcW w:type="dxa" w:w="36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4</w:t>
            </w:r>
          </w:p>
        </w:tc>
        <w:tc>
          <w:tcPr>
            <w:tcW w:type="dxa" w:w="2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Proposal Sent</w:t>
            </w:r>
          </w:p>
        </w:tc>
        <w:tc>
          <w:tcPr>
            <w:tcW w:type="dxa" w:w="1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1–2 weeks</w:t>
            </w:r>
          </w:p>
        </w:tc>
        <w:tc>
          <w:tcPr>
            <w:tcW w:type="dxa" w:w="4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Formal quotation with pricing and SLA terms delivered</w:t>
            </w:r>
          </w:p>
        </w:tc>
      </w:tr>
      <w:tr>
        <w:tc>
          <w:tcPr>
            <w:tcW w:type="dxa" w:w="36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5</w:t>
            </w:r>
          </w:p>
        </w:tc>
        <w:tc>
          <w:tcPr>
            <w:tcW w:type="dxa" w:w="2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Negotiation</w:t>
            </w:r>
          </w:p>
        </w:tc>
        <w:tc>
          <w:tcPr>
            <w:tcW w:type="dxa" w:w="1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1–4 weeks</w:t>
            </w:r>
          </w:p>
        </w:tc>
        <w:tc>
          <w:tcPr>
            <w:tcW w:type="dxa" w:w="4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Commercial terms, payment schedule, and go-live date agreed</w:t>
            </w:r>
          </w:p>
        </w:tc>
      </w:tr>
      <w:tr>
        <w:tc>
          <w:tcPr>
            <w:tcW w:type="dxa" w:w="360"/>
            <w:tcBorders>
              <w:top w:val="single" w:color="B0BEC5" w:sz="1"/>
              <w:left w:val="single" w:color="B0BEC5" w:sz="1"/>
              <w:bottom w:val="single" w:color="B0BEC5" w:sz="1"/>
              <w:right w:val="single" w:color="B0BEC5" w:sz="1"/>
            </w:tcBorders>
            <w:shd w:fill="D0E4F7" w:val="clear"/>
            <w:tcMar>
              <w:top w:type="dxa" w:w="80"/>
              <w:left w:type="dxa" w:w="150"/>
              <w:bottom w:type="dxa" w:w="80"/>
              <w:right w:type="dxa" w:w="150"/>
            </w:tcMar>
          </w:tcPr>
          <w:p>
            <w:r>
              <w:rPr>
                <w:rFonts w:ascii="Arial" w:cs="Arial" w:eastAsia="Arial" w:hAnsi="Arial"/>
                <w:b w:val="false"/>
                <w:bCs w:val="false"/>
                <w:color w:val="1C2833"/>
                <w:sz w:val="20"/>
                <w:szCs w:val="20"/>
              </w:rPr>
              <w:t xml:space="preserve">6</w:t>
            </w:r>
          </w:p>
        </w:tc>
        <w:tc>
          <w:tcPr>
            <w:tcW w:type="dxa" w:w="2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Contract Signed — Won</w:t>
            </w:r>
          </w:p>
        </w:tc>
        <w:tc>
          <w:tcPr>
            <w:tcW w:type="dxa" w:w="1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w:t>
            </w:r>
          </w:p>
        </w:tc>
        <w:tc>
          <w:tcPr>
            <w:tcW w:type="dxa" w:w="4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Signed contract or LPO received; triggers Onboarding workflow</w:t>
            </w:r>
          </w:p>
        </w:tc>
      </w:tr>
      <w:tr>
        <w:tc>
          <w:tcPr>
            <w:tcW w:type="dxa" w:w="36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7</w:t>
            </w:r>
          </w:p>
        </w:tc>
        <w:tc>
          <w:tcPr>
            <w:tcW w:type="dxa" w:w="2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Lost / Deferred</w:t>
            </w:r>
          </w:p>
        </w:tc>
        <w:tc>
          <w:tcPr>
            <w:tcW w:type="dxa" w:w="1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w:t>
            </w:r>
          </w:p>
        </w:tc>
        <w:tc>
          <w:tcPr>
            <w:tcW w:type="dxa" w:w="4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Closed as lost; loss reason field mandatory for reporting</w:t>
            </w:r>
          </w:p>
        </w:tc>
      </w:tr>
    </w:tbl>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5.2 Annual Renewal Pipeline</w:t>
      </w:r>
    </w:p>
    <w:p>
      <w:pPr>
        <w:spacing w:after="120" w:before="0"/>
        <w:jc w:val="left"/>
      </w:pPr>
      <w:r>
        <w:rPr>
          <w:rFonts w:ascii="Arial" w:cs="Arial" w:eastAsia="Arial" w:hAnsi="Arial"/>
          <w:b w:val="false"/>
          <w:bCs w:val="false"/>
          <w:i w:val="false"/>
          <w:iCs w:val="false"/>
          <w:color w:val="1C2833"/>
          <w:sz w:val="22"/>
          <w:szCs w:val="22"/>
        </w:rPr>
        <w:t xml:space="preserve">For existing ClientLicence holders approaching their renewalDate. This pipeline is fed automatically by the 60-Day Renewal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600"/>
        <w:gridCol w:w="1800"/>
        <w:gridCol w:w="4600"/>
      </w:tblGrid>
      <w:tr>
        <w:tc>
          <w:tcPr>
            <w:tcW w:type="dxa" w:w="3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w:t>
            </w:r>
          </w:p>
        </w:tc>
        <w:tc>
          <w:tcPr>
            <w:tcW w:type="dxa" w:w="26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Stage</w:t>
            </w:r>
          </w:p>
        </w:tc>
        <w:tc>
          <w:tcPr>
            <w:tcW w:type="dxa" w:w="1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Trigger</w:t>
            </w:r>
          </w:p>
        </w:tc>
        <w:tc>
          <w:tcPr>
            <w:tcW w:type="dxa" w:w="46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Key Action</w:t>
            </w:r>
          </w:p>
        </w:tc>
      </w:tr>
      <w:tr>
        <w:tc>
          <w:tcPr>
            <w:tcW w:type="dxa" w:w="36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1</w:t>
            </w:r>
          </w:p>
        </w:tc>
        <w:tc>
          <w:tcPr>
            <w:tcW w:type="dxa" w:w="2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Renewal Due — 60 Days</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Automated workflow</w:t>
            </w:r>
          </w:p>
        </w:tc>
        <w:tc>
          <w:tcPr>
            <w:tcW w:type="dxa" w:w="4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Renewal Opportunity auto-created; account manager assigned</w:t>
            </w:r>
          </w:p>
        </w:tc>
      </w:tr>
      <w:tr>
        <w:tc>
          <w:tcPr>
            <w:tcW w:type="dxa" w:w="36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2</w:t>
            </w:r>
          </w:p>
        </w:tc>
        <w:tc>
          <w:tcPr>
            <w:tcW w:type="dxa" w:w="2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Renewal Contacted</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Manual</w:t>
            </w:r>
          </w:p>
        </w:tc>
        <w:tc>
          <w:tcPr>
            <w:tcW w:type="dxa" w:w="4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Renewal quote emailed; follow-up task created (5 days)</w:t>
            </w:r>
          </w:p>
        </w:tc>
      </w:tr>
      <w:tr>
        <w:tc>
          <w:tcPr>
            <w:tcW w:type="dxa" w:w="36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3</w:t>
            </w:r>
          </w:p>
        </w:tc>
        <w:tc>
          <w:tcPr>
            <w:tcW w:type="dxa" w:w="2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Invoice Raised</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Manual</w:t>
            </w:r>
          </w:p>
        </w:tc>
        <w:tc>
          <w:tcPr>
            <w:tcW w:type="dxa" w:w="4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Proforma invoice sent; finance team notified via webhook</w:t>
            </w:r>
          </w:p>
        </w:tc>
      </w:tr>
      <w:tr>
        <w:tc>
          <w:tcPr>
            <w:tcW w:type="dxa" w:w="360"/>
            <w:tcBorders>
              <w:top w:val="single" w:color="B0BEC5" w:sz="1"/>
              <w:left w:val="single" w:color="B0BEC5" w:sz="1"/>
              <w:bottom w:val="single" w:color="B0BEC5" w:sz="1"/>
              <w:right w:val="single" w:color="B0BEC5" w:sz="1"/>
            </w:tcBorders>
            <w:shd w:fill="D0E4F7" w:val="clear"/>
            <w:tcMar>
              <w:top w:type="dxa" w:w="80"/>
              <w:left w:type="dxa" w:w="150"/>
              <w:bottom w:type="dxa" w:w="80"/>
              <w:right w:type="dxa" w:w="150"/>
            </w:tcMar>
          </w:tcPr>
          <w:p>
            <w:r>
              <w:rPr>
                <w:rFonts w:ascii="Arial" w:cs="Arial" w:eastAsia="Arial" w:hAnsi="Arial"/>
                <w:b w:val="false"/>
                <w:bCs w:val="false"/>
                <w:color w:val="1C2833"/>
                <w:sz w:val="20"/>
                <w:szCs w:val="20"/>
              </w:rPr>
              <w:t xml:space="preserve">4</w:t>
            </w:r>
          </w:p>
        </w:tc>
        <w:tc>
          <w:tcPr>
            <w:tcW w:type="dxa" w:w="2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Renewed — Paid</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Manual / webhook</w:t>
            </w:r>
          </w:p>
        </w:tc>
        <w:tc>
          <w:tcPr>
            <w:tcW w:type="dxa" w:w="4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ClientLicence renewalDate updated; status set to Active</w:t>
            </w:r>
          </w:p>
        </w:tc>
      </w:tr>
      <w:tr>
        <w:tc>
          <w:tcPr>
            <w:tcW w:type="dxa" w:w="36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5</w:t>
            </w:r>
          </w:p>
        </w:tc>
        <w:tc>
          <w:tcPr>
            <w:tcW w:type="dxa" w:w="2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Churned / Non-Renewal</w:t>
            </w:r>
          </w:p>
        </w:tc>
        <w:tc>
          <w:tcPr>
            <w:tcW w:type="dxa" w:w="18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Manual</w:t>
            </w:r>
          </w:p>
        </w:tc>
        <w:tc>
          <w:tcPr>
            <w:tcW w:type="dxa" w:w="46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Churn reason captured; retention workflow triggered</w:t>
            </w:r>
          </w:p>
        </w:tc>
      </w:tr>
    </w:tbl>
    <w:p>
      <w:pPr>
        <w:spacing w:after="120" w:before="0"/>
        <w:jc w:val="left"/>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1A56A0" w:sz="6" w:space="6"/>
        </w:pBdr>
        <w:spacing w:after="200" w:before="360"/>
      </w:pPr>
      <w:r>
        <w:rPr>
          <w:rFonts w:ascii="Arial" w:cs="Arial" w:eastAsia="Arial" w:hAnsi="Arial"/>
          <w:b/>
          <w:bCs/>
          <w:color w:val="1A56A0"/>
          <w:sz w:val="36"/>
          <w:szCs w:val="36"/>
        </w:rPr>
        <w:t xml:space="preserve">6. Workflow Automation</w:t>
      </w:r>
    </w:p>
    <w:p>
      <w:pPr>
        <w:spacing w:after="120" w:before="0"/>
        <w:jc w:val="left"/>
      </w:pPr>
      <w:r>
        <w:rPr>
          <w:rFonts w:ascii="Arial" w:cs="Arial" w:eastAsia="Arial" w:hAnsi="Arial"/>
          <w:b w:val="false"/>
          <w:bCs w:val="false"/>
          <w:i w:val="false"/>
          <w:iCs w:val="false"/>
          <w:color w:val="1C2833"/>
          <w:sz w:val="22"/>
          <w:szCs w:val="22"/>
        </w:rPr>
        <w:t xml:space="preserve">Twenty's built-in Workflow engine (Settings → Workflows) supports no-code triggers, conditions, HTTP requests, and webhooks. Below are the five core workflows to configure at Nanosoft.</w:t>
      </w:r>
    </w:p>
    <w:p>
      <w:pPr>
        <w:spacing w:after="120" w:before="0"/>
        <w:jc w:val="left"/>
      </w:pPr>
      <w:r>
        <w:rPr>
          <w:rFonts w:ascii="Arial" w:cs="Arial" w:eastAsia="Arial" w:hAnsi="Arial"/>
          <w:b w:val="false"/>
          <w:bCs w:val="false"/>
          <w:i w:val="false"/>
          <w:iCs w:val="false"/>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Workflow</w:t>
            </w:r>
          </w:p>
        </w:tc>
        <w:tc>
          <w:tcPr>
            <w:tcW w:type="dxa" w:w="20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Trigger</w:t>
            </w:r>
          </w:p>
        </w:tc>
        <w:tc>
          <w:tcPr>
            <w:tcW w:type="dxa" w:w="47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Actions</w:t>
            </w:r>
          </w:p>
        </w:tc>
      </w:tr>
      <w:tr>
        <w:tc>
          <w:tcPr>
            <w:tcW w:type="dxa" w:w="26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60-Day Renewal Alert</w:t>
            </w:r>
          </w:p>
        </w:tc>
        <w:tc>
          <w:tcPr>
            <w:tcW w:type="dxa" w:w="2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Daily cron; ClientLicence renewalDate &lt;= 60 days</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Create Renewal Opportunity → assign to account manager → create 'Send Renewal Quote' task</w:t>
            </w:r>
          </w:p>
        </w:tc>
      </w:tr>
      <w:tr>
        <w:tc>
          <w:tcPr>
            <w:tcW w:type="dxa" w:w="26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New Lead Welcome</w:t>
            </w:r>
          </w:p>
        </w:tc>
        <w:tc>
          <w:tcPr>
            <w:tcW w:type="dxa" w:w="2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Opportunity created with Stage = Lead</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Assign to sales rep → create 'Book Discovery Call' task (due in 2 days)</w:t>
            </w:r>
          </w:p>
        </w:tc>
      </w:tr>
      <w:tr>
        <w:tc>
          <w:tcPr>
            <w:tcW w:type="dxa" w:w="26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Critical Ticket SLA Alert</w:t>
            </w:r>
          </w:p>
        </w:tc>
        <w:tc>
          <w:tcPr>
            <w:tcW w:type="dxa" w:w="2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SupportTicket priority = Critical, status = Open for &gt; 4 hours</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HTTP POST to Slack / Microsoft Teams → notify Head of Support by email</w:t>
            </w:r>
          </w:p>
        </w:tc>
      </w:tr>
      <w:tr>
        <w:tc>
          <w:tcPr>
            <w:tcW w:type="dxa" w:w="26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Contract Signed Onboarding</w:t>
            </w:r>
          </w:p>
        </w:tc>
        <w:tc>
          <w:tcPr>
            <w:tcW w:type="dxa" w:w="2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Opportunity stage changes to 'Contract Signed — Won'</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Auto-create ClientLicence record → create 3 onboarding tasks → notify delivery team</w:t>
            </w:r>
          </w:p>
        </w:tc>
      </w:tr>
      <w:tr>
        <w:tc>
          <w:tcPr>
            <w:tcW w:type="dxa" w:w="26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Monthly Pipeline Summary</w:t>
            </w:r>
          </w:p>
        </w:tc>
        <w:tc>
          <w:tcPr>
            <w:tcW w:type="dxa" w:w="2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1st of each month at 08:00 EAT</w:t>
            </w:r>
          </w:p>
        </w:tc>
        <w:tc>
          <w:tcPr>
            <w:tcW w:type="dxa" w:w="47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HTTP POST to internal reporting endpoint with open Opportunities JSON payload</w:t>
            </w:r>
          </w:p>
        </w:tc>
      </w:tr>
    </w:tbl>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6.2 Email Integration</w:t>
      </w:r>
    </w:p>
    <w:p>
      <w:pPr>
        <w:spacing w:after="120" w:before="0"/>
        <w:jc w:val="left"/>
      </w:pPr>
      <w:r>
        <w:rPr>
          <w:rFonts w:ascii="Arial" w:cs="Arial" w:eastAsia="Arial" w:hAnsi="Arial"/>
          <w:b w:val="false"/>
          <w:bCs w:val="false"/>
          <w:i w:val="false"/>
          <w:iCs w:val="false"/>
          <w:color w:val="1C2833"/>
          <w:sz w:val="22"/>
          <w:szCs w:val="22"/>
        </w:rPr>
        <w:t xml:space="preserve">Connect team Google Workspace mailboxes via Settings → Accounts → + Connect Account (OAuth). Once connected, all inbound and outbound emails to and from client contacts are automatically logged on the corresponding People and Company records. Sales reps can compose emails directly from an Opportunity record, keeping all communication history in one place with no manual logging required.</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6.3 Webhook Integration with Nanosoft Products</w:t>
      </w:r>
    </w:p>
    <w:p>
      <w:pPr>
        <w:spacing w:after="120" w:before="0"/>
        <w:jc w:val="left"/>
      </w:pPr>
      <w:r>
        <w:rPr>
          <w:rFonts w:ascii="Arial" w:cs="Arial" w:eastAsia="Arial" w:hAnsi="Arial"/>
          <w:b w:val="false"/>
          <w:bCs w:val="false"/>
          <w:i w:val="false"/>
          <w:iCs w:val="false"/>
          <w:color w:val="1C2833"/>
          <w:sz w:val="22"/>
          <w:szCs w:val="22"/>
        </w:rPr>
        <w:t xml:space="preserve">Because Nanosoft builds its own products, they can be extended to POST webhooks into the Twenty API, creating a unified data loop across the entire product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Business Event</w:t>
            </w:r>
          </w:p>
        </w:tc>
        <w:tc>
          <w:tcPr>
            <w:tcW w:type="dxa" w:w="25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Source Product</w:t>
            </w:r>
          </w:p>
        </w:tc>
        <w:tc>
          <w:tcPr>
            <w:tcW w:type="dxa" w:w="40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CRM Action</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New school onboarded</w:t>
            </w:r>
          </w:p>
        </w:tc>
        <w:tc>
          <w:tcPr>
            <w:tcW w:type="dxa" w:w="2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Nano Shule</w:t>
            </w:r>
          </w:p>
        </w:tc>
        <w:tc>
          <w:tcPr>
            <w:tcW w:type="dxa" w:w="4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Update Company record; set ClientLicence status = Active</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Payroll run completed</w:t>
            </w:r>
          </w:p>
        </w:tc>
        <w:tc>
          <w:tcPr>
            <w:tcW w:type="dxa" w:w="2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Nano Pay</w:t>
            </w:r>
          </w:p>
        </w:tc>
        <w:tc>
          <w:tcPr>
            <w:tcW w:type="dxa" w:w="4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Log an activity Note on Company timeline</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Security device offline &gt; 24 hours</w:t>
            </w:r>
          </w:p>
        </w:tc>
        <w:tc>
          <w:tcPr>
            <w:tcW w:type="dxa" w:w="2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Nano Safeview / Nano Access</w:t>
            </w:r>
          </w:p>
        </w:tc>
        <w:tc>
          <w:tcPr>
            <w:tcW w:type="dxa" w:w="4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Auto-create Critical SupportTicket with device details</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Farm harvest report generated</w:t>
            </w:r>
          </w:p>
        </w:tc>
        <w:tc>
          <w:tcPr>
            <w:tcW w:type="dxa" w:w="2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Florena</w:t>
            </w:r>
          </w:p>
        </w:tc>
        <w:tc>
          <w:tcPr>
            <w:tcW w:type="dxa" w:w="4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Attach report as Note on Company record</w:t>
            </w:r>
          </w:p>
        </w:tc>
      </w:tr>
      <w:tr>
        <w:tc>
          <w:tcPr>
            <w:tcW w:type="dxa" w:w="28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Time attendance anomaly detected</w:t>
            </w:r>
          </w:p>
        </w:tc>
        <w:tc>
          <w:tcPr>
            <w:tcW w:type="dxa" w:w="25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Nano Time</w:t>
            </w:r>
          </w:p>
        </w:tc>
        <w:tc>
          <w:tcPr>
            <w:tcW w:type="dxa" w:w="4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Create High priority SupportTicket; assign to HR contact</w:t>
            </w:r>
          </w:p>
        </w:tc>
      </w:tr>
    </w:tbl>
    <w:p>
      <w:pPr>
        <w:spacing w:after="120" w:before="0"/>
        <w:jc w:val="left"/>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1A56A0" w:sz="6" w:space="6"/>
        </w:pBdr>
        <w:spacing w:after="200" w:before="360"/>
      </w:pPr>
      <w:r>
        <w:rPr>
          <w:rFonts w:ascii="Arial" w:cs="Arial" w:eastAsia="Arial" w:hAnsi="Arial"/>
          <w:b/>
          <w:bCs/>
          <w:color w:val="1A56A0"/>
          <w:sz w:val="36"/>
          <w:szCs w:val="36"/>
        </w:rPr>
        <w:t xml:space="preserve">7. API &amp; Integration Architecture</w:t>
      </w:r>
    </w:p>
    <w:p>
      <w:pPr>
        <w:pStyle w:val="Heading2"/>
        <w:spacing w:after="140" w:before="280"/>
      </w:pPr>
      <w:r>
        <w:rPr>
          <w:rFonts w:ascii="Arial" w:cs="Arial" w:eastAsia="Arial" w:hAnsi="Arial"/>
          <w:b/>
          <w:bCs/>
          <w:color w:val="1C2833"/>
          <w:sz w:val="28"/>
          <w:szCs w:val="28"/>
        </w:rPr>
        <w:t xml:space="preserve">7.1 Two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API</w:t>
            </w:r>
          </w:p>
        </w:tc>
        <w:tc>
          <w:tcPr>
            <w:tcW w:type="dxa" w:w="31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Endpoint</w:t>
            </w:r>
          </w:p>
        </w:tc>
        <w:tc>
          <w:tcPr>
            <w:tcW w:type="dxa" w:w="42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Purpose</w:t>
            </w:r>
          </w:p>
        </w:tc>
      </w:tr>
      <w:tr>
        <w:tc>
          <w:tcPr>
            <w:tcW w:type="dxa" w:w="20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Core API</w:t>
            </w:r>
          </w:p>
        </w:tc>
        <w:tc>
          <w:tcPr>
            <w:tcW w:type="dxa" w:w="31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/rest/ and /graphql/</w:t>
            </w:r>
          </w:p>
        </w:tc>
        <w:tc>
          <w:tcPr>
            <w:tcW w:type="dxa" w:w="42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CRUD on all records — Companies, People, Opportunities, custom objects</w:t>
            </w:r>
          </w:p>
        </w:tc>
      </w:tr>
      <w:tr>
        <w:tc>
          <w:tcPr>
            <w:tcW w:type="dxa" w:w="20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Metadata API</w:t>
            </w:r>
          </w:p>
        </w:tc>
        <w:tc>
          <w:tcPr>
            <w:tcW w:type="dxa" w:w="31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/rest/metadata/ and /metadata/</w:t>
            </w:r>
          </w:p>
        </w:tc>
        <w:tc>
          <w:tcPr>
            <w:tcW w:type="dxa" w:w="42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Schema management — create/modify/delete objects and fields programmatically</w:t>
            </w:r>
          </w:p>
        </w:tc>
      </w:tr>
    </w:tbl>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7.2 Authentication</w:t>
      </w:r>
    </w:p>
    <w:p>
      <w:pPr>
        <w:spacing w:after="120" w:before="0"/>
        <w:jc w:val="left"/>
      </w:pPr>
      <w:r>
        <w:rPr>
          <w:rFonts w:ascii="Arial" w:cs="Arial" w:eastAsia="Arial" w:hAnsi="Arial"/>
          <w:b w:val="false"/>
          <w:bCs w:val="false"/>
          <w:i w:val="false"/>
          <w:iCs w:val="false"/>
          <w:color w:val="1C2833"/>
          <w:sz w:val="22"/>
          <w:szCs w:val="22"/>
        </w:rPr>
        <w:t xml:space="preserve">All API calls use a Bearer token header. Create keys in Settings → API &amp; Webhooks → + Create Key. Copy immediately — shown once only.</w:t>
      </w:r>
    </w:p>
    <w:p>
      <w:pPr>
        <w:shd w:fill="F4F6F9" w:val="clear"/>
        <w:spacing w:after="40" w:before="40"/>
      </w:pPr>
      <w:r>
        <w:rPr>
          <w:rFonts w:ascii="Courier New" w:cs="Courier New" w:eastAsia="Courier New" w:hAnsi="Courier New"/>
          <w:color w:val="333333"/>
          <w:sz w:val="18"/>
          <w:szCs w:val="18"/>
        </w:rPr>
        <w:t xml:space="preserve">Authorization: Bearer &lt;YOUR_API_KEY&gt;</w:t>
      </w:r>
    </w:p>
    <w:p>
      <w:pPr>
        <w:spacing w:after="120" w:before="0"/>
        <w:jc w:val="left"/>
      </w:pPr>
      <w:r>
        <w:rPr>
          <w:rFonts w:ascii="Arial" w:cs="Arial" w:eastAsia="Arial" w:hAnsi="Arial"/>
          <w:b w:val="false"/>
          <w:bCs w:val="false"/>
          <w:i w:val="false"/>
          <w:iCs w:val="false"/>
          <w:color w:val="1C2833"/>
          <w:sz w:val="22"/>
          <w:szCs w:val="22"/>
        </w:rPr>
        <w:t xml:space="preserve"/>
      </w:r>
    </w:p>
    <w:p>
      <w:pPr>
        <w:spacing w:after="120" w:before="0"/>
        <w:jc w:val="left"/>
      </w:pPr>
      <w:r>
        <w:rPr>
          <w:rFonts w:ascii="Arial" w:cs="Arial" w:eastAsia="Arial" w:hAnsi="Arial"/>
          <w:b w:val="false"/>
          <w:bCs w:val="false"/>
          <w:i w:val="false"/>
          <w:iCs w:val="false"/>
          <w:color w:val="1C2833"/>
          <w:sz w:val="22"/>
          <w:szCs w:val="22"/>
        </w:rPr>
        <w:t xml:space="preserve">For Nanosoft integrations, create a dedicated 'nanosoft-integration' service account role with the minimum permissions needed for each integration. Rotate keys every 90 days.</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7.3 Example — Create a SupportTicket (REST)</w:t>
      </w:r>
    </w:p>
    <w:p>
      <w:pPr>
        <w:shd w:fill="F4F6F9" w:val="clear"/>
        <w:spacing w:after="40" w:before="40"/>
      </w:pPr>
      <w:r>
        <w:rPr>
          <w:rFonts w:ascii="Courier New" w:cs="Courier New" w:eastAsia="Courier New" w:hAnsi="Courier New"/>
          <w:color w:val="333333"/>
          <w:sz w:val="18"/>
          <w:szCs w:val="18"/>
        </w:rPr>
        <w:t xml:space="preserve">POST https://crm.nanosoft.co.ke/rest/supportTickets</w:t>
      </w:r>
    </w:p>
    <w:p>
      <w:pPr>
        <w:shd w:fill="F4F6F9" w:val="clear"/>
        <w:spacing w:after="40" w:before="40"/>
      </w:pPr>
      <w:r>
        <w:rPr>
          <w:rFonts w:ascii="Courier New" w:cs="Courier New" w:eastAsia="Courier New" w:hAnsi="Courier New"/>
          <w:color w:val="333333"/>
          <w:sz w:val="18"/>
          <w:szCs w:val="18"/>
        </w:rPr>
        <w:t xml:space="preserve">{</w:t>
      </w:r>
    </w:p>
    <w:p>
      <w:pPr>
        <w:shd w:fill="F4F6F9" w:val="clear"/>
        <w:spacing w:after="40" w:before="40"/>
      </w:pPr>
      <w:r>
        <w:rPr>
          <w:rFonts w:ascii="Courier New" w:cs="Courier New" w:eastAsia="Courier New" w:hAnsi="Courier New"/>
          <w:color w:val="333333"/>
          <w:sz w:val="18"/>
          <w:szCs w:val="18"/>
        </w:rPr>
        <w:t xml:space="preserve">  "ticketRef": "NST-2026-042",</w:t>
      </w:r>
    </w:p>
    <w:p>
      <w:pPr>
        <w:shd w:fill="F4F6F9" w:val="clear"/>
        <w:spacing w:after="40" w:before="40"/>
      </w:pPr>
      <w:r>
        <w:rPr>
          <w:rFonts w:ascii="Courier New" w:cs="Courier New" w:eastAsia="Courier New" w:hAnsi="Courier New"/>
          <w:color w:val="333333"/>
          <w:sz w:val="18"/>
          <w:szCs w:val="18"/>
        </w:rPr>
        <w:t xml:space="preserve">  "priority": "Critical",</w:t>
      </w:r>
    </w:p>
    <w:p>
      <w:pPr>
        <w:shd w:fill="F4F6F9" w:val="clear"/>
        <w:spacing w:after="40" w:before="40"/>
      </w:pPr>
      <w:r>
        <w:rPr>
          <w:rFonts w:ascii="Courier New" w:cs="Courier New" w:eastAsia="Courier New" w:hAnsi="Courier New"/>
          <w:color w:val="333333"/>
          <w:sz w:val="18"/>
          <w:szCs w:val="18"/>
        </w:rPr>
        <w:t xml:space="preserve">  "status": "Open",</w:t>
      </w:r>
    </w:p>
    <w:p>
      <w:pPr>
        <w:shd w:fill="F4F6F9" w:val="clear"/>
        <w:spacing w:after="40" w:before="40"/>
      </w:pPr>
      <w:r>
        <w:rPr>
          <w:rFonts w:ascii="Courier New" w:cs="Courier New" w:eastAsia="Courier New" w:hAnsi="Courier New"/>
          <w:color w:val="333333"/>
          <w:sz w:val="18"/>
          <w:szCs w:val="18"/>
        </w:rPr>
        <w:t xml:space="preserve">  "linkedCompanyId": "&lt;companyUUID&gt;",</w:t>
      </w:r>
    </w:p>
    <w:p>
      <w:pPr>
        <w:shd w:fill="F4F6F9" w:val="clear"/>
        <w:spacing w:after="40" w:before="40"/>
      </w:pPr>
      <w:r>
        <w:rPr>
          <w:rFonts w:ascii="Courier New" w:cs="Courier New" w:eastAsia="Courier New" w:hAnsi="Courier New"/>
          <w:color w:val="333333"/>
          <w:sz w:val="18"/>
          <w:szCs w:val="18"/>
        </w:rPr>
        <w:t xml:space="preserve">  "linkedProductId": "&lt;nanoSafeviewProductUUID&gt;"</w:t>
      </w:r>
    </w:p>
    <w:p>
      <w:pPr>
        <w:shd w:fill="F4F6F9" w:val="clear"/>
        <w:spacing w:after="40" w:before="40"/>
      </w:pPr>
      <w:r>
        <w:rPr>
          <w:rFonts w:ascii="Courier New" w:cs="Courier New" w:eastAsia="Courier New" w:hAnsi="Courier New"/>
          <w:color w:val="333333"/>
          <w:sz w:val="18"/>
          <w:szCs w:val="18"/>
        </w:rPr>
        <w:t xml:space="preserve">}</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7.4 Bulk Operations — Import 210+ Clients</w:t>
      </w:r>
    </w:p>
    <w:p>
      <w:pPr>
        <w:spacing w:after="120" w:before="0"/>
        <w:jc w:val="left"/>
      </w:pPr>
      <w:r>
        <w:rPr>
          <w:rFonts w:ascii="Arial" w:cs="Arial" w:eastAsia="Arial" w:hAnsi="Arial"/>
          <w:b w:val="false"/>
          <w:bCs w:val="false"/>
          <w:i w:val="false"/>
          <w:iCs w:val="false"/>
          <w:color w:val="1C2833"/>
          <w:sz w:val="22"/>
          <w:szCs w:val="22"/>
        </w:rPr>
        <w:t xml:space="preserve">Use GraphQL batch upsert (CreateCompanies, plural form) to import all existing Nanosoft clients in one API call. Maximum 60 records per batch; loop until all records are imported.</w:t>
      </w:r>
    </w:p>
    <w:p>
      <w:pPr>
        <w:shd w:fill="F4F6F9" w:val="clear"/>
        <w:spacing w:after="40" w:before="40"/>
      </w:pPr>
      <w:r>
        <w:rPr>
          <w:rFonts w:ascii="Courier New" w:cs="Courier New" w:eastAsia="Courier New" w:hAnsi="Courier New"/>
          <w:color w:val="333333"/>
          <w:sz w:val="18"/>
          <w:szCs w:val="18"/>
        </w:rPr>
        <w:t xml:space="preserve">mutation { CreateCompanies(data: [{name:"Kensalt Ltd",domainName:"kensalt.com"}, ...]) { id name } }</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7.5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Limit</w:t>
            </w:r>
          </w:p>
        </w:tc>
        <w:tc>
          <w:tcPr>
            <w:tcW w:type="dxa" w:w="468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Value</w:t>
            </w:r>
          </w:p>
        </w:tc>
      </w:tr>
      <w:tr>
        <w:tc>
          <w:tcPr>
            <w:tcW w:type="dxa" w:w="468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Requests per minute</w:t>
            </w:r>
          </w:p>
        </w:tc>
        <w:tc>
          <w:tcPr>
            <w:tcW w:type="dxa" w:w="468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100</w:t>
            </w:r>
          </w:p>
        </w:tc>
      </w:tr>
      <w:tr>
        <w:tc>
          <w:tcPr>
            <w:tcW w:type="dxa" w:w="468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Batch records per request</w:t>
            </w:r>
          </w:p>
        </w:tc>
        <w:tc>
          <w:tcPr>
            <w:tcW w:type="dxa" w:w="468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60</w:t>
            </w:r>
          </w:p>
        </w:tc>
      </w:tr>
    </w:tbl>
    <w:p>
      <w:pPr>
        <w:spacing w:after="120" w:before="0"/>
        <w:jc w:val="left"/>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1A56A0" w:sz="6" w:space="6"/>
        </w:pBdr>
        <w:spacing w:after="200" w:before="360"/>
      </w:pPr>
      <w:r>
        <w:rPr>
          <w:rFonts w:ascii="Arial" w:cs="Arial" w:eastAsia="Arial" w:hAnsi="Arial"/>
          <w:b/>
          <w:bCs/>
          <w:color w:val="1A56A0"/>
          <w:sz w:val="36"/>
          <w:szCs w:val="36"/>
        </w:rPr>
        <w:t xml:space="preserve">8. User Roles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Role</w:t>
            </w:r>
          </w:p>
        </w:tc>
        <w:tc>
          <w:tcPr>
            <w:tcW w:type="dxa" w:w="200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Assigned To</w:t>
            </w:r>
          </w:p>
        </w:tc>
        <w:tc>
          <w:tcPr>
            <w:tcW w:type="dxa" w:w="496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Permissions</w:t>
            </w:r>
          </w:p>
        </w:tc>
      </w:tr>
      <w:tr>
        <w:tc>
          <w:tcPr>
            <w:tcW w:type="dxa" w:w="24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CRM Administrator</w:t>
            </w:r>
          </w:p>
        </w:tc>
        <w:tc>
          <w:tcPr>
            <w:tcW w:type="dxa" w:w="2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IT Manager</w:t>
            </w:r>
          </w:p>
        </w:tc>
        <w:tc>
          <w:tcPr>
            <w:tcW w:type="dxa" w:w="49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Full access: settings, data model, workflows, all objects, API keys</w:t>
            </w:r>
          </w:p>
        </w:tc>
      </w:tr>
      <w:tr>
        <w:tc>
          <w:tcPr>
            <w:tcW w:type="dxa" w:w="24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Sales Executive</w:t>
            </w:r>
          </w:p>
        </w:tc>
        <w:tc>
          <w:tcPr>
            <w:tcW w:type="dxa" w:w="2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Sales team</w:t>
            </w:r>
          </w:p>
        </w:tc>
        <w:tc>
          <w:tcPr>
            <w:tcW w:type="dxa" w:w="49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Create/edit Companies, People, Opportunities; read-only on licences and finances</w:t>
            </w:r>
          </w:p>
        </w:tc>
      </w:tr>
      <w:tr>
        <w:tc>
          <w:tcPr>
            <w:tcW w:type="dxa" w:w="24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Account Manager</w:t>
            </w:r>
          </w:p>
        </w:tc>
        <w:tc>
          <w:tcPr>
            <w:tcW w:type="dxa" w:w="2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Client-facing tech</w:t>
            </w:r>
          </w:p>
        </w:tc>
        <w:tc>
          <w:tcPr>
            <w:tcW w:type="dxa" w:w="49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Full access to ClientLicence and SupportTicket; read Companies/People</w:t>
            </w:r>
          </w:p>
        </w:tc>
      </w:tr>
      <w:tr>
        <w:tc>
          <w:tcPr>
            <w:tcW w:type="dxa" w:w="24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Support Engineer</w:t>
            </w:r>
          </w:p>
        </w:tc>
        <w:tc>
          <w:tcPr>
            <w:tcW w:type="dxa" w:w="2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Technical support</w:t>
            </w:r>
          </w:p>
        </w:tc>
        <w:tc>
          <w:tcPr>
            <w:tcW w:type="dxa" w:w="49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Create/edit SupportTickets; read Companies; no access to Opportunities or financials</w:t>
            </w:r>
          </w:p>
        </w:tc>
      </w:tr>
      <w:tr>
        <w:tc>
          <w:tcPr>
            <w:tcW w:type="dxa" w:w="24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Management</w:t>
            </w:r>
          </w:p>
        </w:tc>
        <w:tc>
          <w:tcPr>
            <w:tcW w:type="dxa" w:w="2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MD, Directors</w:t>
            </w:r>
          </w:p>
        </w:tc>
        <w:tc>
          <w:tcPr>
            <w:tcW w:type="dxa" w:w="49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Read-only all objects; full access to dashboards and pipeline reports</w:t>
            </w:r>
          </w:p>
        </w:tc>
      </w:tr>
      <w:tr>
        <w:tc>
          <w:tcPr>
            <w:tcW w:type="dxa" w:w="240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API Integration</w:t>
            </w:r>
          </w:p>
        </w:tc>
        <w:tc>
          <w:tcPr>
            <w:tcW w:type="dxa" w:w="200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Nano Shule, Nano Pay service accounts</w:t>
            </w:r>
          </w:p>
        </w:tc>
        <w:tc>
          <w:tcPr>
            <w:tcW w:type="dxa" w:w="496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Scoped write access to specific objects only (SupportTicket, ClientLicence update)</w:t>
            </w:r>
          </w:p>
        </w:tc>
      </w:tr>
    </w:tbl>
    <w:p>
      <w:pPr>
        <w:spacing w:after="120" w:before="0"/>
        <w:jc w:val="left"/>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1A56A0" w:sz="6" w:space="6"/>
        </w:pBdr>
        <w:spacing w:after="200" w:before="360"/>
      </w:pPr>
      <w:r>
        <w:rPr>
          <w:rFonts w:ascii="Arial" w:cs="Arial" w:eastAsia="Arial" w:hAnsi="Arial"/>
          <w:b/>
          <w:bCs/>
          <w:color w:val="1A56A0"/>
          <w:sz w:val="36"/>
          <w:szCs w:val="36"/>
        </w:rPr>
        <w:t xml:space="preserve">9. Implementation Roadmap</w:t>
      </w:r>
    </w:p>
    <w:p>
      <w:pPr>
        <w:spacing w:after="120" w:before="0"/>
        <w:jc w:val="left"/>
      </w:pPr>
      <w:r>
        <w:rPr>
          <w:rFonts w:ascii="Arial" w:cs="Arial" w:eastAsia="Arial" w:hAnsi="Arial"/>
          <w:b w:val="false"/>
          <w:bCs w:val="false"/>
          <w:i w:val="false"/>
          <w:iCs w:val="false"/>
          <w:color w:val="1C2833"/>
          <w:sz w:val="22"/>
          <w:szCs w:val="22"/>
        </w:rPr>
        <w:t xml:space="preserve">A phased, 8-week approach reduces risk and builds team confidence before rolling out advanced features.</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Phase 1 — Foundation (Weeks 1–2)</w:t>
      </w:r>
    </w:p>
    <w:p>
      <w:pPr>
        <w:pStyle w:val="ListParagraph"/>
        <w:numPr>
          <w:ilvl w:val="0"/>
          <w:numId w:val="2"/>
        </w:numPr>
        <w:spacing w:after="40" w:before="40"/>
      </w:pPr>
      <w:r>
        <w:rPr>
          <w:rFonts w:ascii="Arial" w:cs="Arial" w:eastAsia="Arial" w:hAnsi="Arial"/>
          <w:color w:val="1C2833"/>
          <w:sz w:val="22"/>
          <w:szCs w:val="22"/>
        </w:rPr>
        <w:t xml:space="preserve">Provision and harden Ubuntu 22.04 server (4 vCPU / 8 GB RAM minimum)</w:t>
      </w:r>
    </w:p>
    <w:p>
      <w:pPr>
        <w:pStyle w:val="ListParagraph"/>
        <w:numPr>
          <w:ilvl w:val="0"/>
          <w:numId w:val="2"/>
        </w:numPr>
        <w:spacing w:after="40" w:before="40"/>
      </w:pPr>
      <w:r>
        <w:rPr>
          <w:rFonts w:ascii="Arial" w:cs="Arial" w:eastAsia="Arial" w:hAnsi="Arial"/>
          <w:color w:val="1C2833"/>
          <w:sz w:val="22"/>
          <w:szCs w:val="22"/>
        </w:rPr>
        <w:t xml:space="preserve">Deploy Twenty via Docker Compose; configure SSL with Nginx + Certbot on crm.nanosoft.co.ke</w:t>
      </w:r>
    </w:p>
    <w:p>
      <w:pPr>
        <w:pStyle w:val="ListParagraph"/>
        <w:numPr>
          <w:ilvl w:val="0"/>
          <w:numId w:val="2"/>
        </w:numPr>
        <w:spacing w:after="40" w:before="40"/>
      </w:pPr>
      <w:r>
        <w:rPr>
          <w:rFonts w:ascii="Arial" w:cs="Arial" w:eastAsia="Arial" w:hAnsi="Arial"/>
          <w:color w:val="1C2833"/>
          <w:sz w:val="22"/>
          <w:szCs w:val="22"/>
        </w:rPr>
        <w:t xml:space="preserve">Set ENCRYPTION_KEY, PG_DATABASE_PASSWORD, SERVER_URL; confirm backup cron job</w:t>
      </w:r>
    </w:p>
    <w:p>
      <w:pPr>
        <w:pStyle w:val="ListParagraph"/>
        <w:numPr>
          <w:ilvl w:val="0"/>
          <w:numId w:val="2"/>
        </w:numPr>
        <w:spacing w:after="40" w:before="40"/>
      </w:pPr>
      <w:r>
        <w:rPr>
          <w:rFonts w:ascii="Arial" w:cs="Arial" w:eastAsia="Arial" w:hAnsi="Arial"/>
          <w:color w:val="1C2833"/>
          <w:sz w:val="22"/>
          <w:szCs w:val="22"/>
        </w:rPr>
        <w:t xml:space="preserve">Import existing 210+ client list into Companies and People objects</w:t>
      </w:r>
    </w:p>
    <w:p>
      <w:pPr>
        <w:pStyle w:val="ListParagraph"/>
        <w:numPr>
          <w:ilvl w:val="0"/>
          <w:numId w:val="2"/>
        </w:numPr>
        <w:spacing w:after="40" w:before="40"/>
      </w:pPr>
      <w:r>
        <w:rPr>
          <w:rFonts w:ascii="Arial" w:cs="Arial" w:eastAsia="Arial" w:hAnsi="Arial"/>
          <w:color w:val="1C2833"/>
          <w:sz w:val="22"/>
          <w:szCs w:val="22"/>
        </w:rPr>
        <w:t xml:space="preserve">Create 6 NanoProduct records (Nano Shule, Nano Pay, Nano Safeview, Nano Access, Nano Time, Florena)</w:t>
      </w:r>
    </w:p>
    <w:p>
      <w:pPr>
        <w:pStyle w:val="ListParagraph"/>
        <w:numPr>
          <w:ilvl w:val="0"/>
          <w:numId w:val="2"/>
        </w:numPr>
        <w:spacing w:after="40" w:before="40"/>
      </w:pPr>
      <w:r>
        <w:rPr>
          <w:rFonts w:ascii="Arial" w:cs="Arial" w:eastAsia="Arial" w:hAnsi="Arial"/>
          <w:color w:val="1C2833"/>
          <w:sz w:val="22"/>
          <w:szCs w:val="22"/>
        </w:rPr>
        <w:t xml:space="preserve">Create user accounts and assign roles for all Nanosoft staff</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Phase 2 — Sales Pipeline &amp; Licence Tracking (Weeks 3–4)</w:t>
      </w:r>
    </w:p>
    <w:p>
      <w:pPr>
        <w:pStyle w:val="ListParagraph"/>
        <w:numPr>
          <w:ilvl w:val="0"/>
          <w:numId w:val="2"/>
        </w:numPr>
        <w:spacing w:after="40" w:before="40"/>
      </w:pPr>
      <w:r>
        <w:rPr>
          <w:rFonts w:ascii="Arial" w:cs="Arial" w:eastAsia="Arial" w:hAnsi="Arial"/>
          <w:color w:val="1C2833"/>
          <w:sz w:val="22"/>
          <w:szCs w:val="22"/>
        </w:rPr>
        <w:t xml:space="preserve">Create ClientLicence custom object; link to Companies and NanoProducts</w:t>
      </w:r>
    </w:p>
    <w:p>
      <w:pPr>
        <w:pStyle w:val="ListParagraph"/>
        <w:numPr>
          <w:ilvl w:val="0"/>
          <w:numId w:val="2"/>
        </w:numPr>
        <w:spacing w:after="40" w:before="40"/>
      </w:pPr>
      <w:r>
        <w:rPr>
          <w:rFonts w:ascii="Arial" w:cs="Arial" w:eastAsia="Arial" w:hAnsi="Arial"/>
          <w:color w:val="1C2833"/>
          <w:sz w:val="22"/>
          <w:szCs w:val="22"/>
        </w:rPr>
        <w:t xml:space="preserve">Import all existing licence and renewal data from spreadsheets</w:t>
      </w:r>
    </w:p>
    <w:p>
      <w:pPr>
        <w:pStyle w:val="ListParagraph"/>
        <w:numPr>
          <w:ilvl w:val="0"/>
          <w:numId w:val="2"/>
        </w:numPr>
        <w:spacing w:after="40" w:before="40"/>
      </w:pPr>
      <w:r>
        <w:rPr>
          <w:rFonts w:ascii="Arial" w:cs="Arial" w:eastAsia="Arial" w:hAnsi="Arial"/>
          <w:color w:val="1C2833"/>
          <w:sz w:val="22"/>
          <w:szCs w:val="22"/>
        </w:rPr>
        <w:t xml:space="preserve">Configure New Licence and Renewal pipelines (Kanban stages as specified in Section 5)</w:t>
      </w:r>
    </w:p>
    <w:p>
      <w:pPr>
        <w:pStyle w:val="ListParagraph"/>
        <w:numPr>
          <w:ilvl w:val="0"/>
          <w:numId w:val="2"/>
        </w:numPr>
        <w:spacing w:after="40" w:before="40"/>
      </w:pPr>
      <w:r>
        <w:rPr>
          <w:rFonts w:ascii="Arial" w:cs="Arial" w:eastAsia="Arial" w:hAnsi="Arial"/>
          <w:color w:val="1C2833"/>
          <w:sz w:val="22"/>
          <w:szCs w:val="22"/>
        </w:rPr>
        <w:t xml:space="preserve">Activate 60-Day Renewal Workflow and New Lead Welcome Workflow</w:t>
      </w:r>
    </w:p>
    <w:p>
      <w:pPr>
        <w:pStyle w:val="ListParagraph"/>
        <w:numPr>
          <w:ilvl w:val="0"/>
          <w:numId w:val="2"/>
        </w:numPr>
        <w:spacing w:after="40" w:before="40"/>
      </w:pPr>
      <w:r>
        <w:rPr>
          <w:rFonts w:ascii="Arial" w:cs="Arial" w:eastAsia="Arial" w:hAnsi="Arial"/>
          <w:color w:val="1C2833"/>
          <w:sz w:val="22"/>
          <w:szCs w:val="22"/>
        </w:rPr>
        <w:t xml:space="preserve">Connect team Google Workspace accounts for two-way email sync</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Phase 3 — Support Tracking &amp; Automation (Weeks 5–6)</w:t>
      </w:r>
    </w:p>
    <w:p>
      <w:pPr>
        <w:pStyle w:val="ListParagraph"/>
        <w:numPr>
          <w:ilvl w:val="0"/>
          <w:numId w:val="2"/>
        </w:numPr>
        <w:spacing w:after="40" w:before="40"/>
      </w:pPr>
      <w:r>
        <w:rPr>
          <w:rFonts w:ascii="Arial" w:cs="Arial" w:eastAsia="Arial" w:hAnsi="Arial"/>
          <w:color w:val="1C2833"/>
          <w:sz w:val="22"/>
          <w:szCs w:val="22"/>
        </w:rPr>
        <w:t xml:space="preserve">Create SupportTicket and ProjectDeliverable custom objects</w:t>
      </w:r>
    </w:p>
    <w:p>
      <w:pPr>
        <w:pStyle w:val="ListParagraph"/>
        <w:numPr>
          <w:ilvl w:val="0"/>
          <w:numId w:val="2"/>
        </w:numPr>
        <w:spacing w:after="40" w:before="40"/>
      </w:pPr>
      <w:r>
        <w:rPr>
          <w:rFonts w:ascii="Arial" w:cs="Arial" w:eastAsia="Arial" w:hAnsi="Arial"/>
          <w:color w:val="1C2833"/>
          <w:sz w:val="22"/>
          <w:szCs w:val="22"/>
        </w:rPr>
        <w:t xml:space="preserve">Configure Critical Ticket SLA Workflow (Slack/Teams HTTP notification)</w:t>
      </w:r>
    </w:p>
    <w:p>
      <w:pPr>
        <w:pStyle w:val="ListParagraph"/>
        <w:numPr>
          <w:ilvl w:val="0"/>
          <w:numId w:val="2"/>
        </w:numPr>
        <w:spacing w:after="40" w:before="40"/>
      </w:pPr>
      <w:r>
        <w:rPr>
          <w:rFonts w:ascii="Arial" w:cs="Arial" w:eastAsia="Arial" w:hAnsi="Arial"/>
          <w:color w:val="1C2833"/>
          <w:sz w:val="22"/>
          <w:szCs w:val="22"/>
        </w:rPr>
        <w:t xml:space="preserve">Configure Contract Signed Onboarding Workflow</w:t>
      </w:r>
    </w:p>
    <w:p>
      <w:pPr>
        <w:pStyle w:val="ListParagraph"/>
        <w:numPr>
          <w:ilvl w:val="0"/>
          <w:numId w:val="2"/>
        </w:numPr>
        <w:spacing w:after="40" w:before="40"/>
      </w:pPr>
      <w:r>
        <w:rPr>
          <w:rFonts w:ascii="Arial" w:cs="Arial" w:eastAsia="Arial" w:hAnsi="Arial"/>
          <w:color w:val="1C2833"/>
          <w:sz w:val="22"/>
          <w:szCs w:val="22"/>
        </w:rPr>
        <w:t xml:space="preserve">Generate API keys; deploy webhook receivers in Nano Safeview and Nano Access for auto-ticket creation</w:t>
      </w:r>
    </w:p>
    <w:p>
      <w:pPr>
        <w:pStyle w:val="ListParagraph"/>
        <w:numPr>
          <w:ilvl w:val="0"/>
          <w:numId w:val="2"/>
        </w:numPr>
        <w:spacing w:after="40" w:before="40"/>
      </w:pPr>
      <w:r>
        <w:rPr>
          <w:rFonts w:ascii="Arial" w:cs="Arial" w:eastAsia="Arial" w:hAnsi="Arial"/>
          <w:color w:val="1C2833"/>
          <w:sz w:val="22"/>
          <w:szCs w:val="22"/>
        </w:rPr>
        <w:t xml:space="preserve">Begin Nano Shule ClientLicence sync via webhook</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Phase 4 — Optimise, Report &amp; Train (Weeks 7–8)</w:t>
      </w:r>
    </w:p>
    <w:p>
      <w:pPr>
        <w:pStyle w:val="ListParagraph"/>
        <w:numPr>
          <w:ilvl w:val="0"/>
          <w:numId w:val="2"/>
        </w:numPr>
        <w:spacing w:after="40" w:before="40"/>
      </w:pPr>
      <w:r>
        <w:rPr>
          <w:rFonts w:ascii="Arial" w:cs="Arial" w:eastAsia="Arial" w:hAnsi="Arial"/>
          <w:color w:val="1C2833"/>
          <w:sz w:val="22"/>
          <w:szCs w:val="22"/>
        </w:rPr>
        <w:t xml:space="preserve">Staff training sessions: Sales (pipeline), Support (tickets), Management (dashboards)</w:t>
      </w:r>
    </w:p>
    <w:p>
      <w:pPr>
        <w:pStyle w:val="ListParagraph"/>
        <w:numPr>
          <w:ilvl w:val="0"/>
          <w:numId w:val="2"/>
        </w:numPr>
        <w:spacing w:after="40" w:before="40"/>
      </w:pPr>
      <w:r>
        <w:rPr>
          <w:rFonts w:ascii="Arial" w:cs="Arial" w:eastAsia="Arial" w:hAnsi="Arial"/>
          <w:color w:val="1C2833"/>
          <w:sz w:val="22"/>
          <w:szCs w:val="22"/>
        </w:rPr>
        <w:t xml:space="preserve">Build role-specific saved views and custom dashboards for each team</w:t>
      </w:r>
    </w:p>
    <w:p>
      <w:pPr>
        <w:pStyle w:val="ListParagraph"/>
        <w:numPr>
          <w:ilvl w:val="0"/>
          <w:numId w:val="2"/>
        </w:numPr>
        <w:spacing w:after="40" w:before="40"/>
      </w:pPr>
      <w:r>
        <w:rPr>
          <w:rFonts w:ascii="Arial" w:cs="Arial" w:eastAsia="Arial" w:hAnsi="Arial"/>
          <w:color w:val="1C2833"/>
          <w:sz w:val="22"/>
          <w:szCs w:val="22"/>
        </w:rPr>
        <w:t xml:space="preserve">Review data quality; establish and document CRM data entry standards</w:t>
      </w:r>
    </w:p>
    <w:p>
      <w:pPr>
        <w:pStyle w:val="ListParagraph"/>
        <w:numPr>
          <w:ilvl w:val="0"/>
          <w:numId w:val="2"/>
        </w:numPr>
        <w:spacing w:after="40" w:before="40"/>
      </w:pPr>
      <w:r>
        <w:rPr>
          <w:rFonts w:ascii="Arial" w:cs="Arial" w:eastAsia="Arial" w:hAnsi="Arial"/>
          <w:color w:val="1C2833"/>
          <w:sz w:val="22"/>
          <w:szCs w:val="22"/>
        </w:rPr>
        <w:t xml:space="preserve">Activate Monthly Pipeline Summary workflow</w:t>
      </w:r>
    </w:p>
    <w:p>
      <w:pPr>
        <w:pStyle w:val="ListParagraph"/>
        <w:numPr>
          <w:ilvl w:val="0"/>
          <w:numId w:val="2"/>
        </w:numPr>
        <w:spacing w:after="40" w:before="40"/>
      </w:pPr>
      <w:r>
        <w:rPr>
          <w:rFonts w:ascii="Arial" w:cs="Arial" w:eastAsia="Arial" w:hAnsi="Arial"/>
          <w:color w:val="1C2833"/>
          <w:sz w:val="22"/>
          <w:szCs w:val="22"/>
        </w:rPr>
        <w:t xml:space="preserve">Document internal SOP for CRM use; store in Nanosoft knowledge base</w:t>
      </w:r>
    </w:p>
    <w:p>
      <w:pPr>
        <w:spacing w:after="120" w:before="0"/>
        <w:jc w:val="left"/>
      </w:pPr>
      <w:r>
        <w:rPr>
          <w:rFonts w:ascii="Arial" w:cs="Arial" w:eastAsia="Arial" w:hAnsi="Arial"/>
          <w:b w:val="false"/>
          <w:bCs w:val="false"/>
          <w:i w:val="false"/>
          <w:iCs w:val="false"/>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67E22" w:sz="1"/>
              <w:left w:val="single" w:color="E67E22" w:sz="1"/>
              <w:bottom w:val="single" w:color="E67E22" w:sz="1"/>
              <w:right w:val="single" w:color="E67E22"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SUCCESS METRICS</w:t>
            </w:r>
          </w:p>
        </w:tc>
        <w:tc>
          <w:tcPr>
            <w:tcW w:type="dxa" w:w="7960"/>
            <w:tcBorders>
              <w:top w:val="single" w:color="E67E22" w:sz="1"/>
              <w:left w:val="single" w:color="E67E22" w:sz="1"/>
              <w:bottom w:val="single" w:color="E67E22" w:sz="1"/>
              <w:right w:val="single" w:color="E67E22" w:sz="1"/>
            </w:tcBorders>
            <w:shd w:fill="FEF3E2" w:val="clear"/>
            <w:tcMar>
              <w:top w:type="dxa" w:w="100"/>
              <w:left w:type="dxa" w:w="150"/>
              <w:bottom w:type="dxa" w:w="100"/>
              <w:right w:type="dxa" w:w="150"/>
            </w:tcMar>
          </w:tcPr>
          <w:p>
            <w:r>
              <w:rPr>
                <w:rFonts w:ascii="Arial" w:cs="Arial" w:eastAsia="Arial" w:hAnsi="Arial"/>
                <w:color w:val="1C2833"/>
                <w:sz w:val="20"/>
                <w:szCs w:val="20"/>
              </w:rPr>
              <w:t xml:space="preserve">Target: 100% of sales opportunities logged in CRM by end of Phase 2. Target: 95% of support tickets created in CRM (not WhatsApp or email) by end of Phase 3. Measure renewal rate improvement at the 6-month mark.</w:t>
            </w:r>
          </w:p>
        </w:tc>
      </w:tr>
    </w:tbl>
    <w:p>
      <w:pPr>
        <w:spacing w:after="120" w:before="0"/>
        <w:jc w:val="left"/>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1A56A0" w:sz="6" w:space="6"/>
        </w:pBdr>
        <w:spacing w:after="200" w:before="360"/>
      </w:pPr>
      <w:r>
        <w:rPr>
          <w:rFonts w:ascii="Arial" w:cs="Arial" w:eastAsia="Arial" w:hAnsi="Arial"/>
          <w:b/>
          <w:bCs/>
          <w:color w:val="1A56A0"/>
          <w:sz w:val="36"/>
          <w:szCs w:val="36"/>
        </w:rPr>
        <w:t xml:space="preserve">10. Security &amp; Compliance</w:t>
      </w:r>
    </w:p>
    <w:p>
      <w:pPr>
        <w:pStyle w:val="Heading2"/>
        <w:spacing w:after="140" w:before="280"/>
      </w:pPr>
      <w:r>
        <w:rPr>
          <w:rFonts w:ascii="Arial" w:cs="Arial" w:eastAsia="Arial" w:hAnsi="Arial"/>
          <w:b/>
          <w:bCs/>
          <w:color w:val="1C2833"/>
          <w:sz w:val="28"/>
          <w:szCs w:val="28"/>
        </w:rPr>
        <w:t xml:space="preserve">10.1 Server Hardening</w:t>
      </w:r>
    </w:p>
    <w:p>
      <w:pPr>
        <w:pStyle w:val="ListParagraph"/>
        <w:numPr>
          <w:ilvl w:val="0"/>
          <w:numId w:val="2"/>
        </w:numPr>
        <w:spacing w:after="40" w:before="40"/>
      </w:pPr>
      <w:r>
        <w:rPr>
          <w:rFonts w:ascii="Arial" w:cs="Arial" w:eastAsia="Arial" w:hAnsi="Arial"/>
          <w:color w:val="1C2833"/>
          <w:sz w:val="22"/>
          <w:szCs w:val="22"/>
        </w:rPr>
        <w:t xml:space="preserve">Use SSH key-based authentication; disable password-based login (PasswordAuthentication no in sshd_config)</w:t>
      </w:r>
    </w:p>
    <w:p>
      <w:pPr>
        <w:pStyle w:val="ListParagraph"/>
        <w:numPr>
          <w:ilvl w:val="0"/>
          <w:numId w:val="2"/>
        </w:numPr>
        <w:spacing w:after="40" w:before="40"/>
      </w:pPr>
      <w:r>
        <w:rPr>
          <w:rFonts w:ascii="Arial" w:cs="Arial" w:eastAsia="Arial" w:hAnsi="Arial"/>
          <w:color w:val="1C2833"/>
          <w:sz w:val="22"/>
          <w:szCs w:val="22"/>
        </w:rPr>
        <w:t xml:space="preserve">Enable UFW firewall: allow only ports 22 (SSH), 80 (HTTP redirect), 443 (HTTPS)</w:t>
      </w:r>
    </w:p>
    <w:p>
      <w:pPr>
        <w:pStyle w:val="ListParagraph"/>
        <w:numPr>
          <w:ilvl w:val="0"/>
          <w:numId w:val="2"/>
        </w:numPr>
        <w:spacing w:after="40" w:before="40"/>
      </w:pPr>
      <w:r>
        <w:rPr>
          <w:rFonts w:ascii="Arial" w:cs="Arial" w:eastAsia="Arial" w:hAnsi="Arial"/>
          <w:color w:val="1C2833"/>
          <w:sz w:val="22"/>
          <w:szCs w:val="22"/>
        </w:rPr>
        <w:t xml:space="preserve">Enable unattended-upgrades for automatic OS security patches</w:t>
      </w:r>
    </w:p>
    <w:p>
      <w:pPr>
        <w:pStyle w:val="ListParagraph"/>
        <w:numPr>
          <w:ilvl w:val="0"/>
          <w:numId w:val="2"/>
        </w:numPr>
        <w:spacing w:after="40" w:before="40"/>
      </w:pPr>
      <w:r>
        <w:rPr>
          <w:rFonts w:ascii="Arial" w:cs="Arial" w:eastAsia="Arial" w:hAnsi="Arial"/>
          <w:color w:val="1C2833"/>
          <w:sz w:val="22"/>
          <w:szCs w:val="22"/>
        </w:rPr>
        <w:t xml:space="preserve">Install fail2ban to automatically block repeated failed SSH login attempts</w:t>
      </w:r>
    </w:p>
    <w:p>
      <w:pPr>
        <w:pStyle w:val="ListParagraph"/>
        <w:numPr>
          <w:ilvl w:val="0"/>
          <w:numId w:val="2"/>
        </w:numPr>
        <w:spacing w:after="40" w:before="40"/>
      </w:pPr>
      <w:r>
        <w:rPr>
          <w:rFonts w:ascii="Arial" w:cs="Arial" w:eastAsia="Arial" w:hAnsi="Arial"/>
          <w:color w:val="1C2833"/>
          <w:sz w:val="22"/>
          <w:szCs w:val="22"/>
        </w:rPr>
        <w:t xml:space="preserve">Ensure Docker containers run as non-root users</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10.2 Application Security</w:t>
      </w:r>
    </w:p>
    <w:p>
      <w:pPr>
        <w:pStyle w:val="ListParagraph"/>
        <w:numPr>
          <w:ilvl w:val="0"/>
          <w:numId w:val="2"/>
        </w:numPr>
        <w:spacing w:after="40" w:before="40"/>
      </w:pPr>
      <w:r>
        <w:rPr>
          <w:rFonts w:ascii="Arial" w:cs="Arial" w:eastAsia="Arial" w:hAnsi="Arial"/>
          <w:color w:val="1C2833"/>
          <w:sz w:val="22"/>
          <w:szCs w:val="22"/>
        </w:rPr>
        <w:t xml:space="preserve">ENCRYPTION_KEY must be 32+ bytes, randomly generated — never commit to git or share</w:t>
      </w:r>
    </w:p>
    <w:p>
      <w:pPr>
        <w:pStyle w:val="ListParagraph"/>
        <w:numPr>
          <w:ilvl w:val="0"/>
          <w:numId w:val="2"/>
        </w:numPr>
        <w:spacing w:after="40" w:before="40"/>
      </w:pPr>
      <w:r>
        <w:rPr>
          <w:rFonts w:ascii="Arial" w:cs="Arial" w:eastAsia="Arial" w:hAnsi="Arial"/>
          <w:color w:val="1C2833"/>
          <w:sz w:val="22"/>
          <w:szCs w:val="22"/>
        </w:rPr>
        <w:t xml:space="preserve">PG_DATABASE_PASSWORD: 16+ characters, alphanumeric, stored only in .env file</w:t>
      </w:r>
    </w:p>
    <w:p>
      <w:pPr>
        <w:pStyle w:val="ListParagraph"/>
        <w:numPr>
          <w:ilvl w:val="0"/>
          <w:numId w:val="2"/>
        </w:numPr>
        <w:spacing w:after="40" w:before="40"/>
      </w:pPr>
      <w:r>
        <w:rPr>
          <w:rFonts w:ascii="Arial" w:cs="Arial" w:eastAsia="Arial" w:hAnsi="Arial"/>
          <w:color w:val="1C2833"/>
          <w:sz w:val="22"/>
          <w:szCs w:val="22"/>
        </w:rPr>
        <w:t xml:space="preserve">SSL/TLS required for all browser access — Certbot auto-renews Let's Encrypt certificates</w:t>
      </w:r>
    </w:p>
    <w:p>
      <w:pPr>
        <w:pStyle w:val="ListParagraph"/>
        <w:numPr>
          <w:ilvl w:val="0"/>
          <w:numId w:val="2"/>
        </w:numPr>
        <w:spacing w:after="40" w:before="40"/>
      </w:pPr>
      <w:r>
        <w:rPr>
          <w:rFonts w:ascii="Arial" w:cs="Arial" w:eastAsia="Arial" w:hAnsi="Arial"/>
          <w:color w:val="1C2833"/>
          <w:sz w:val="22"/>
          <w:szCs w:val="22"/>
        </w:rPr>
        <w:t xml:space="preserve">Scope all API keys to minimum required permissions; rotate every 90 days</w:t>
      </w:r>
    </w:p>
    <w:p>
      <w:pPr>
        <w:pStyle w:val="ListParagraph"/>
        <w:numPr>
          <w:ilvl w:val="0"/>
          <w:numId w:val="2"/>
        </w:numPr>
        <w:spacing w:after="40" w:before="40"/>
      </w:pPr>
      <w:r>
        <w:rPr>
          <w:rFonts w:ascii="Arial" w:cs="Arial" w:eastAsia="Arial" w:hAnsi="Arial"/>
          <w:color w:val="1C2833"/>
          <w:sz w:val="22"/>
          <w:szCs w:val="22"/>
        </w:rPr>
        <w:t xml:space="preserve">Restrict Metadata API access — only the CRM Administrator role should be able to modify schema</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10.3 Data Residency &amp; Kenya Data Protection Act</w:t>
      </w:r>
    </w:p>
    <w:p>
      <w:pPr>
        <w:spacing w:after="120" w:before="0"/>
        <w:jc w:val="left"/>
      </w:pPr>
      <w:r>
        <w:rPr>
          <w:rFonts w:ascii="Arial" w:cs="Arial" w:eastAsia="Arial" w:hAnsi="Arial"/>
          <w:b w:val="false"/>
          <w:bCs w:val="false"/>
          <w:i w:val="false"/>
          <w:iCs w:val="false"/>
          <w:color w:val="1C2833"/>
          <w:sz w:val="22"/>
          <w:szCs w:val="22"/>
        </w:rPr>
        <w:t xml:space="preserve">Self-hosting on a server in Nairobi (or Kenyan cloud region such as Google Cloud africa-south1) ensures all client data remains within Kenya. This directly supports compliance with the Kenya Data Protection Act 2019 and avoids cross-border data transfer obligations that apply to SaaS CRM platforms. Nanosoft retains full data ownership with no third-party data processing agreements required.</w:t>
      </w:r>
    </w:p>
    <w:p>
      <w:pPr>
        <w:spacing w:after="120" w:before="0"/>
        <w:jc w:val="left"/>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1A56A0" w:sz="6" w:space="6"/>
        </w:pBdr>
        <w:spacing w:after="200" w:before="360"/>
      </w:pPr>
      <w:r>
        <w:rPr>
          <w:rFonts w:ascii="Arial" w:cs="Arial" w:eastAsia="Arial" w:hAnsi="Arial"/>
          <w:b/>
          <w:bCs/>
          <w:color w:val="1A56A0"/>
          <w:sz w:val="36"/>
          <w:szCs w:val="36"/>
        </w:rPr>
        <w:t xml:space="preserve">11. Cost Analysis — Twenty vs SaaS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Cost Item</w:t>
            </w:r>
          </w:p>
        </w:tc>
        <w:tc>
          <w:tcPr>
            <w:tcW w:type="dxa" w:w="312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Twenty (Self-Hosted)</w:t>
            </w:r>
          </w:p>
        </w:tc>
        <w:tc>
          <w:tcPr>
            <w:tcW w:type="dxa" w:w="3120"/>
            <w:tcBorders>
              <w:top w:val="single" w:color="B0BEC5" w:sz="1"/>
              <w:left w:val="single" w:color="B0BEC5" w:sz="1"/>
              <w:bottom w:val="single" w:color="B0BEC5" w:sz="1"/>
              <w:right w:val="single" w:color="B0BEC5" w:sz="1"/>
            </w:tcBorders>
            <w:shd w:fill="1A56A0" w:val="clear"/>
            <w:tcMar>
              <w:top w:type="dxa" w:w="80"/>
              <w:left w:type="dxa" w:w="150"/>
              <w:bottom w:type="dxa" w:w="80"/>
              <w:right w:type="dxa" w:w="150"/>
            </w:tcMar>
          </w:tcPr>
          <w:p>
            <w:r>
              <w:rPr>
                <w:rFonts w:ascii="Arial" w:cs="Arial" w:eastAsia="Arial" w:hAnsi="Arial"/>
                <w:b/>
                <w:bCs/>
                <w:color w:val="FFFFFF"/>
                <w:sz w:val="20"/>
                <w:szCs w:val="20"/>
              </w:rPr>
              <w:t xml:space="preserve">Salesforce / HubSpot (SaaS)</w:t>
            </w:r>
          </w:p>
        </w:tc>
      </w:tr>
      <w:tr>
        <w:tc>
          <w:tcPr>
            <w:tcW w:type="dxa" w:w="312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Software licence</w:t>
            </w:r>
          </w:p>
        </w:tc>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KES 0 (MIT open source)</w:t>
            </w:r>
          </w:p>
        </w:tc>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KES 4,000–15,000 per user per month</w:t>
            </w:r>
          </w:p>
        </w:tc>
      </w:tr>
      <w:tr>
        <w:tc>
          <w:tcPr>
            <w:tcW w:type="dxa" w:w="312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10 users / month</w:t>
            </w:r>
          </w:p>
        </w:tc>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KES 0</w:t>
            </w:r>
          </w:p>
        </w:tc>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KES 40,000–150,000 per month</w:t>
            </w:r>
          </w:p>
        </w:tc>
      </w:tr>
      <w:tr>
        <w:tc>
          <w:tcPr>
            <w:tcW w:type="dxa" w:w="312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Server (4 vCPU, 8 GB)</w:t>
            </w:r>
          </w:p>
        </w:tc>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~KES 8,000–15,000 per month</w:t>
            </w:r>
          </w:p>
        </w:tc>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N/A (vendor-hosted)</w:t>
            </w:r>
          </w:p>
        </w:tc>
      </w:tr>
      <w:tr>
        <w:tc>
          <w:tcPr>
            <w:tcW w:type="dxa" w:w="3120"/>
            <w:tcBorders>
              <w:top w:val="single" w:color="B0BEC5" w:sz="1"/>
              <w:left w:val="single" w:color="B0BEC5" w:sz="1"/>
              <w:bottom w:val="single" w:color="B0BEC5" w:sz="1"/>
              <w:right w:val="single" w:color="B0BEC5" w:sz="1"/>
            </w:tcBorders>
            <w:shd w:fill="F4F6F9" w:val="clear"/>
            <w:tcMar>
              <w:top w:type="dxa" w:w="80"/>
              <w:left w:type="dxa" w:w="150"/>
              <w:bottom w:type="dxa" w:w="80"/>
              <w:right w:type="dxa" w:w="150"/>
            </w:tcMar>
          </w:tcPr>
          <w:p>
            <w:r>
              <w:rPr>
                <w:rFonts w:ascii="Arial" w:cs="Arial" w:eastAsia="Arial" w:hAnsi="Arial"/>
                <w:b w:val="false"/>
                <w:bCs w:val="false"/>
                <w:color w:val="1C2833"/>
                <w:sz w:val="20"/>
                <w:szCs w:val="20"/>
              </w:rPr>
              <w:t xml:space="preserve">Implementation (one-time)</w:t>
            </w:r>
          </w:p>
        </w:tc>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KES 80,000–150,000</w:t>
            </w:r>
          </w:p>
        </w:tc>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KES 300,000–1,000,000+</w:t>
            </w:r>
          </w:p>
        </w:tc>
      </w:tr>
      <w:tr>
        <w:tc>
          <w:tcPr>
            <w:tcW w:type="dxa" w:w="3120"/>
            <w:tcBorders>
              <w:top w:val="single" w:color="B0BEC5" w:sz="1"/>
              <w:left w:val="single" w:color="B0BEC5" w:sz="1"/>
              <w:bottom w:val="single" w:color="B0BEC5" w:sz="1"/>
              <w:right w:val="single" w:color="B0BEC5" w:sz="1"/>
            </w:tcBorders>
            <w:shd w:fill="D0E4F7" w:val="clear"/>
            <w:tcMar>
              <w:top w:type="dxa" w:w="80"/>
              <w:left w:type="dxa" w:w="150"/>
              <w:bottom w:type="dxa" w:w="80"/>
              <w:right w:type="dxa" w:w="150"/>
            </w:tcMar>
          </w:tcPr>
          <w:p>
            <w:r>
              <w:rPr>
                <w:rFonts w:ascii="Arial" w:cs="Arial" w:eastAsia="Arial" w:hAnsi="Arial"/>
                <w:b w:val="false"/>
                <w:bCs w:val="false"/>
                <w:color w:val="1C2833"/>
                <w:sz w:val="20"/>
                <w:szCs w:val="20"/>
              </w:rPr>
              <w:t xml:space="preserve">Year 1 Total (10 users)</w:t>
            </w:r>
          </w:p>
        </w:tc>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~KES 260,000</w:t>
            </w:r>
          </w:p>
        </w:tc>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KES 780,000–2,800,000+</w:t>
            </w:r>
          </w:p>
        </w:tc>
      </w:tr>
      <w:tr>
        <w:tc>
          <w:tcPr>
            <w:tcW w:type="dxa" w:w="3120"/>
            <w:tcBorders>
              <w:top w:val="single" w:color="B0BEC5" w:sz="1"/>
              <w:left w:val="single" w:color="B0BEC5" w:sz="1"/>
              <w:bottom w:val="single" w:color="B0BEC5" w:sz="1"/>
              <w:right w:val="single" w:color="B0BEC5" w:sz="1"/>
            </w:tcBorders>
            <w:shd w:fill="D0E4F7" w:val="clear"/>
            <w:tcMar>
              <w:top w:type="dxa" w:w="80"/>
              <w:left w:type="dxa" w:w="150"/>
              <w:bottom w:type="dxa" w:w="80"/>
              <w:right w:type="dxa" w:w="150"/>
            </w:tcMar>
          </w:tcPr>
          <w:p>
            <w:r>
              <w:rPr>
                <w:rFonts w:ascii="Arial" w:cs="Arial" w:eastAsia="Arial" w:hAnsi="Arial"/>
                <w:b w:val="false"/>
                <w:bCs w:val="false"/>
                <w:color w:val="1C2833"/>
                <w:sz w:val="20"/>
                <w:szCs w:val="20"/>
              </w:rPr>
              <w:t xml:space="preserve">Year 2 onwards</w:t>
            </w:r>
          </w:p>
        </w:tc>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~KES 180,000 per year (server only)</w:t>
            </w:r>
          </w:p>
        </w:tc>
        <w:tc>
          <w:tcPr>
            <w:tcW w:type="dxa" w:w="3120"/>
            <w:tcBorders>
              <w:top w:val="single" w:color="B0BEC5" w:sz="1"/>
              <w:left w:val="single" w:color="B0BEC5" w:sz="1"/>
              <w:bottom w:val="single" w:color="B0BEC5" w:sz="1"/>
              <w:right w:val="single" w:color="B0BEC5" w:sz="1"/>
            </w:tcBorders>
            <w:shd w:fill="FFFFFF" w:val="clear"/>
            <w:tcMar>
              <w:top w:type="dxa" w:w="80"/>
              <w:left w:type="dxa" w:w="150"/>
              <w:bottom w:type="dxa" w:w="80"/>
              <w:right w:type="dxa" w:w="150"/>
            </w:tcMar>
          </w:tcPr>
          <w:p>
            <w:r>
              <w:rPr>
                <w:rFonts w:ascii="Arial" w:cs="Arial" w:eastAsia="Arial" w:hAnsi="Arial"/>
                <w:b w:val="false"/>
                <w:bCs w:val="false"/>
                <w:color w:val="1C2833"/>
                <w:sz w:val="20"/>
                <w:szCs w:val="20"/>
              </w:rPr>
              <w:t xml:space="preserve">Same annual SaaS fees continue</w:t>
            </w:r>
          </w:p>
        </w:tc>
      </w:tr>
    </w:tbl>
    <w:p>
      <w:pPr>
        <w:spacing w:after="120" w:before="0"/>
        <w:jc w:val="left"/>
      </w:pPr>
      <w:r>
        <w:rPr>
          <w:rFonts w:ascii="Arial" w:cs="Arial" w:eastAsia="Arial" w:hAnsi="Arial"/>
          <w:b w:val="false"/>
          <w:bCs w:val="false"/>
          <w:i w:val="false"/>
          <w:iCs w:val="false"/>
          <w:color w:val="1C28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67E22" w:sz="1"/>
              <w:left w:val="single" w:color="E67E22" w:sz="1"/>
              <w:bottom w:val="single" w:color="E67E22" w:sz="1"/>
              <w:right w:val="single" w:color="E67E22" w:sz="1"/>
            </w:tcBorders>
            <w:shd w:fill="E67E2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ROI</w:t>
            </w:r>
          </w:p>
        </w:tc>
        <w:tc>
          <w:tcPr>
            <w:tcW w:type="dxa" w:w="7960"/>
            <w:tcBorders>
              <w:top w:val="single" w:color="E67E22" w:sz="1"/>
              <w:left w:val="single" w:color="E67E22" w:sz="1"/>
              <w:bottom w:val="single" w:color="E67E22" w:sz="1"/>
              <w:right w:val="single" w:color="E67E22" w:sz="1"/>
            </w:tcBorders>
            <w:shd w:fill="FEF3E2" w:val="clear"/>
            <w:tcMar>
              <w:top w:type="dxa" w:w="100"/>
              <w:left w:type="dxa" w:w="150"/>
              <w:bottom w:type="dxa" w:w="100"/>
              <w:right w:type="dxa" w:w="150"/>
            </w:tcMar>
          </w:tcPr>
          <w:p>
            <w:r>
              <w:rPr>
                <w:rFonts w:ascii="Arial" w:cs="Arial" w:eastAsia="Arial" w:hAnsi="Arial"/>
                <w:color w:val="1C2833"/>
                <w:sz w:val="20"/>
                <w:szCs w:val="20"/>
              </w:rPr>
              <w:t xml:space="preserve">At 10 users, Twenty self-hosted delivers a 70–90% cost saving vs. an equivalent SaaS CRM over 3 years. Nanosoft also gains full data sovereignty, unlimited customisation, and the ability to integrate with its own product APIs at zero additional licensing cost.</w:t>
            </w:r>
          </w:p>
        </w:tc>
      </w:tr>
    </w:tbl>
    <w:p>
      <w:pPr>
        <w:spacing w:after="120" w:before="0"/>
        <w:jc w:val="left"/>
      </w:pPr>
      <w:r>
        <w:rPr>
          <w:rFonts w:ascii="Arial" w:cs="Arial" w:eastAsia="Arial" w:hAnsi="Arial"/>
          <w:b w:val="false"/>
          <w:bCs w:val="false"/>
          <w:i w:val="false"/>
          <w:iCs w:val="false"/>
          <w:color w:val="1C2833"/>
          <w:sz w:val="22"/>
          <w:szCs w:val="22"/>
        </w:rPr>
        <w:t xml:space="preserve"/>
      </w:r>
    </w:p>
    <w:p>
      <w:r>
        <w:br w:type="page"/>
      </w:r>
    </w:p>
    <w:p>
      <w:pPr>
        <w:pStyle w:val="Heading1"/>
        <w:pBdr>
          <w:bottom w:val="single" w:color="1A56A0" w:sz="6" w:space="6"/>
        </w:pBdr>
        <w:spacing w:after="200" w:before="360"/>
      </w:pPr>
      <w:r>
        <w:rPr>
          <w:rFonts w:ascii="Arial" w:cs="Arial" w:eastAsia="Arial" w:hAnsi="Arial"/>
          <w:b/>
          <w:bCs/>
          <w:color w:val="1A56A0"/>
          <w:sz w:val="36"/>
          <w:szCs w:val="36"/>
        </w:rPr>
        <w:t xml:space="preserve">12. Next Steps</w:t>
      </w:r>
    </w:p>
    <w:p>
      <w:pPr>
        <w:pStyle w:val="Heading2"/>
        <w:spacing w:after="140" w:before="280"/>
      </w:pPr>
      <w:r>
        <w:rPr>
          <w:rFonts w:ascii="Arial" w:cs="Arial" w:eastAsia="Arial" w:hAnsi="Arial"/>
          <w:b/>
          <w:bCs/>
          <w:color w:val="1C2833"/>
          <w:sz w:val="28"/>
          <w:szCs w:val="28"/>
        </w:rPr>
        <w:t xml:space="preserve">Immediate Actions</w:t>
      </w:r>
    </w:p>
    <w:p>
      <w:pPr>
        <w:pStyle w:val="ListParagraph"/>
        <w:numPr>
          <w:ilvl w:val="0"/>
          <w:numId w:val="3"/>
        </w:numPr>
        <w:spacing w:after="40" w:before="40"/>
      </w:pPr>
      <w:r>
        <w:rPr>
          <w:rFonts w:ascii="Arial" w:cs="Arial" w:eastAsia="Arial" w:hAnsi="Arial"/>
          <w:color w:val="1C2833"/>
          <w:sz w:val="22"/>
          <w:szCs w:val="22"/>
        </w:rPr>
        <w:t xml:space="preserve">Confirm server provisioning: local server at Kanjata Rd office or Kenyan cloud VPS (recommended: Hetzner Falkenstein or Google Cloud africa-south1 for latency and data residency)</w:t>
      </w:r>
    </w:p>
    <w:p>
      <w:pPr>
        <w:pStyle w:val="ListParagraph"/>
        <w:numPr>
          <w:ilvl w:val="0"/>
          <w:numId w:val="3"/>
        </w:numPr>
        <w:spacing w:after="40" w:before="40"/>
      </w:pPr>
      <w:r>
        <w:rPr>
          <w:rFonts w:ascii="Arial" w:cs="Arial" w:eastAsia="Arial" w:hAnsi="Arial"/>
          <w:color w:val="1C2833"/>
          <w:sz w:val="22"/>
          <w:szCs w:val="22"/>
        </w:rPr>
        <w:t xml:space="preserve">Reserve CRM subdomain: crm.nanosoft.co.ke — point DNS A record to server IP</w:t>
      </w:r>
    </w:p>
    <w:p>
      <w:pPr>
        <w:pStyle w:val="ListParagraph"/>
        <w:numPr>
          <w:ilvl w:val="0"/>
          <w:numId w:val="3"/>
        </w:numPr>
        <w:spacing w:after="40" w:before="40"/>
      </w:pPr>
      <w:r>
        <w:rPr>
          <w:rFonts w:ascii="Arial" w:cs="Arial" w:eastAsia="Arial" w:hAnsi="Arial"/>
          <w:color w:val="1C2833"/>
          <w:sz w:val="22"/>
          <w:szCs w:val="22"/>
        </w:rPr>
        <w:t xml:space="preserve">Identify CRM Administrator (internal IT contact) who will own the system post-implementation</w:t>
      </w:r>
    </w:p>
    <w:p>
      <w:pPr>
        <w:pStyle w:val="ListParagraph"/>
        <w:numPr>
          <w:ilvl w:val="0"/>
          <w:numId w:val="3"/>
        </w:numPr>
        <w:spacing w:after="40" w:before="40"/>
      </w:pPr>
      <w:r>
        <w:rPr>
          <w:rFonts w:ascii="Arial" w:cs="Arial" w:eastAsia="Arial" w:hAnsi="Arial"/>
          <w:color w:val="1C2833"/>
          <w:sz w:val="22"/>
          <w:szCs w:val="22"/>
        </w:rPr>
        <w:t xml:space="preserve">Export existing client list from current spreadsheet/system for Phase 1 import</w:t>
      </w:r>
    </w:p>
    <w:p>
      <w:pPr>
        <w:pStyle w:val="ListParagraph"/>
        <w:numPr>
          <w:ilvl w:val="0"/>
          <w:numId w:val="3"/>
        </w:numPr>
        <w:spacing w:after="40" w:before="40"/>
      </w:pPr>
      <w:r>
        <w:rPr>
          <w:rFonts w:ascii="Arial" w:cs="Arial" w:eastAsia="Arial" w:hAnsi="Arial"/>
          <w:color w:val="1C2833"/>
          <w:sz w:val="22"/>
          <w:szCs w:val="22"/>
        </w:rPr>
        <w:t xml:space="preserve">Schedule kick-off call with implementation partner to align Phase 1 timeline and resource allocation</w:t>
      </w:r>
    </w:p>
    <w:p>
      <w:pPr>
        <w:spacing w:after="120" w:before="0"/>
        <w:jc w:val="left"/>
      </w:pPr>
      <w:r>
        <w:rPr>
          <w:rFonts w:ascii="Arial" w:cs="Arial" w:eastAsia="Arial" w:hAnsi="Arial"/>
          <w:b w:val="false"/>
          <w:bCs w:val="false"/>
          <w:i w:val="false"/>
          <w:iCs w:val="false"/>
          <w:color w:val="1C2833"/>
          <w:sz w:val="22"/>
          <w:szCs w:val="22"/>
        </w:rPr>
        <w:t xml:space="preserve"/>
      </w:r>
    </w:p>
    <w:p>
      <w:pPr>
        <w:pStyle w:val="Heading2"/>
        <w:spacing w:after="140" w:before="280"/>
      </w:pPr>
      <w:r>
        <w:rPr>
          <w:rFonts w:ascii="Arial" w:cs="Arial" w:eastAsia="Arial" w:hAnsi="Arial"/>
          <w:b/>
          <w:bCs/>
          <w:color w:val="1C2833"/>
          <w:sz w:val="28"/>
          <w:szCs w:val="28"/>
        </w:rPr>
        <w:t xml:space="preserve">Resources</w:t>
      </w:r>
    </w:p>
    <w:p>
      <w:pPr>
        <w:spacing w:after="80" w:before="80"/>
      </w:pPr>
      <w:r>
        <w:rPr>
          <w:rFonts w:ascii="Arial" w:cs="Arial" w:eastAsia="Arial" w:hAnsi="Arial"/>
          <w:b/>
          <w:bCs/>
          <w:sz w:val="22"/>
          <w:szCs w:val="22"/>
        </w:rPr>
        <w:t xml:space="preserve">Twenty Official Site: </w:t>
      </w:r>
      <w:hyperlink w:history="1" r:id="rIdrdxmjzhoketjgxontnz69">
        <w:r>
          <w:rPr>
            <w:rStyle w:val="Hyperlink"/>
            <w:rFonts w:ascii="Arial" w:cs="Arial" w:eastAsia="Arial" w:hAnsi="Arial"/>
            <w:sz w:val="22"/>
            <w:szCs w:val="22"/>
          </w:rPr>
          <w:t xml:space="preserve">https://twenty.com</w:t>
        </w:r>
      </w:hyperlink>
    </w:p>
    <w:p>
      <w:pPr>
        <w:spacing w:after="80" w:before="80"/>
      </w:pPr>
      <w:r>
        <w:rPr>
          <w:rFonts w:ascii="Arial" w:cs="Arial" w:eastAsia="Arial" w:hAnsi="Arial"/>
          <w:b/>
          <w:bCs/>
          <w:sz w:val="22"/>
          <w:szCs w:val="22"/>
        </w:rPr>
        <w:t xml:space="preserve">Documentation: </w:t>
      </w:r>
      <w:hyperlink w:history="1" r:id="rIdxtzjwmi6horj_nqe45bbx">
        <w:r>
          <w:rPr>
            <w:rStyle w:val="Hyperlink"/>
            <w:rFonts w:ascii="Arial" w:cs="Arial" w:eastAsia="Arial" w:hAnsi="Arial"/>
            <w:sz w:val="22"/>
            <w:szCs w:val="22"/>
          </w:rPr>
          <w:t xml:space="preserve">https://docs.twenty.com</w:t>
        </w:r>
      </w:hyperlink>
    </w:p>
    <w:p>
      <w:pPr>
        <w:spacing w:after="80" w:before="80"/>
      </w:pPr>
      <w:r>
        <w:rPr>
          <w:rFonts w:ascii="Arial" w:cs="Arial" w:eastAsia="Arial" w:hAnsi="Arial"/>
          <w:b/>
          <w:bCs/>
          <w:sz w:val="22"/>
          <w:szCs w:val="22"/>
        </w:rPr>
        <w:t xml:space="preserve">GitHub Repository: </w:t>
      </w:r>
      <w:hyperlink w:history="1" r:id="rIdvb-qhfhz03ld1saj8bifz">
        <w:r>
          <w:rPr>
            <w:rStyle w:val="Hyperlink"/>
            <w:rFonts w:ascii="Arial" w:cs="Arial" w:eastAsia="Arial" w:hAnsi="Arial"/>
            <w:sz w:val="22"/>
            <w:szCs w:val="22"/>
          </w:rPr>
          <w:t xml:space="preserve">https://github.com/twentyhq/twenty</w:t>
        </w:r>
      </w:hyperlink>
    </w:p>
    <w:p>
      <w:pPr>
        <w:spacing w:after="80" w:before="80"/>
      </w:pPr>
      <w:r>
        <w:rPr>
          <w:rFonts w:ascii="Arial" w:cs="Arial" w:eastAsia="Arial" w:hAnsi="Arial"/>
          <w:b/>
          <w:bCs/>
          <w:sz w:val="22"/>
          <w:szCs w:val="22"/>
        </w:rPr>
        <w:t xml:space="preserve">Docker Hub: </w:t>
      </w:r>
      <w:hyperlink w:history="1" r:id="rIdbohx5cmpmdz_t6wzopiuo">
        <w:r>
          <w:rPr>
            <w:rStyle w:val="Hyperlink"/>
            <w:rFonts w:ascii="Arial" w:cs="Arial" w:eastAsia="Arial" w:hAnsi="Arial"/>
            <w:sz w:val="22"/>
            <w:szCs w:val="22"/>
          </w:rPr>
          <w:t xml:space="preserve">https://hub.docker.com/r/twentycrm/twenty</w:t>
        </w:r>
      </w:hyperlink>
    </w:p>
    <w:p>
      <w:pPr>
        <w:spacing w:after="80" w:before="80"/>
      </w:pPr>
      <w:r>
        <w:rPr>
          <w:rFonts w:ascii="Arial" w:cs="Arial" w:eastAsia="Arial" w:hAnsi="Arial"/>
          <w:b/>
          <w:bCs/>
          <w:sz w:val="22"/>
          <w:szCs w:val="22"/>
        </w:rPr>
        <w:t xml:space="preserve">Deploy on Railway (quick pilot): </w:t>
      </w:r>
      <w:hyperlink w:history="1" r:id="rIdvniqb3x60ebzyb7yal9nx">
        <w:r>
          <w:rPr>
            <w:rStyle w:val="Hyperlink"/>
            <w:rFonts w:ascii="Arial" w:cs="Arial" w:eastAsia="Arial" w:hAnsi="Arial"/>
            <w:sz w:val="22"/>
            <w:szCs w:val="22"/>
          </w:rPr>
          <w:t xml:space="preserve">https://railway.com/deploy/twenty-open-source-crm</w:t>
        </w:r>
      </w:hyperlink>
    </w:p>
    <w:p>
      <w:pPr>
        <w:spacing w:after="120" w:before="0"/>
        <w:jc w:val="left"/>
      </w:pPr>
      <w:r>
        <w:rPr>
          <w:rFonts w:ascii="Arial" w:cs="Arial" w:eastAsia="Arial" w:hAnsi="Arial"/>
          <w:b w:val="false"/>
          <w:bCs w:val="false"/>
          <w:i w:val="false"/>
          <w:iCs w:val="false"/>
          <w:color w:val="1C2833"/>
          <w:sz w:val="22"/>
          <w:szCs w:val="22"/>
        </w:rPr>
        <w:t xml:space="preserve"/>
      </w:r>
    </w:p>
    <w:p>
      <w:pPr>
        <w:pBdr>
          <w:bottom w:val="single" w:color="B0BEC5" w:sz="3" w:space="1"/>
        </w:pBdr>
        <w:spacing w:after="120" w:before="120"/>
      </w:pPr>
    </w:p>
    <w:p>
      <w:pPr>
        <w:spacing w:after="120" w:before="0"/>
        <w:jc w:val="left"/>
      </w:pPr>
      <w:r>
        <w:rPr>
          <w:rFonts w:ascii="Arial" w:cs="Arial" w:eastAsia="Arial" w:hAnsi="Arial"/>
          <w:b w:val="false"/>
          <w:bCs w:val="false"/>
          <w:i w:val="false"/>
          <w:iCs w:val="false"/>
          <w:color w:val="1C2833"/>
          <w:sz w:val="22"/>
          <w:szCs w:val="22"/>
        </w:rPr>
        <w:t xml:space="preserve"/>
      </w:r>
    </w:p>
    <w:p>
      <w:pPr>
        <w:spacing w:after="120" w:before="0"/>
        <w:jc w:val="left"/>
      </w:pPr>
      <w:r>
        <w:rPr>
          <w:rFonts w:ascii="Arial" w:cs="Arial" w:eastAsia="Arial" w:hAnsi="Arial"/>
          <w:b w:val="false"/>
          <w:bCs w:val="false"/>
          <w:i/>
          <w:iCs/>
          <w:color w:val="5D6D7E"/>
          <w:sz w:val="20"/>
          <w:szCs w:val="20"/>
        </w:rPr>
        <w:t xml:space="preserve">Prepared by: Lead Twenty CRM Implementation Partner</w:t>
      </w:r>
    </w:p>
    <w:p>
      <w:pPr>
        <w:spacing w:after="120" w:before="0"/>
        <w:jc w:val="left"/>
      </w:pPr>
      <w:r>
        <w:rPr>
          <w:rFonts w:ascii="Arial" w:cs="Arial" w:eastAsia="Arial" w:hAnsi="Arial"/>
          <w:b w:val="false"/>
          <w:bCs w:val="false"/>
          <w:i/>
          <w:iCs/>
          <w:color w:val="5D6D7E"/>
          <w:sz w:val="20"/>
          <w:szCs w:val="20"/>
        </w:rPr>
        <w:t xml:space="preserve">For: Nanosoft Technology — Kanjata Rd, Lavington, Nairobi, Kenya</w:t>
      </w:r>
    </w:p>
    <w:p>
      <w:pPr>
        <w:spacing w:after="120" w:before="0"/>
        <w:jc w:val="left"/>
      </w:pPr>
      <w:r>
        <w:rPr>
          <w:rFonts w:ascii="Arial" w:cs="Arial" w:eastAsia="Arial" w:hAnsi="Arial"/>
          <w:b w:val="false"/>
          <w:bCs w:val="false"/>
          <w:i/>
          <w:iCs/>
          <w:color w:val="5D6D7E"/>
          <w:sz w:val="20"/>
          <w:szCs w:val="20"/>
        </w:rPr>
        <w:t xml:space="preserve">Version 1.0  |  June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4"/>
      </w:pBdr>
    </w:pPr>
    <w:r>
      <w:rPr>
        <w:rFonts w:ascii="Arial" w:cs="Arial" w:eastAsia="Arial" w:hAnsi="Arial"/>
        <w:color w:val="5D6D7E"/>
        <w:sz w:val="18"/>
        <w:szCs w:val="18"/>
      </w:rPr>
      <w:t xml:space="preserve">Confidential — Nanosoft Technology    </w:t>
    </w:r>
    <w:r>
      <w:rPr>
        <w:rFonts w:ascii="Arial" w:cs="Arial" w:eastAsia="Arial" w:hAnsi="Arial"/>
        <w:color w:val="1A56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4"/>
      </w:pBdr>
      <w:jc w:val="right"/>
    </w:pPr>
    <w:r>
      <w:rPr>
        <w:rFonts w:ascii="Arial" w:cs="Arial" w:eastAsia="Arial" w:hAnsi="Arial"/>
        <w:color w:val="5D6D7E"/>
        <w:sz w:val="18"/>
        <w:szCs w:val="18"/>
      </w:rPr>
      <w:t xml:space="preserve">NANOSOFT TECHNOLOGY  •  Twenty CRM Implementation Guide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A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C283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dxmjzhoketjgxontnz69" Type="http://schemas.openxmlformats.org/officeDocument/2006/relationships/hyperlink" Target="https://twenty.com" TargetMode="External"/><Relationship Id="rIdxtzjwmi6horj_nqe45bbx" Type="http://schemas.openxmlformats.org/officeDocument/2006/relationships/hyperlink" Target="https://docs.twenty.com" TargetMode="External"/><Relationship Id="rIdvb-qhfhz03ld1saj8bifz" Type="http://schemas.openxmlformats.org/officeDocument/2006/relationships/hyperlink" Target="https://github.com/twentyhq/twenty" TargetMode="External"/><Relationship Id="rIdbohx5cmpmdz_t6wzopiuo" Type="http://schemas.openxmlformats.org/officeDocument/2006/relationships/hyperlink" Target="https://hub.docker.com/r/twentycrm/twenty" TargetMode="External"/><Relationship Id="rIdvniqb3x60ebzyb7yal9nx" Type="http://schemas.openxmlformats.org/officeDocument/2006/relationships/hyperlink" Target="https://railway.com/deploy/twenty-open-source-crm"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2026-06-09T12:43:57.326Z</dcterms:created>
  <dcterms:modified xsi:type="dcterms:W3CDTF">2026-06-09T12:43:57.327Z</dcterms:modified>
</cp:coreProperties>
</file>

<file path=docProps/custom.xml><?xml version="1.0" encoding="utf-8"?>
<Properties xmlns="http://schemas.openxmlformats.org/officeDocument/2006/custom-properties" xmlns:vt="http://schemas.openxmlformats.org/officeDocument/2006/docPropsVTypes"/>
</file>