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ONETOO - Official Technical &amp; Governance Summary (for Regulators / Grants / Academic Review)</w:t>
      </w:r>
    </w:p>
    <w:p>
      <w:r>
        <w:t>Version: 1.0 | Date: 2026-01-25 | Author/Operator: Fedor (ONETOO architect &amp; operator)</w:t>
      </w:r>
    </w:p>
    <w:p>
      <w:r>
        <w:rPr>
          <w:b/>
          <w:sz w:val="28"/>
        </w:rPr>
        <w:t>1. Purpose</w:t>
      </w:r>
    </w:p>
    <w:p>
      <w:r>
        <w:t>ONETOO is a deterministic, audit-first trust ecosystem designed to publish verifiable, machine-readable trust signals for AI agents and human users without relying on opaque ML ranking or centralized intermediaries.</w:t>
      </w:r>
    </w:p>
    <w:p>
      <w:r>
        <w:rPr>
          <w:b/>
          <w:sz w:val="28"/>
        </w:rPr>
        <w:t>2. Core Principles</w:t>
      </w:r>
    </w:p>
    <w:p>
      <w:pPr>
        <w:pStyle w:val="ListBullet"/>
      </w:pPr>
      <w:r>
        <w:t>Determinism: identical inputs yield identical outputs (no ML, no randomness).</w:t>
      </w:r>
    </w:p>
    <w:p>
      <w:pPr>
        <w:pStyle w:val="ListBullet"/>
      </w:pPr>
      <w:r>
        <w:t>Auditability: every claim links to verifiable artifacts (hashes, signatures, provenance).</w:t>
      </w:r>
    </w:p>
    <w:p>
      <w:pPr>
        <w:pStyle w:val="ListBullet"/>
      </w:pPr>
      <w:r>
        <w:t>Separation of concerns: trust root publishes; runtime consumes; portal visualizes (read-only).</w:t>
      </w:r>
    </w:p>
    <w:p>
      <w:pPr>
        <w:pStyle w:val="ListBullet"/>
      </w:pPr>
      <w:r>
        <w:t>Fail-safe behavior: errors produce transparent, non-deceptive outputs (e.g., empty results with reason).</w:t>
      </w:r>
    </w:p>
    <w:p>
      <w:pPr>
        <w:pStyle w:val="ListBullet"/>
      </w:pPr>
      <w:r>
        <w:t>Longevity: decade-stable URLs, signed artifacts, minimal moving parts.</w:t>
      </w:r>
    </w:p>
    <w:p>
      <w:r>
        <w:rPr>
          <w:b/>
          <w:sz w:val="28"/>
        </w:rPr>
        <w:t>3. System Components</w:t>
      </w:r>
    </w:p>
    <w:p>
      <w:pPr>
        <w:pStyle w:val="ListBullet"/>
      </w:pPr>
      <w:r>
        <w:t>onetoo.eu (Trust Root): static publication of .well-known endpoints, dumps, governance/policy artifacts.</w:t>
      </w:r>
    </w:p>
    <w:p>
      <w:pPr>
        <w:pStyle w:val="ListBullet"/>
      </w:pPr>
      <w:r>
        <w:t>Autopilot (Pipeline): deterministic validation and promotion between lanes (pending/sandbox/accepted).</w:t>
      </w:r>
    </w:p>
    <w:p>
      <w:pPr>
        <w:pStyle w:val="ListBullet"/>
      </w:pPr>
      <w:r>
        <w:t>search.onetoo.eu (Runtime): API discovery via deterministic ranking; OpenAPI published.</w:t>
      </w:r>
    </w:p>
    <w:p>
      <w:pPr>
        <w:pStyle w:val="ListBullet"/>
      </w:pPr>
      <w:r>
        <w:t>portal.onetoo.eu (Human UI): read-only browser of the same trust state; does not decide or modify registry.</w:t>
      </w:r>
    </w:p>
    <w:p>
      <w:pPr>
        <w:pStyle w:val="ListBullet"/>
      </w:pPr>
      <w:r>
        <w:t>Publishers (e.g., HGPEdu): real entities exposing well-known artifacts and signed content.</w:t>
      </w:r>
    </w:p>
    <w:p>
      <w:r>
        <w:rPr>
          <w:b/>
          <w:sz w:val="28"/>
        </w:rPr>
        <w:t>4. Transparency and Verification</w:t>
      </w:r>
    </w:p>
    <w:p>
      <w:pPr>
        <w:pStyle w:val="ListBullet"/>
      </w:pPr>
      <w:r>
        <w:t>Public dumps (accepted-set) are published from the trust root and consumed by search/runtime.</w:t>
      </w:r>
    </w:p>
    <w:p>
      <w:pPr>
        <w:pStyle w:val="ListBullet"/>
      </w:pPr>
      <w:r>
        <w:t>Integrity artifacts (sha256 + minisign) allow third-party verification of published state.</w:t>
      </w:r>
    </w:p>
    <w:p>
      <w:pPr>
        <w:pStyle w:val="ListBullet"/>
      </w:pPr>
      <w:r>
        <w:t>Roadmap includes a public decision trace timeline for autopilot decisions.</w:t>
      </w:r>
    </w:p>
    <w:p>
      <w:r>
        <w:rPr>
          <w:b/>
          <w:sz w:val="28"/>
        </w:rPr>
        <w:t>5. Identified Gaps (as-of 2026-01-25) and Mitigation Plan</w:t>
      </w:r>
    </w:p>
    <w:p>
      <w:pPr>
        <w:pStyle w:val="ListBullet"/>
      </w:pPr>
      <w:r>
        <w:t>Limited ecosystem scale (small accepted-set) -&gt; adoption kit + onboarding + federation plan.</w:t>
      </w:r>
    </w:p>
    <w:p>
      <w:pPr>
        <w:pStyle w:val="ListBullet"/>
      </w:pPr>
      <w:r>
        <w:t>Portal currently minimal -&gt; prioritized upgrade to read-only trust browser (Q1-Q2 2026).</w:t>
      </w:r>
    </w:p>
    <w:p>
      <w:pPr>
        <w:pStyle w:val="ListBullet"/>
      </w:pPr>
      <w:r>
        <w:t>Deploy drift risk (Pages vs Worker) -&gt; CI/CD with controlled releases and monitoring.</w:t>
      </w:r>
    </w:p>
    <w:p>
      <w:pPr>
        <w:pStyle w:val="ListBullet"/>
      </w:pPr>
      <w:r>
        <w:t>Canonical URL consistency -&gt; explicit canonical endpoints and stability section.</w:t>
      </w:r>
    </w:p>
    <w:p>
      <w:r>
        <w:rPr>
          <w:b/>
          <w:sz w:val="28"/>
        </w:rPr>
        <w:t>6. Roadmap (High Level)</w:t>
      </w:r>
    </w:p>
    <w:p>
      <w:pPr>
        <w:pStyle w:val="ListBullet"/>
      </w:pPr>
      <w:r>
        <w:t>Q1-Q2 2026: Portal upgrade; transparency timeline; canonical stability section.</w:t>
      </w:r>
    </w:p>
    <w:p>
      <w:pPr>
        <w:pStyle w:val="ListBullet"/>
      </w:pPr>
      <w:r>
        <w:t>2026: SDKs, validators, adoption kit; expanded entity types; partner pilots.</w:t>
      </w:r>
    </w:p>
    <w:p>
      <w:pPr>
        <w:pStyle w:val="ListBullet"/>
      </w:pPr>
      <w:r>
        <w:t>Later: federation across multiple trust roots with deterministic merging and conflict rules.</w:t>
      </w:r>
    </w:p>
    <w:p>
      <w:r>
        <w:rPr>
          <w:b/>
          <w:sz w:val="28"/>
        </w:rPr>
        <w:t>7. Response to Independent Evaluation (Operator Statement)</w:t>
      </w:r>
    </w:p>
    <w:p>
      <w:r>
        <w:t>The independent evaluation score (6.5-7/10) is considered fair and accurate for the current development phase. The system intentionally prioritized core determinism and auditability over human UX. The portal is acknowledged as the weakest layer and is the top priority for the next 3-6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