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p>
    <w:p>
      <w:pPr>
        <w:spacing w:after="60"/>
      </w:pPr>
    </w:p>
    <w:p>
      <w:pPr>
        <w:spacing w:after="60"/>
      </w:pPr>
    </w:p>
    <w:p>
      <w:pPr>
        <w:spacing w:after="60"/>
      </w:pPr>
    </w:p>
    <w:p>
      <w:pPr>
        <w:spacing w:after="60"/>
      </w:pPr>
    </w:p>
    <w:p>
      <w:pPr>
        <w:spacing w:after="60"/>
      </w:pPr>
    </w:p>
    <w:p>
      <w:pPr>
        <w:spacing w:after="200"/>
        <w:jc w:val="center"/>
      </w:pPr>
      <w:r>
        <w:rPr>
          <w:rFonts w:ascii="Arial" w:cs="Arial" w:eastAsia="Arial" w:hAnsi="Arial"/>
          <w:b/>
          <w:bCs/>
          <w:color w:val="1B4F72"/>
          <w:sz w:val="56"/>
          <w:szCs w:val="56"/>
        </w:rPr>
        <w:t xml:space="preserve">Project Guide</w:t>
      </w:r>
    </w:p>
    <w:p>
      <w:pPr>
        <w:spacing w:after="120"/>
        <w:jc w:val="center"/>
      </w:pPr>
      <w:r>
        <w:rPr>
          <w:rFonts w:ascii="Arial" w:cs="Arial" w:eastAsia="Arial" w:hAnsi="Arial"/>
          <w:color w:val="2E86C1"/>
          <w:sz w:val="40"/>
          <w:szCs w:val="40"/>
        </w:rPr>
        <w:t xml:space="preserve">Analysing Cost of Living and Inflation</w:t>
      </w:r>
    </w:p>
    <w:p>
      <w:pPr>
        <w:spacing w:after="80"/>
        <w:jc w:val="center"/>
      </w:pPr>
      <w:r>
        <w:rPr>
          <w:rFonts w:ascii="Arial" w:cs="Arial" w:eastAsia="Arial" w:hAnsi="Arial"/>
          <w:color w:val="2E86C1"/>
          <w:sz w:val="40"/>
          <w:szCs w:val="40"/>
        </w:rPr>
        <w:t xml:space="preserve">Using ONS Data</w:t>
      </w:r>
    </w:p>
    <w:p>
      <w:pPr>
        <w:spacing w:after="60"/>
      </w:pPr>
    </w:p>
    <w:p>
      <w:pPr>
        <w:spacing w:after="60"/>
        <w:jc w:val="center"/>
      </w:pPr>
      <w:r>
        <w:rPr>
          <w:i/>
          <w:iCs/>
          <w:color w:val="555555"/>
          <w:sz w:val="24"/>
          <w:szCs w:val="24"/>
        </w:rPr>
        <w:t xml:space="preserve">A Complete Roadmap to Achieving an Exceptional Mark</w:t>
      </w:r>
    </w:p>
    <w:p>
      <w:pPr>
        <w:spacing w:after="60"/>
      </w:pPr>
    </w:p>
    <w:p>
      <w:pPr>
        <w:spacing w:after="60"/>
      </w:pPr>
    </w:p>
    <w:p>
      <w:pPr>
        <w:spacing w:after="60"/>
      </w:pPr>
    </w:p>
    <w:p>
      <w:pPr>
        <w:spacing w:after="60"/>
      </w:pPr>
    </w:p>
    <w:p>
      <w:pPr>
        <w:spacing w:after="60"/>
      </w:pPr>
    </w:p>
    <w:p>
      <w:pPr>
        <w:spacing w:after="60"/>
      </w:pPr>
    </w:p>
    <w:p>
      <w:pPr>
        <w:spacing w:after="60"/>
      </w:pPr>
    </w:p>
    <w:p>
      <w:pPr>
        <w:spacing w:after="60"/>
      </w:pPr>
    </w:p>
    <w:p>
      <w:pPr>
        <w:spacing w:after="60"/>
        <w:jc w:val="center"/>
      </w:pPr>
      <w:r>
        <w:rPr>
          <w:color w:val="777777"/>
          <w:sz w:val="22"/>
          <w:szCs w:val="22"/>
        </w:rPr>
        <w:t xml:space="preserve">Applied Data Science — Project 15</w:t>
      </w:r>
    </w:p>
    <w:p>
      <w:r>
        <w:br w:type="page"/>
      </w:r>
    </w:p>
    <w:p>
      <w:pPr>
        <w:pStyle w:val="Heading1"/>
      </w:pPr>
      <w:r>
        <w:t xml:space="preserve">Table of Contents</w:t>
      </w:r>
    </w:p>
    <w:p>
      <w:pPr>
        <w:spacing w:after="60"/>
      </w:pPr>
    </w:p>
    <w:p>
      <w:pPr>
        <w:tabs>
          <w:tab w:val="right" w:pos="9026"/>
        </w:tabs>
        <w:spacing w:after="40"/>
      </w:pPr>
      <w:r>
        <w:rPr>
          <w:rFonts w:ascii="Arial" w:cs="Arial" w:eastAsia="Arial" w:hAnsi="Arial"/>
          <w:sz w:val="22"/>
          <w:szCs w:val="22"/>
        </w:rPr>
        <w:t xml:space="preserve">1.  Overview and Strategy</w:t>
      </w:r>
    </w:p>
    <w:p>
      <w:pPr>
        <w:tabs>
          <w:tab w:val="right" w:pos="9026"/>
        </w:tabs>
        <w:spacing w:after="40"/>
      </w:pPr>
      <w:r>
        <w:rPr>
          <w:rFonts w:ascii="Arial" w:cs="Arial" w:eastAsia="Arial" w:hAnsi="Arial"/>
          <w:sz w:val="22"/>
          <w:szCs w:val="22"/>
        </w:rPr>
        <w:t xml:space="preserve">2.  Understanding the Marking Criteria Deeply</w:t>
      </w:r>
    </w:p>
    <w:p>
      <w:pPr>
        <w:tabs>
          <w:tab w:val="right" w:pos="9026"/>
        </w:tabs>
        <w:spacing w:after="40"/>
      </w:pPr>
      <w:r>
        <w:rPr>
          <w:rFonts w:ascii="Arial" w:cs="Arial" w:eastAsia="Arial" w:hAnsi="Arial"/>
          <w:sz w:val="22"/>
          <w:szCs w:val="22"/>
        </w:rPr>
        <w:t xml:space="preserve">3.  Report Structure: Section-by-Section Blueprint</w:t>
      </w:r>
    </w:p>
    <w:p>
      <w:pPr>
        <w:tabs>
          <w:tab w:val="right" w:pos="9026"/>
        </w:tabs>
        <w:spacing w:after="40"/>
      </w:pPr>
      <w:r>
        <w:rPr>
          <w:rFonts w:ascii="Arial" w:cs="Arial" w:eastAsia="Arial" w:hAnsi="Arial"/>
          <w:sz w:val="22"/>
          <w:szCs w:val="22"/>
        </w:rPr>
        <w:t xml:space="preserve">     3.1  Title Page and Abstract</w:t>
      </w:r>
    </w:p>
    <w:p>
      <w:pPr>
        <w:tabs>
          <w:tab w:val="right" w:pos="9026"/>
        </w:tabs>
        <w:spacing w:after="40"/>
      </w:pPr>
      <w:r>
        <w:rPr>
          <w:rFonts w:ascii="Arial" w:cs="Arial" w:eastAsia="Arial" w:hAnsi="Arial"/>
          <w:sz w:val="22"/>
          <w:szCs w:val="22"/>
        </w:rPr>
        <w:t xml:space="preserve">     3.2  Introduction</w:t>
      </w:r>
    </w:p>
    <w:p>
      <w:pPr>
        <w:tabs>
          <w:tab w:val="right" w:pos="9026"/>
        </w:tabs>
        <w:spacing w:after="40"/>
      </w:pPr>
      <w:r>
        <w:rPr>
          <w:rFonts w:ascii="Arial" w:cs="Arial" w:eastAsia="Arial" w:hAnsi="Arial"/>
          <w:sz w:val="22"/>
          <w:szCs w:val="22"/>
        </w:rPr>
        <w:t xml:space="preserve">     3.3  Data Preparation</w:t>
      </w:r>
    </w:p>
    <w:p>
      <w:pPr>
        <w:tabs>
          <w:tab w:val="right" w:pos="9026"/>
        </w:tabs>
        <w:spacing w:after="40"/>
      </w:pPr>
      <w:r>
        <w:rPr>
          <w:rFonts w:ascii="Arial" w:cs="Arial" w:eastAsia="Arial" w:hAnsi="Arial"/>
          <w:sz w:val="22"/>
          <w:szCs w:val="22"/>
        </w:rPr>
        <w:t xml:space="preserve">     3.4  Data Exploration</w:t>
      </w:r>
    </w:p>
    <w:p>
      <w:pPr>
        <w:tabs>
          <w:tab w:val="right" w:pos="9026"/>
        </w:tabs>
        <w:spacing w:after="40"/>
      </w:pPr>
      <w:r>
        <w:rPr>
          <w:rFonts w:ascii="Arial" w:cs="Arial" w:eastAsia="Arial" w:hAnsi="Arial"/>
          <w:sz w:val="22"/>
          <w:szCs w:val="22"/>
        </w:rPr>
        <w:t xml:space="preserve">     3.5  Data Modelling, Visualisation, and Analysis</w:t>
      </w:r>
    </w:p>
    <w:p>
      <w:pPr>
        <w:tabs>
          <w:tab w:val="right" w:pos="9026"/>
        </w:tabs>
        <w:spacing w:after="40"/>
      </w:pPr>
      <w:r>
        <w:rPr>
          <w:rFonts w:ascii="Arial" w:cs="Arial" w:eastAsia="Arial" w:hAnsi="Arial"/>
          <w:sz w:val="22"/>
          <w:szCs w:val="22"/>
        </w:rPr>
        <w:t xml:space="preserve">     3.6  Findings</w:t>
      </w:r>
    </w:p>
    <w:p>
      <w:pPr>
        <w:tabs>
          <w:tab w:val="right" w:pos="9026"/>
        </w:tabs>
        <w:spacing w:after="40"/>
      </w:pPr>
      <w:r>
        <w:rPr>
          <w:rFonts w:ascii="Arial" w:cs="Arial" w:eastAsia="Arial" w:hAnsi="Arial"/>
          <w:sz w:val="22"/>
          <w:szCs w:val="22"/>
        </w:rPr>
        <w:t xml:space="preserve">     3.7  Discussion and Conclusion</w:t>
      </w:r>
    </w:p>
    <w:p>
      <w:pPr>
        <w:tabs>
          <w:tab w:val="right" w:pos="9026"/>
        </w:tabs>
        <w:spacing w:after="40"/>
      </w:pPr>
      <w:r>
        <w:rPr>
          <w:rFonts w:ascii="Arial" w:cs="Arial" w:eastAsia="Arial" w:hAnsi="Arial"/>
          <w:sz w:val="22"/>
          <w:szCs w:val="22"/>
        </w:rPr>
        <w:t xml:space="preserve">4.  Data Sources: What to Download and How</w:t>
      </w:r>
    </w:p>
    <w:p>
      <w:pPr>
        <w:tabs>
          <w:tab w:val="right" w:pos="9026"/>
        </w:tabs>
        <w:spacing w:after="40"/>
      </w:pPr>
      <w:r>
        <w:rPr>
          <w:rFonts w:ascii="Arial" w:cs="Arial" w:eastAsia="Arial" w:hAnsi="Arial"/>
          <w:sz w:val="22"/>
          <w:szCs w:val="22"/>
        </w:rPr>
        <w:t xml:space="preserve">5.  Technical Execution Plan</w:t>
      </w:r>
    </w:p>
    <w:p>
      <w:pPr>
        <w:tabs>
          <w:tab w:val="right" w:pos="9026"/>
        </w:tabs>
        <w:spacing w:after="40"/>
      </w:pPr>
      <w:r>
        <w:rPr>
          <w:rFonts w:ascii="Arial" w:cs="Arial" w:eastAsia="Arial" w:hAnsi="Arial"/>
          <w:sz w:val="22"/>
          <w:szCs w:val="22"/>
        </w:rPr>
        <w:t xml:space="preserve">6.  Visualisation Strategy</w:t>
      </w:r>
    </w:p>
    <w:p>
      <w:pPr>
        <w:tabs>
          <w:tab w:val="right" w:pos="9026"/>
        </w:tabs>
        <w:spacing w:after="40"/>
      </w:pPr>
      <w:r>
        <w:rPr>
          <w:rFonts w:ascii="Arial" w:cs="Arial" w:eastAsia="Arial" w:hAnsi="Arial"/>
          <w:sz w:val="22"/>
          <w:szCs w:val="22"/>
        </w:rPr>
        <w:t xml:space="preserve">7.  Statistical and ML Modelling Plan</w:t>
      </w:r>
    </w:p>
    <w:p>
      <w:pPr>
        <w:tabs>
          <w:tab w:val="right" w:pos="9026"/>
        </w:tabs>
        <w:spacing w:after="40"/>
      </w:pPr>
      <w:r>
        <w:rPr>
          <w:rFonts w:ascii="Arial" w:cs="Arial" w:eastAsia="Arial" w:hAnsi="Arial"/>
          <w:sz w:val="22"/>
          <w:szCs w:val="22"/>
        </w:rPr>
        <w:t xml:space="preserve">8.  Writing and Presentation Tips</w:t>
      </w:r>
    </w:p>
    <w:p>
      <w:pPr>
        <w:tabs>
          <w:tab w:val="right" w:pos="9026"/>
        </w:tabs>
        <w:spacing w:after="40"/>
      </w:pPr>
      <w:r>
        <w:rPr>
          <w:rFonts w:ascii="Arial" w:cs="Arial" w:eastAsia="Arial" w:hAnsi="Arial"/>
          <w:sz w:val="22"/>
          <w:szCs w:val="22"/>
        </w:rPr>
        <w:t xml:space="preserve">9.  Common Pitfalls to Avoid</w:t>
      </w:r>
    </w:p>
    <w:p>
      <w:pPr>
        <w:tabs>
          <w:tab w:val="right" w:pos="9026"/>
        </w:tabs>
        <w:spacing w:after="40"/>
      </w:pPr>
      <w:r>
        <w:rPr>
          <w:rFonts w:ascii="Arial" w:cs="Arial" w:eastAsia="Arial" w:hAnsi="Arial"/>
          <w:sz w:val="22"/>
          <w:szCs w:val="22"/>
        </w:rPr>
        <w:t xml:space="preserve">10.  Recommended Timeline</w:t>
      </w:r>
    </w:p>
    <w:p>
      <w:r>
        <w:br w:type="page"/>
      </w:r>
    </w:p>
    <w:p>
      <w:pPr>
        <w:pStyle w:val="Heading1"/>
      </w:pPr>
      <w:r>
        <w:t xml:space="preserve">1. Overview and Strategy</w:t>
      </w:r>
    </w:p>
    <w:p>
      <w:pPr>
        <w:spacing w:after="120" w:line="276"/>
      </w:pPr>
      <w:r>
        <w:t xml:space="preserve">This guide provides an end-to-end blueprint for completing Project 15 to the highest standard. It is based on a thorough analysis of two reports that received excellent marks, distilling the patterns, techniques, and structural choices that earned top grades. The goal is not just to tell you what to do, but to explain why each decision matters and how it maps to the marking criteria.</w:t>
      </w:r>
    </w:p>
    <w:p>
      <w:pPr>
        <w:spacing w:after="120" w:line="276"/>
      </w:pPr>
      <w:r>
        <w:t xml:space="preserve">The project requires you to analyse how the UK cost of living has changed over time, how inflation differs between regions and product categories, and which groups are most affected by rising prices. You must combine data cleaning, exploratory analysis, visualisation, and statistical or machine learning modelling. The final deliverable is a 10-page report (two-column IEEE-style format is recommended, following the example reports).</w:t>
      </w:r>
    </w:p>
    <w:p>
      <w:pPr>
        <w:pStyle w:val="Heading2"/>
      </w:pPr>
      <w:r>
        <w:t xml:space="preserve">Key Lessons from the Excellent Example Reports</w:t>
      </w:r>
    </w:p>
    <w:p>
      <w:pPr>
        <w:spacing w:after="120" w:line="276"/>
      </w:pPr>
      <w:r>
        <w:t xml:space="preserve">Both sample reports share several traits that set them apart:</w:t>
      </w:r>
    </w:p>
    <w:p>
      <w:pPr>
        <w:pStyle w:val="ListParagraph"/>
        <w:numPr>
          <w:ilvl w:val="0"/>
          <w:numId w:val="2"/>
        </w:numPr>
        <w:spacing w:after="60" w:line="276"/>
      </w:pPr>
      <w:r>
        <w:rPr>
          <w:b/>
          <w:bCs/>
        </w:rPr>
        <w:t xml:space="preserve">Clear narrative arc: </w:t>
      </w:r>
      <w:r>
        <w:t xml:space="preserve">Each report tells a story. It begins with a real-world problem, proceeds through systematic investigation, and concludes with actionable insights. Your report should do the same.</w:t>
      </w:r>
    </w:p>
    <w:p>
      <w:pPr>
        <w:pStyle w:val="ListParagraph"/>
        <w:numPr>
          <w:ilvl w:val="0"/>
          <w:numId w:val="2"/>
        </w:numPr>
        <w:spacing w:after="60" w:line="276"/>
      </w:pPr>
      <w:r>
        <w:rPr>
          <w:b/>
          <w:bCs/>
        </w:rPr>
        <w:t xml:space="preserve">Multiple complementary methods: </w:t>
      </w:r>
      <w:r>
        <w:t xml:space="preserve">Neither report relies on a single technique. They combine correlation analysis, machine learning, clustering, dimensionality reduction, and rich visualisation. Breadth and depth both matter.</w:t>
      </w:r>
    </w:p>
    <w:p>
      <w:pPr>
        <w:pStyle w:val="ListParagraph"/>
        <w:numPr>
          <w:ilvl w:val="0"/>
          <w:numId w:val="2"/>
        </w:numPr>
        <w:spacing w:after="60" w:line="276"/>
      </w:pPr>
      <w:r>
        <w:rPr>
          <w:b/>
          <w:bCs/>
        </w:rPr>
        <w:t xml:space="preserve">Critical self-reflection: </w:t>
      </w:r>
      <w:r>
        <w:t xml:space="preserve">Both reports openly discuss limitations, surprising results, and what they would do differently. This demonstrates intellectual maturity and earns high marks in Discussion.</w:t>
      </w:r>
    </w:p>
    <w:p>
      <w:pPr>
        <w:pStyle w:val="ListParagraph"/>
        <w:numPr>
          <w:ilvl w:val="0"/>
          <w:numId w:val="2"/>
        </w:numPr>
        <w:spacing w:after="60" w:line="276"/>
      </w:pPr>
      <w:r>
        <w:rPr>
          <w:b/>
          <w:bCs/>
        </w:rPr>
        <w:t xml:space="preserve">Professional presentation: </w:t>
      </w:r>
      <w:r>
        <w:t xml:space="preserve">Two-column layout, numbered figures with captions, properly labelled axes, correlation heatmaps, geographic maps, and referenced literature throughout. This is what 15% of your mark rewards.</w:t>
      </w:r>
    </w:p>
    <w:p>
      <w:pPr>
        <w:pStyle w:val="ListParagraph"/>
        <w:numPr>
          <w:ilvl w:val="0"/>
          <w:numId w:val="2"/>
        </w:numPr>
        <w:spacing w:after="60" w:line="276"/>
      </w:pPr>
      <w:r>
        <w:rPr>
          <w:b/>
          <w:bCs/>
        </w:rPr>
        <w:t xml:space="preserve">Use of multiple datasets: </w:t>
      </w:r>
      <w:r>
        <w:t xml:space="preserve">Both reports enhance the primary dataset with additional sources to create richer analysis. This demonstrates initiative and sophistication.</w:t>
      </w:r>
    </w:p>
    <w:p>
      <w:r>
        <w:br w:type="page"/>
      </w:r>
    </w:p>
    <w:p>
      <w:pPr>
        <w:pStyle w:val="Heading1"/>
      </w:pPr>
      <w:r>
        <w:t xml:space="preserve">2. Understanding the Marking Criteria Deeply</w:t>
      </w:r>
    </w:p>
    <w:p>
      <w:pPr>
        <w:spacing w:after="120" w:line="276"/>
      </w:pPr>
      <w:r>
        <w:t xml:space="preserve">Before writing a single line of code, internalise what the markers are looking for. Each criterion below is unpacked with concrete actions.</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000"/>
        <w:gridCol w:w="5826"/>
      </w:tblGrid>
      <w:tr>
        <w:tc>
          <w:tcPr>
            <w:tcW w:type="dxa" w:w="2200"/>
            <w:tcBorders>
              <w:top w:val="single" w:color="AAAAAA" w:sz="1"/>
              <w:left w:val="single" w:color="AAAAAA" w:sz="1"/>
              <w:bottom w:val="single" w:color="AAAAAA" w:sz="1"/>
              <w:right w:val="single" w:color="AAAAAA"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Criterion</w:t>
            </w:r>
          </w:p>
        </w:tc>
        <w:tc>
          <w:tcPr>
            <w:tcW w:type="dxa" w:w="1000"/>
            <w:tcBorders>
              <w:top w:val="single" w:color="AAAAAA" w:sz="1"/>
              <w:left w:val="single" w:color="AAAAAA" w:sz="1"/>
              <w:bottom w:val="single" w:color="AAAAAA" w:sz="1"/>
              <w:right w:val="single" w:color="AAAAAA"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Weight</w:t>
            </w:r>
          </w:p>
        </w:tc>
        <w:tc>
          <w:tcPr>
            <w:tcW w:type="dxa" w:w="5826"/>
            <w:tcBorders>
              <w:top w:val="single" w:color="AAAAAA" w:sz="1"/>
              <w:left w:val="single" w:color="AAAAAA" w:sz="1"/>
              <w:bottom w:val="single" w:color="AAAAAA" w:sz="1"/>
              <w:right w:val="single" w:color="AAAAAA"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What Exceptional Looks Like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Problem Understanding</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15%</w:t>
            </w:r>
          </w:p>
        </w:tc>
        <w:tc>
          <w:tcPr>
            <w:tcW w:type="dxa" w:w="5826"/>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You contextualise the cost-of-living crisis with real-world data (e.g. ONS reports, Bank of England statements). You frame specific, testable research questions. You identify a clear end-user (e.g. policymakers, consumer advocacy groups) and tailor your analysis to their needs.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Data Wrangling &amp; Exploration</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15%</w:t>
            </w:r>
          </w:p>
        </w:tc>
        <w:tc>
          <w:tcPr>
            <w:tcW w:type="dxa" w:w="5826"/>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You document every cleaning step (missing values, outliers, merging datasets). Your EDA yields genuine insights (e.g. discovering that food inflation is 3x shelter inflation in certain periods). You use boxplots, histograms, correlation matrices, and geographic heatmaps.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Modelling, Vis, Analysis &amp; Evaluation</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40%</w:t>
            </w:r>
          </w:p>
        </w:tc>
        <w:tc>
          <w:tcPr>
            <w:tcW w:type="dxa" w:w="5826"/>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You deploy at least 2-3 different approaches (e.g. time-series decomposition, regression, clustering, random forest). You justify every methodological choice with references. Your visualisations are publication-quality. You evaluate models rigorously using appropriate metrics and baselines.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Discussion &amp; Conclusion</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15%</w:t>
            </w:r>
          </w:p>
        </w:tc>
        <w:tc>
          <w:tcPr>
            <w:tcW w:type="dxa" w:w="5826"/>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You synthesise findings into actionable insights. You critically evaluate limitations (temporal lag, geographic granularity, proxy measures). You propose concrete future work. You connect back to end-user needs.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Presentation</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15%</w:t>
            </w:r>
          </w:p>
        </w:tc>
        <w:tc>
          <w:tcPr>
            <w:tcW w:type="dxa" w:w="5826"/>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Two-column IEEE format. All figures captioned and referenced in text. Consistent typography. Professional colour palettes. References in proper format. Fluent, concise academic writing.</w:t>
            </w:r>
          </w:p>
        </w:tc>
      </w:tr>
    </w:tbl>
    <w:p>
      <w:pPr>
        <w:spacing w:after="60"/>
      </w:pPr>
    </w:p>
    <w:p>
      <w:pPr>
        <w:pBdr>
          <w:left w:val="single" w:color="2E86C1" w:sz="12" w:space="8"/>
        </w:pBdr>
        <w:spacing w:after="120" w:before="120" w:line="276"/>
        <w:ind w:left="360" w:right="360"/>
      </w:pPr>
      <w:r>
        <w:rPr>
          <w:b/>
          <w:bCs/>
        </w:rPr>
        <w:t xml:space="preserve">Critical Insight: </w:t>
      </w:r>
      <w:r>
        <w:t xml:space="preserve">The Modelling section carries 40% of the total mark. Allocate your time accordingly: roughly 40-50% of your effort should go into modelling, visualisation, and evaluation. But do not neglect the other sections, as 60% of marks come from everything else combined.</w:t>
      </w:r>
    </w:p>
    <w:p>
      <w:pPr>
        <w:pStyle w:val="Heading2"/>
      </w:pPr>
      <w:r>
        <w:t xml:space="preserve">What Separates Good from Excellent</w:t>
      </w:r>
    </w:p>
    <w:p>
      <w:pPr>
        <w:spacing w:after="120" w:line="276"/>
      </w:pPr>
      <w:r>
        <w:t xml:space="preserve">A good report applies standard methods correctly. An excellent report does all of that plus:</w:t>
      </w:r>
    </w:p>
    <w:p>
      <w:pPr>
        <w:pStyle w:val="ListParagraph"/>
        <w:numPr>
          <w:ilvl w:val="0"/>
          <w:numId w:val="2"/>
        </w:numPr>
        <w:spacing w:after="60" w:line="276"/>
      </w:pPr>
      <w:r>
        <w:t xml:space="preserve">Discovers something genuinely surprising or counterintuitive in the data and investigates it thoroughly.</w:t>
      </w:r>
    </w:p>
    <w:p>
      <w:pPr>
        <w:pStyle w:val="ListParagraph"/>
        <w:numPr>
          <w:ilvl w:val="0"/>
          <w:numId w:val="2"/>
        </w:numPr>
        <w:spacing w:after="60" w:line="276"/>
      </w:pPr>
      <w:r>
        <w:t xml:space="preserve">Uses an additional dataset beyond the primary ONS data to enrich the analysis (e.g. regional wage data, housing data, demographic data).</w:t>
      </w:r>
    </w:p>
    <w:p>
      <w:pPr>
        <w:pStyle w:val="ListParagraph"/>
        <w:numPr>
          <w:ilvl w:val="0"/>
          <w:numId w:val="2"/>
        </w:numPr>
        <w:spacing w:after="60" w:line="276"/>
      </w:pPr>
      <w:r>
        <w:t xml:space="preserve">Includes at least one advanced or creative analytical approach (e.g. Granger causality testing, SARIMA forecasting, K-means clustering of regions, interactive visualisations).</w:t>
      </w:r>
    </w:p>
    <w:p>
      <w:pPr>
        <w:pStyle w:val="ListParagraph"/>
        <w:numPr>
          <w:ilvl w:val="0"/>
          <w:numId w:val="2"/>
        </w:numPr>
        <w:spacing w:after="60" w:line="276"/>
      </w:pPr>
      <w:r>
        <w:t xml:space="preserve">Demonstrates clear awareness of the limitations and assumptions behind every method used.</w:t>
      </w:r>
    </w:p>
    <w:p>
      <w:pPr>
        <w:pStyle w:val="ListParagraph"/>
        <w:numPr>
          <w:ilvl w:val="0"/>
          <w:numId w:val="2"/>
        </w:numPr>
        <w:spacing w:after="60" w:line="276"/>
      </w:pPr>
      <w:r>
        <w:t xml:space="preserve">Writes with the precision and clarity of a published academic paper.</w:t>
      </w:r>
    </w:p>
    <w:p>
      <w:r>
        <w:br w:type="page"/>
      </w:r>
    </w:p>
    <w:p>
      <w:pPr>
        <w:pStyle w:val="Heading1"/>
      </w:pPr>
      <w:r>
        <w:t xml:space="preserve">3. Report Structure: Section-by-Section Blueprint</w:t>
      </w:r>
    </w:p>
    <w:p>
      <w:pPr>
        <w:spacing w:after="120" w:line="276"/>
      </w:pPr>
      <w:r>
        <w:t xml:space="preserve">Your 10-page report should follow this structure. Each subsection below tells you exactly what to include, how long it should be, and what the markers want to see.</w:t>
      </w:r>
    </w:p>
    <w:p>
      <w:pPr>
        <w:pStyle w:val="Heading2"/>
      </w:pPr>
      <w:r>
        <w:t xml:space="preserve">3.1  Title Page and Abstract</w:t>
      </w:r>
    </w:p>
    <w:p>
      <w:pPr>
        <w:spacing w:after="120" w:line="276"/>
      </w:pPr>
      <w:r>
        <w:rPr>
          <w:b/>
          <w:bCs/>
        </w:rPr>
        <w:t xml:space="preserve">Length: </w:t>
      </w:r>
      <w:r>
        <w:t xml:space="preserve">Half a page (title block + abstract paragraph).</w:t>
      </w:r>
    </w:p>
    <w:p>
      <w:pPr>
        <w:spacing w:after="120" w:line="276"/>
      </w:pPr>
      <w:r>
        <w:rPr>
          <w:b/>
          <w:bCs/>
        </w:rPr>
        <w:t xml:space="preserve">Title: </w:t>
      </w:r>
      <w:r>
        <w:t xml:space="preserve">Make it specific and informative. Not just "Cost of Living Analysis" but something like "Regional Disparities in UK Inflation: A Multi-Method Analysis of ONS Price Indices 2015–2024". A good title signals the scope, method, and dataset.</w:t>
      </w:r>
    </w:p>
    <w:p>
      <w:pPr>
        <w:spacing w:after="120" w:line="276"/>
      </w:pPr>
      <w:r>
        <w:rPr>
          <w:b/>
          <w:bCs/>
        </w:rPr>
        <w:t xml:space="preserve">Abstract structure: </w:t>
      </w:r>
      <w:r>
        <w:t xml:space="preserve">Follow the pattern from the excellent reports: (1) one sentence on context/motivation, (2) one sentence on what you did, (3) two to three sentences on your key methods, (4) two to three sentences on your main findings, (5) one sentence on conclusions/implications. Keep it under 200 words.</w:t>
      </w:r>
    </w:p>
    <w:p>
      <w:pPr>
        <w:pBdr>
          <w:left w:val="single" w:color="2E86C1" w:sz="12" w:space="8"/>
        </w:pBdr>
        <w:spacing w:after="120" w:before="120" w:line="276"/>
        <w:ind w:left="360" w:right="360"/>
      </w:pPr>
      <w:r>
        <w:rPr>
          <w:b/>
          <w:bCs/>
        </w:rPr>
        <w:t xml:space="preserve">From the Examples: </w:t>
      </w:r>
      <w:r>
        <w:t xml:space="preserve">Both sample reports open their abstracts with the real-world problem, immediately state the datasets used, then summarise methods and key findings. The SPHERE report even includes a specific numeric result (Brier score of 0.205). Include your best quantitative result in the abstract.</w:t>
      </w:r>
    </w:p>
    <w:p>
      <w:pPr>
        <w:pStyle w:val="Heading2"/>
      </w:pPr>
      <w:r>
        <w:t xml:space="preserve">3.2  Introduction</w:t>
      </w:r>
    </w:p>
    <w:p>
      <w:pPr>
        <w:spacing w:after="120" w:line="276"/>
      </w:pPr>
      <w:r>
        <w:rPr>
          <w:b/>
          <w:bCs/>
        </w:rPr>
        <w:t xml:space="preserve">Length: </w:t>
      </w:r>
      <w:r>
        <w:t xml:space="preserve">Approximately 1 to 1.5 pages.</w:t>
      </w:r>
    </w:p>
    <w:p>
      <w:pPr>
        <w:spacing w:after="120" w:line="276"/>
      </w:pPr>
      <w:r>
        <w:t xml:space="preserve">The introduction must accomplish five things:</w:t>
      </w:r>
    </w:p>
    <w:p>
      <w:pPr>
        <w:pStyle w:val="ListParagraph"/>
        <w:numPr>
          <w:ilvl w:val="0"/>
          <w:numId w:val="3"/>
        </w:numPr>
        <w:spacing w:after="80" w:line="276"/>
      </w:pPr>
      <w:r>
        <w:rPr>
          <w:b/>
          <w:bCs/>
        </w:rPr>
        <w:t xml:space="preserve">Establish real-world context. </w:t>
      </w:r>
      <w:r>
        <w:t xml:space="preserve">Open with the scale of the UK cost-of-living crisis. Cite ONS figures (e.g. CPI peaked at 11.1% in October 2022, the highest in 41 years). Mention the impact on households, policy responses, and public concern. Use 3-5 references here.</w:t>
      </w:r>
    </w:p>
    <w:p>
      <w:pPr>
        <w:pStyle w:val="ListParagraph"/>
        <w:numPr>
          <w:ilvl w:val="0"/>
          <w:numId w:val="3"/>
        </w:numPr>
        <w:spacing w:after="80" w:line="276"/>
      </w:pPr>
      <w:r>
        <w:rPr>
          <w:b/>
          <w:bCs/>
        </w:rPr>
        <w:t xml:space="preserve">Define the problem precisely. </w:t>
      </w:r>
      <w:r>
        <w:t xml:space="preserve">State that while aggregate inflation figures are widely reported, there is less understanding of how inflation affects different regions, product categories, and demographic groups unequally. This is the gap your project addresses.</w:t>
      </w:r>
    </w:p>
    <w:p>
      <w:pPr>
        <w:pStyle w:val="ListParagraph"/>
        <w:numPr>
          <w:ilvl w:val="0"/>
          <w:numId w:val="3"/>
        </w:numPr>
        <w:spacing w:after="80" w:line="276"/>
      </w:pPr>
      <w:r>
        <w:rPr>
          <w:b/>
          <w:bCs/>
        </w:rPr>
        <w:t xml:space="preserve">State your research questions. </w:t>
      </w:r>
      <w:r>
        <w:t xml:space="preserve">Frame 3-4 specific questions: (a) How has the cost of living changed over time across different product categories? (b) Are there significant regional differences in inflation rates? (c) Which household expenditure categories drive overall CPI most? (d) Can we predict future inflation trends or identify groups most vulnerable to price rises?</w:t>
      </w:r>
    </w:p>
    <w:p>
      <w:pPr>
        <w:pStyle w:val="ListParagraph"/>
        <w:numPr>
          <w:ilvl w:val="0"/>
          <w:numId w:val="3"/>
        </w:numPr>
        <w:spacing w:after="80" w:line="276"/>
      </w:pPr>
      <w:r>
        <w:rPr>
          <w:b/>
          <w:bCs/>
        </w:rPr>
        <w:t xml:space="preserve">Introduce your data sources. </w:t>
      </w:r>
      <w:r>
        <w:t xml:space="preserve">Briefly describe the ONS datasets you will use (CPI indices, CPIH, regional price data, household expenditure surveys) plus any supplementary data (wages, housing costs, demographic data).</w:t>
      </w:r>
    </w:p>
    <w:p>
      <w:pPr>
        <w:pStyle w:val="ListParagraph"/>
        <w:numPr>
          <w:ilvl w:val="0"/>
          <w:numId w:val="3"/>
        </w:numPr>
        <w:spacing w:after="80" w:line="276"/>
      </w:pPr>
      <w:r>
        <w:rPr>
          <w:b/>
          <w:bCs/>
        </w:rPr>
        <w:t xml:space="preserve">Outline your approach. </w:t>
      </w:r>
      <w:r>
        <w:t xml:space="preserve">Briefly preview your methodology: exploratory analysis, time-series modelling, regression, clustering, and rich visualisation. This gives the reader a roadmap.</w:t>
      </w:r>
    </w:p>
    <w:p>
      <w:pPr>
        <w:pBdr>
          <w:left w:val="single" w:color="2E86C1" w:sz="12" w:space="8"/>
        </w:pBdr>
        <w:spacing w:after="120" w:before="120" w:line="276"/>
        <w:ind w:left="360" w:right="360"/>
      </w:pPr>
      <w:r>
        <w:rPr>
          <w:b/>
          <w:bCs/>
        </w:rPr>
        <w:t xml:space="preserve">Pattern from Examples: </w:t>
      </w:r>
      <w:r>
        <w:t xml:space="preserve">The Loneliness report introduces its index, explains the IMD dataset, and frames the specific hypothesis it will test. The SPHERE report explains the SPHERE project, its sensors, and its healthcare goals. Both provide enough background that a reader unfamiliar with the domain can follow the rest of the report. Do the same.</w:t>
      </w:r>
    </w:p>
    <w:p>
      <w:pPr>
        <w:pStyle w:val="Heading2"/>
      </w:pPr>
      <w:r>
        <w:t xml:space="preserve">3.3  Data Preparation</w:t>
      </w:r>
    </w:p>
    <w:p>
      <w:pPr>
        <w:spacing w:after="120" w:line="276"/>
      </w:pPr>
      <w:r>
        <w:rPr>
          <w:b/>
          <w:bCs/>
        </w:rPr>
        <w:t xml:space="preserve">Length: </w:t>
      </w:r>
      <w:r>
        <w:t xml:space="preserve">Approximately 1 to 1.5 pages.</w:t>
      </w:r>
    </w:p>
    <w:p>
      <w:pPr>
        <w:spacing w:after="120" w:line="276"/>
      </w:pPr>
      <w:r>
        <w:t xml:space="preserve">This section must demonstrate systematic, robust data wrangling. Document every step.</w:t>
      </w:r>
    </w:p>
    <w:p>
      <w:pPr>
        <w:pStyle w:val="Heading3"/>
      </w:pPr>
      <w:r>
        <w:t xml:space="preserve">3.3.1  Data Acquisition</w:t>
      </w:r>
    </w:p>
    <w:p>
      <w:pPr>
        <w:spacing w:after="120" w:line="276"/>
      </w:pPr>
      <w:r>
        <w:t xml:space="preserve">Describe each dataset you downloaded, its source URL, its format, its temporal coverage, and its granularity (monthly, quarterly, regional, national). Present this in a concise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1500"/>
        <w:gridCol w:w="1700"/>
        <w:gridCol w:w="1526"/>
      </w:tblGrid>
      <w:tr>
        <w:tc>
          <w:tcPr>
            <w:tcW w:type="dxa" w:w="2500"/>
            <w:tcBorders>
              <w:top w:val="single" w:color="AAAAAA" w:sz="1"/>
              <w:left w:val="single" w:color="AAAAAA" w:sz="1"/>
              <w:bottom w:val="single" w:color="AAAAAA" w:sz="1"/>
              <w:right w:val="single" w:color="AAAAAA"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Dataset</w:t>
            </w:r>
          </w:p>
        </w:tc>
        <w:tc>
          <w:tcPr>
            <w:tcW w:type="dxa" w:w="1800"/>
            <w:tcBorders>
              <w:top w:val="single" w:color="AAAAAA" w:sz="1"/>
              <w:left w:val="single" w:color="AAAAAA" w:sz="1"/>
              <w:bottom w:val="single" w:color="AAAAAA" w:sz="1"/>
              <w:right w:val="single" w:color="AAAAAA"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Source</w:t>
            </w:r>
          </w:p>
        </w:tc>
        <w:tc>
          <w:tcPr>
            <w:tcW w:type="dxa" w:w="1500"/>
            <w:tcBorders>
              <w:top w:val="single" w:color="AAAAAA" w:sz="1"/>
              <w:left w:val="single" w:color="AAAAAA" w:sz="1"/>
              <w:bottom w:val="single" w:color="AAAAAA" w:sz="1"/>
              <w:right w:val="single" w:color="AAAAAA"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Period</w:t>
            </w:r>
          </w:p>
        </w:tc>
        <w:tc>
          <w:tcPr>
            <w:tcW w:type="dxa" w:w="1700"/>
            <w:tcBorders>
              <w:top w:val="single" w:color="AAAAAA" w:sz="1"/>
              <w:left w:val="single" w:color="AAAAAA" w:sz="1"/>
              <w:bottom w:val="single" w:color="AAAAAA" w:sz="1"/>
              <w:right w:val="single" w:color="AAAAAA"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Granularity</w:t>
            </w:r>
          </w:p>
        </w:tc>
        <w:tc>
          <w:tcPr>
            <w:tcW w:type="dxa" w:w="1526"/>
            <w:tcBorders>
              <w:top w:val="single" w:color="AAAAAA" w:sz="1"/>
              <w:left w:val="single" w:color="AAAAAA" w:sz="1"/>
              <w:bottom w:val="single" w:color="AAAAAA" w:sz="1"/>
              <w:right w:val="single" w:color="AAAAAA"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Format</w:t>
            </w:r>
          </w:p>
        </w:tc>
      </w:tr>
      <w:tr>
        <w:tc>
          <w:tcPr>
            <w:tcW w:type="dxa" w:w="25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CPI Detailed Indices</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ONS MM23</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1988–2024</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Monthly, national</w:t>
            </w:r>
          </w:p>
        </w:tc>
        <w:tc>
          <w:tcPr>
            <w:tcW w:type="dxa" w:w="1526"/>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CSV</w:t>
            </w:r>
          </w:p>
        </w:tc>
      </w:tr>
      <w:tr>
        <w:tc>
          <w:tcPr>
            <w:tcW w:type="dxa" w:w="25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CPIH by region</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ONS</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2006–2024</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Quarterly, regional</w:t>
            </w:r>
          </w:p>
        </w:tc>
        <w:tc>
          <w:tcPr>
            <w:tcW w:type="dxa" w:w="1526"/>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XLSX</w:t>
            </w:r>
          </w:p>
        </w:tc>
      </w:tr>
      <w:tr>
        <w:tc>
          <w:tcPr>
            <w:tcW w:type="dxa" w:w="25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[Your additional data]</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[Source]</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[Period]</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[Level]</w:t>
            </w:r>
          </w:p>
        </w:tc>
        <w:tc>
          <w:tcPr>
            <w:tcW w:type="dxa" w:w="1526"/>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[Format]</w:t>
            </w:r>
          </w:p>
        </w:tc>
      </w:tr>
    </w:tbl>
    <w:p>
      <w:pPr>
        <w:spacing w:after="60"/>
      </w:pPr>
    </w:p>
    <w:p>
      <w:pPr>
        <w:pStyle w:val="Heading3"/>
      </w:pPr>
      <w:r>
        <w:t xml:space="preserve">3.3.2  Cleaning and Transformation</w:t>
      </w:r>
    </w:p>
    <w:p>
      <w:pPr>
        <w:spacing w:after="120" w:line="276"/>
      </w:pPr>
      <w:r>
        <w:t xml:space="preserve">For each dataset, describe:</w:t>
      </w:r>
    </w:p>
    <w:p>
      <w:pPr>
        <w:pStyle w:val="ListParagraph"/>
        <w:numPr>
          <w:ilvl w:val="0"/>
          <w:numId w:val="2"/>
        </w:numPr>
        <w:spacing w:after="60" w:line="276"/>
      </w:pPr>
      <w:r>
        <w:rPr>
          <w:b/>
          <w:bCs/>
        </w:rPr>
        <w:t xml:space="preserve">Missing values: </w:t>
      </w:r>
      <w:r>
        <w:t xml:space="preserve">How many, where, and your imputation strategy (e.g. forward-fill for time series, interpolation, or exclusion). Justify your choice.</w:t>
      </w:r>
    </w:p>
    <w:p>
      <w:pPr>
        <w:pStyle w:val="ListParagraph"/>
        <w:numPr>
          <w:ilvl w:val="0"/>
          <w:numId w:val="2"/>
        </w:numPr>
        <w:spacing w:after="60" w:line="276"/>
      </w:pPr>
      <w:r>
        <w:rPr>
          <w:b/>
          <w:bCs/>
        </w:rPr>
        <w:t xml:space="preserve">Outlier detection: </w:t>
      </w:r>
      <w:r>
        <w:t xml:space="preserve">Method used (IQR, z-score, visual inspection), how many removed, and the rationale. The Loneliness report used IQR-based removal of 1,327 outliers from 6,271 data points and investigated those outliers separately—an approach that earned high marks.</w:t>
      </w:r>
    </w:p>
    <w:p>
      <w:pPr>
        <w:pStyle w:val="ListParagraph"/>
        <w:numPr>
          <w:ilvl w:val="0"/>
          <w:numId w:val="2"/>
        </w:numPr>
        <w:spacing w:after="60" w:line="276"/>
      </w:pPr>
      <w:r>
        <w:rPr>
          <w:b/>
          <w:bCs/>
        </w:rPr>
        <w:t xml:space="preserve">Merging and alignment: </w:t>
      </w:r>
      <w:r>
        <w:t xml:space="preserve">If combining multiple datasets, explain how you aligned them (e.g. matching time periods, geographic units, rebasing indices to a common year). The Loneliness report aggregated postcode-level data to LSOA level by mean-averaging; describe your equivalent.</w:t>
      </w:r>
    </w:p>
    <w:p>
      <w:pPr>
        <w:pStyle w:val="ListParagraph"/>
        <w:numPr>
          <w:ilvl w:val="0"/>
          <w:numId w:val="2"/>
        </w:numPr>
        <w:spacing w:after="60" w:line="276"/>
      </w:pPr>
      <w:r>
        <w:rPr>
          <w:b/>
          <w:bCs/>
        </w:rPr>
        <w:t xml:space="preserve">Feature engineering: </w:t>
      </w:r>
      <w:r>
        <w:t xml:space="preserve">Any derived variables: year-on-year percentage change, real vs nominal values, rolling averages, category groupings.</w:t>
      </w:r>
    </w:p>
    <w:p>
      <w:pPr>
        <w:pBdr>
          <w:left w:val="single" w:color="2E86C1" w:sz="12" w:space="8"/>
        </w:pBdr>
        <w:spacing w:after="120" w:before="120" w:line="276"/>
        <w:ind w:left="360" w:right="360"/>
      </w:pPr>
      <w:r>
        <w:rPr>
          <w:b/>
          <w:bCs/>
        </w:rPr>
        <w:t xml:space="preserve">Marks Booster: </w:t>
      </w:r>
      <w:r>
        <w:t xml:space="preserve">Include a figure showing the data pipeline—a simple flowchart from raw data to clean, analysis-ready dataset. This demonstrates systematic thinking and is easy to create.</w:t>
      </w:r>
    </w:p>
    <w:p>
      <w:pPr>
        <w:pStyle w:val="Heading2"/>
      </w:pPr>
      <w:r>
        <w:t xml:space="preserve">3.4  Data Exploration</w:t>
      </w:r>
    </w:p>
    <w:p>
      <w:pPr>
        <w:spacing w:after="120" w:line="276"/>
      </w:pPr>
      <w:r>
        <w:rPr>
          <w:b/>
          <w:bCs/>
        </w:rPr>
        <w:t xml:space="preserve">Length: </w:t>
      </w:r>
      <w:r>
        <w:t xml:space="preserve">Approximately 1.5 to 2 pages (figure-heavy).</w:t>
      </w:r>
    </w:p>
    <w:p>
      <w:pPr>
        <w:spacing w:after="120" w:line="276"/>
      </w:pPr>
      <w:r>
        <w:t xml:space="preserve">This is where you demonstrate depth of insight from initial analysis. Include the following:</w:t>
      </w:r>
    </w:p>
    <w:p>
      <w:pPr>
        <w:pStyle w:val="Heading3"/>
      </w:pPr>
      <w:r>
        <w:t xml:space="preserve">3.4.1  Distribution Analysis</w:t>
      </w:r>
    </w:p>
    <w:p>
      <w:pPr>
        <w:pStyle w:val="ListParagraph"/>
        <w:numPr>
          <w:ilvl w:val="0"/>
          <w:numId w:val="2"/>
        </w:numPr>
        <w:spacing w:after="60" w:line="276"/>
      </w:pPr>
      <w:r>
        <w:t xml:space="preserve">Histograms and boxplots of key variables (CPI indices, inflation rates across categories). Note any skewness or outliers.</w:t>
      </w:r>
    </w:p>
    <w:p>
      <w:pPr>
        <w:pStyle w:val="ListParagraph"/>
        <w:numPr>
          <w:ilvl w:val="0"/>
          <w:numId w:val="2"/>
        </w:numPr>
        <w:spacing w:after="60" w:line="276"/>
      </w:pPr>
      <w:r>
        <w:t xml:space="preserve">Summary statistics table (mean, median, std dev, min, max) for your key variables.</w:t>
      </w:r>
    </w:p>
    <w:p>
      <w:pPr>
        <w:pStyle w:val="Heading3"/>
      </w:pPr>
      <w:r>
        <w:t xml:space="preserve">3.4.2  Temporal Trends</w:t>
      </w:r>
    </w:p>
    <w:p>
      <w:pPr>
        <w:pStyle w:val="ListParagraph"/>
        <w:numPr>
          <w:ilvl w:val="0"/>
          <w:numId w:val="2"/>
        </w:numPr>
        <w:spacing w:after="60" w:line="276"/>
      </w:pPr>
      <w:r>
        <w:t xml:space="preserve">Line plots of CPI over time for major categories (food, housing, transport, energy). Use different colours with a clear legend.</w:t>
      </w:r>
    </w:p>
    <w:p>
      <w:pPr>
        <w:pStyle w:val="ListParagraph"/>
        <w:numPr>
          <w:ilvl w:val="0"/>
          <w:numId w:val="2"/>
        </w:numPr>
        <w:spacing w:after="60" w:line="276"/>
      </w:pPr>
      <w:r>
        <w:t xml:space="preserve">Annotate significant events on the timeline (Brexit vote, COVID lockdowns, energy crisis, Ukraine conflict). This shows domain understanding.</w:t>
      </w:r>
    </w:p>
    <w:p>
      <w:pPr>
        <w:pStyle w:val="Heading3"/>
      </w:pPr>
      <w:r>
        <w:t xml:space="preserve">3.4.3  Correlation Analysis</w:t>
      </w:r>
    </w:p>
    <w:p>
      <w:pPr>
        <w:pStyle w:val="ListParagraph"/>
        <w:numPr>
          <w:ilvl w:val="0"/>
          <w:numId w:val="2"/>
        </w:numPr>
        <w:spacing w:after="60" w:line="276"/>
      </w:pPr>
      <w:r>
        <w:rPr>
          <w:b/>
          <w:bCs/>
        </w:rPr>
        <w:t xml:space="preserve">Correlation heatmap </w:t>
      </w:r>
      <w:r>
        <w:t xml:space="preserve">between different expenditure categories. The Loneliness report’s correlation heatmap (Fig. 4 and Fig. 10) was a standout feature. Replicate this approach: use Pearson correlation between inflation rates across categories to find which prices move together.</w:t>
      </w:r>
    </w:p>
    <w:p>
      <w:pPr>
        <w:pStyle w:val="ListParagraph"/>
        <w:numPr>
          <w:ilvl w:val="0"/>
          <w:numId w:val="2"/>
        </w:numPr>
        <w:spacing w:after="60" w:line="276"/>
      </w:pPr>
      <w:r>
        <w:t xml:space="preserve">Discuss any surprising non-correlations or negative correlations.</w:t>
      </w:r>
    </w:p>
    <w:p>
      <w:pPr>
        <w:pStyle w:val="Heading3"/>
      </w:pPr>
      <w:r>
        <w:t xml:space="preserve">3.4.4  Regional Comparisons</w:t>
      </w:r>
    </w:p>
    <w:p>
      <w:pPr>
        <w:pStyle w:val="ListParagraph"/>
        <w:numPr>
          <w:ilvl w:val="0"/>
          <w:numId w:val="2"/>
        </w:numPr>
        <w:spacing w:after="60" w:line="276"/>
      </w:pPr>
      <w:r>
        <w:rPr>
          <w:b/>
          <w:bCs/>
        </w:rPr>
        <w:t xml:space="preserve">Geographic visualisation: </w:t>
      </w:r>
      <w:r>
        <w:t xml:space="preserve">A choropleth map of the UK showing regional inflation differences. The Loneliness report’s geographic maps (Fig. 1, Fig. 3) at different aggregation levels were a major strength. Create equivalent maps at regional level showing where inflation hits hardest.</w:t>
      </w:r>
    </w:p>
    <w:p>
      <w:pPr>
        <w:pStyle w:val="ListParagraph"/>
        <w:numPr>
          <w:ilvl w:val="0"/>
          <w:numId w:val="2"/>
        </w:numPr>
        <w:spacing w:after="60" w:line="276"/>
      </w:pPr>
      <w:r>
        <w:t xml:space="preserve">Bar charts comparing regions directly.</w:t>
      </w:r>
    </w:p>
    <w:p>
      <w:pPr>
        <w:pStyle w:val="Heading3"/>
      </w:pPr>
      <w:r>
        <w:t xml:space="preserve">3.4.5  Category Decomposition</w:t>
      </w:r>
    </w:p>
    <w:p>
      <w:pPr>
        <w:pStyle w:val="ListParagraph"/>
        <w:numPr>
          <w:ilvl w:val="0"/>
          <w:numId w:val="2"/>
        </w:numPr>
        <w:spacing w:after="60" w:line="276"/>
      </w:pPr>
      <w:r>
        <w:t xml:space="preserve">Stacked area charts or grouped bar charts showing how different categories contribute to overall CPI.</w:t>
      </w:r>
    </w:p>
    <w:p>
      <w:pPr>
        <w:pStyle w:val="ListParagraph"/>
        <w:numPr>
          <w:ilvl w:val="0"/>
          <w:numId w:val="2"/>
        </w:numPr>
        <w:spacing w:after="60" w:line="276"/>
      </w:pPr>
      <w:r>
        <w:t xml:space="preserve">Identify which categories are the biggest drivers of inflation in different periods.</w:t>
      </w:r>
    </w:p>
    <w:p>
      <w:pPr>
        <w:pBdr>
          <w:left w:val="single" w:color="2E86C1" w:sz="12" w:space="8"/>
        </w:pBdr>
        <w:spacing w:after="120" w:before="120" w:line="276"/>
        <w:ind w:left="360" w:right="360"/>
      </w:pPr>
      <w:r>
        <w:rPr>
          <w:b/>
          <w:bCs/>
        </w:rPr>
        <w:t xml:space="preserve">Key Principle: </w:t>
      </w:r>
      <w:r>
        <w:t xml:space="preserve">Every figure must be referenced and discussed in the text. Never include a figure without explaining what it shows and what insight it provides. Both example reports follow this rule meticulously.</w:t>
      </w:r>
    </w:p>
    <w:p>
      <w:r>
        <w:br w:type="page"/>
      </w:r>
    </w:p>
    <w:p>
      <w:pPr>
        <w:pStyle w:val="Heading2"/>
      </w:pPr>
      <w:r>
        <w:t xml:space="preserve">3.5  Data Modelling, Visualisation, and Analysis</w:t>
      </w:r>
    </w:p>
    <w:p>
      <w:pPr>
        <w:spacing w:after="120" w:line="276"/>
      </w:pPr>
      <w:r>
        <w:rPr>
          <w:b/>
          <w:bCs/>
        </w:rPr>
        <w:t xml:space="preserve">Length: </w:t>
      </w:r>
      <w:r>
        <w:t xml:space="preserve">Approximately 3 to 3.5 pages. This is the heart of your report and worth 40% of the mark.</w:t>
      </w:r>
    </w:p>
    <w:p>
      <w:pPr>
        <w:spacing w:after="120" w:line="276"/>
      </w:pPr>
      <w:r>
        <w:t xml:space="preserve">You need multiple complementary modelling approaches. Here is a recommended combination of at least three methods:</w:t>
      </w:r>
    </w:p>
    <w:p>
      <w:pPr>
        <w:pStyle w:val="Heading3"/>
      </w:pPr>
      <w:r>
        <w:t xml:space="preserve">Method 1: Time-Series Decomposition and Forecasting</w:t>
      </w:r>
    </w:p>
    <w:p>
      <w:pPr>
        <w:spacing w:after="120" w:line="276"/>
      </w:pPr>
      <w:r>
        <w:rPr>
          <w:b/>
          <w:bCs/>
        </w:rPr>
        <w:t xml:space="preserve">What to do: </w:t>
      </w:r>
      <w:r>
        <w:t xml:space="preserve">Decompose CPI time series into trend, seasonal, and residual components using STL (Seasonal-Trend decomposition using LOESS) or classical decomposition. Then fit a SARIMA or Prophet model to forecast future inflation.</w:t>
      </w:r>
    </w:p>
    <w:p>
      <w:pPr>
        <w:spacing w:after="120" w:line="276"/>
      </w:pPr>
      <w:r>
        <w:rPr>
          <w:b/>
          <w:bCs/>
        </w:rPr>
        <w:t xml:space="preserve">Why this works: </w:t>
      </w:r>
      <w:r>
        <w:t xml:space="preserve">It directly addresses the project goal of modelling trends. Forecasting demonstrates predictive capability.</w:t>
      </w:r>
    </w:p>
    <w:p>
      <w:pPr>
        <w:spacing w:after="120" w:line="276"/>
      </w:pPr>
      <w:r>
        <w:t xml:space="preserve">Implementation steps:</w:t>
      </w:r>
    </w:p>
    <w:p>
      <w:pPr>
        <w:pStyle w:val="ListParagraph"/>
        <w:numPr>
          <w:ilvl w:val="0"/>
          <w:numId w:val="4"/>
        </w:numPr>
        <w:spacing w:after="80" w:line="276"/>
      </w:pPr>
      <w:r>
        <w:t xml:space="preserve">Apply seasonal decomposition (statsmodels.tsa.seasonal_decompose or STL) to the overall CPI series and to key categories separately.</w:t>
      </w:r>
    </w:p>
    <w:p>
      <w:pPr>
        <w:pStyle w:val="ListParagraph"/>
        <w:numPr>
          <w:ilvl w:val="0"/>
          <w:numId w:val="4"/>
        </w:numPr>
        <w:spacing w:after="80" w:line="276"/>
      </w:pPr>
      <w:r>
        <w:t xml:space="preserve">Visualise the decomposition components—this produces an excellent multi-panel figure.</w:t>
      </w:r>
    </w:p>
    <w:p>
      <w:pPr>
        <w:pStyle w:val="ListParagraph"/>
        <w:numPr>
          <w:ilvl w:val="0"/>
          <w:numId w:val="4"/>
        </w:numPr>
        <w:spacing w:after="80" w:line="276"/>
      </w:pPr>
      <w:r>
        <w:t xml:space="preserve">Test for stationarity using the Augmented Dickey-Fuller test. Report the test statistic and p-value.</w:t>
      </w:r>
    </w:p>
    <w:p>
      <w:pPr>
        <w:pStyle w:val="ListParagraph"/>
        <w:numPr>
          <w:ilvl w:val="0"/>
          <w:numId w:val="4"/>
        </w:numPr>
        <w:spacing w:after="80" w:line="276"/>
      </w:pPr>
      <w:r>
        <w:t xml:space="preserve">Fit SARIMA models with different (p,d,q)(P,D,Q,s) parameters. Use AIC/BIC for model selection.</w:t>
      </w:r>
    </w:p>
    <w:p>
      <w:pPr>
        <w:pStyle w:val="ListParagraph"/>
        <w:numPr>
          <w:ilvl w:val="0"/>
          <w:numId w:val="4"/>
        </w:numPr>
        <w:spacing w:after="80" w:line="276"/>
      </w:pPr>
      <w:r>
        <w:t xml:space="preserve">Alternatively or additionally, fit a Facebook Prophet model which handles multiple seasonality and holiday effects well.</w:t>
      </w:r>
    </w:p>
    <w:p>
      <w:pPr>
        <w:pStyle w:val="ListParagraph"/>
        <w:numPr>
          <w:ilvl w:val="0"/>
          <w:numId w:val="4"/>
        </w:numPr>
        <w:spacing w:after="80" w:line="276"/>
      </w:pPr>
      <w:r>
        <w:t xml:space="preserve">Evaluate using train-test split: train on data up to 2022, test on 2023-2024. Report RMSE, MAE, and MAPE.</w:t>
      </w:r>
    </w:p>
    <w:p>
      <w:pPr>
        <w:pStyle w:val="ListParagraph"/>
        <w:numPr>
          <w:ilvl w:val="0"/>
          <w:numId w:val="4"/>
        </w:numPr>
        <w:spacing w:after="80" w:line="276"/>
      </w:pPr>
      <w:r>
        <w:t xml:space="preserve">Visualise actual vs predicted with confidence intervals.</w:t>
      </w:r>
    </w:p>
    <w:p>
      <w:pPr>
        <w:pBdr>
          <w:left w:val="single" w:color="2E86C1" w:sz="12" w:space="8"/>
        </w:pBdr>
        <w:spacing w:after="120" w:before="120" w:line="276"/>
        <w:ind w:left="360" w:right="360"/>
      </w:pPr>
      <w:r>
        <w:rPr>
          <w:b/>
          <w:bCs/>
        </w:rPr>
        <w:t xml:space="preserve">Academic Reference: </w:t>
      </w:r>
      <w:r>
        <w:t xml:space="preserve">Cite Box &amp; Jenkins (1976) for ARIMA methodology, Cleveland et al. (1990) for STL decomposition, and Taylor &amp; Letham (2018) for Prophet. This grounds your work in established literature.</w:t>
      </w:r>
    </w:p>
    <w:p>
      <w:pPr>
        <w:pStyle w:val="Heading3"/>
      </w:pPr>
      <w:r>
        <w:t xml:space="preserve">Method 2: Regression Analysis — What Drives Inflation?</w:t>
      </w:r>
    </w:p>
    <w:p>
      <w:pPr>
        <w:spacing w:after="120" w:line="276"/>
      </w:pPr>
      <w:r>
        <w:rPr>
          <w:b/>
          <w:bCs/>
        </w:rPr>
        <w:t xml:space="preserve">What to do: </w:t>
      </w:r>
      <w:r>
        <w:t xml:space="preserve">Build regression models to identify which factors (energy prices, import costs, wages, commodity prices) best predict overall CPI movements.</w:t>
      </w:r>
    </w:p>
    <w:p>
      <w:pPr>
        <w:spacing w:after="120" w:line="276"/>
      </w:pPr>
      <w:r>
        <w:t xml:space="preserve">Implementation steps:</w:t>
      </w:r>
    </w:p>
    <w:p>
      <w:pPr>
        <w:pStyle w:val="ListParagraph"/>
        <w:numPr>
          <w:ilvl w:val="0"/>
          <w:numId w:val="5"/>
        </w:numPr>
        <w:spacing w:after="80" w:line="276"/>
      </w:pPr>
      <w:r>
        <w:t xml:space="preserve">Gather potential predictor variables: energy price indices, food commodity indices, wage growth data (from ONS), exchange rates, global oil prices.</w:t>
      </w:r>
    </w:p>
    <w:p>
      <w:pPr>
        <w:pStyle w:val="ListParagraph"/>
        <w:numPr>
          <w:ilvl w:val="0"/>
          <w:numId w:val="5"/>
        </w:numPr>
        <w:spacing w:after="80" w:line="276"/>
      </w:pPr>
      <w:r>
        <w:t xml:space="preserve">Fit a multiple linear regression as a baseline. Report R-squared, adjusted R-squared, and coefficient significance.</w:t>
      </w:r>
    </w:p>
    <w:p>
      <w:pPr>
        <w:pStyle w:val="ListParagraph"/>
        <w:numPr>
          <w:ilvl w:val="0"/>
          <w:numId w:val="5"/>
        </w:numPr>
        <w:spacing w:after="80" w:line="276"/>
      </w:pPr>
      <w:r>
        <w:t xml:space="preserve">Fit a Random Forest regression to capture non-linear relationships. Report feature importances (using Gini importance or permutation importance, referencing Nembrini et al. (2018) as the Loneliness report did).</w:t>
      </w:r>
    </w:p>
    <w:p>
      <w:pPr>
        <w:pStyle w:val="ListParagraph"/>
        <w:numPr>
          <w:ilvl w:val="0"/>
          <w:numId w:val="5"/>
        </w:numPr>
        <w:spacing w:after="80" w:line="276"/>
      </w:pPr>
      <w:r>
        <w:t xml:space="preserve">Compare both models using cross-validated RMSE. Display results in a clear table.</w:t>
      </w:r>
    </w:p>
    <w:p>
      <w:pPr>
        <w:pStyle w:val="ListParagraph"/>
        <w:numPr>
          <w:ilvl w:val="0"/>
          <w:numId w:val="5"/>
        </w:numPr>
        <w:spacing w:after="80" w:line="276"/>
      </w:pPr>
      <w:r>
        <w:t xml:space="preserve">Create a feature importance bar chart—this is analogous to the Loneliness report’s Fig. 9 and is highly effective for communicating which factors matter most.</w:t>
      </w:r>
    </w:p>
    <w:p>
      <w:pPr>
        <w:pStyle w:val="Heading3"/>
      </w:pPr>
      <w:r>
        <w:t xml:space="preserve">Method 3: Clustering — Regional Profiles</w:t>
      </w:r>
    </w:p>
    <w:p>
      <w:pPr>
        <w:spacing w:after="120" w:line="276"/>
      </w:pPr>
      <w:r>
        <w:rPr>
          <w:b/>
          <w:bCs/>
        </w:rPr>
        <w:t xml:space="preserve">What to do: </w:t>
      </w:r>
      <w:r>
        <w:t xml:space="preserve">Use K-means clustering (with optional t-SNE for visualisation) to group UK regions by their inflation profiles. This is directly inspired by the Loneliness report’s clustering approach (Section V), which was one of its strongest contributions.</w:t>
      </w:r>
    </w:p>
    <w:p>
      <w:pPr>
        <w:spacing w:after="120" w:line="276"/>
      </w:pPr>
      <w:r>
        <w:t xml:space="preserve">Implementation steps:</w:t>
      </w:r>
    </w:p>
    <w:p>
      <w:pPr>
        <w:pStyle w:val="ListParagraph"/>
        <w:numPr>
          <w:ilvl w:val="0"/>
          <w:numId w:val="6"/>
        </w:numPr>
        <w:spacing w:after="80" w:line="276"/>
      </w:pPr>
      <w:r>
        <w:t xml:space="preserve">Prepare a feature matrix: each row is a region, each column is the inflation rate for a product category (or time-series features like mean, variance, trend slope).</w:t>
      </w:r>
    </w:p>
    <w:p>
      <w:pPr>
        <w:pStyle w:val="ListParagraph"/>
        <w:numPr>
          <w:ilvl w:val="0"/>
          <w:numId w:val="6"/>
        </w:numPr>
        <w:spacing w:after="80" w:line="276"/>
      </w:pPr>
      <w:r>
        <w:t xml:space="preserve">Standardise features (z-scores). Remove outliers if K-means is sensitive to them.</w:t>
      </w:r>
    </w:p>
    <w:p>
      <w:pPr>
        <w:pStyle w:val="ListParagraph"/>
        <w:numPr>
          <w:ilvl w:val="0"/>
          <w:numId w:val="6"/>
        </w:numPr>
        <w:spacing w:after="80" w:line="276"/>
      </w:pPr>
      <w:r>
        <w:t xml:space="preserve">Use the Elbow method and Silhouette scores to determine optimal K.</w:t>
      </w:r>
    </w:p>
    <w:p>
      <w:pPr>
        <w:pStyle w:val="ListParagraph"/>
        <w:numPr>
          <w:ilvl w:val="0"/>
          <w:numId w:val="6"/>
        </w:numPr>
        <w:spacing w:after="80" w:line="276"/>
      </w:pPr>
      <w:r>
        <w:t xml:space="preserve">Apply t-SNE for dimensionality reduction and visualisation (cite van der Maaten &amp; Hinton (2008)). Plot the clusters in 2D or 3D space.</w:t>
      </w:r>
    </w:p>
    <w:p>
      <w:pPr>
        <w:pStyle w:val="ListParagraph"/>
        <w:numPr>
          <w:ilvl w:val="0"/>
          <w:numId w:val="6"/>
        </w:numPr>
        <w:spacing w:after="80" w:line="276"/>
      </w:pPr>
      <w:r>
        <w:t xml:space="preserve">Characterise each cluster: which regions fall into which cluster, and what are the defining inflation characteristics of each group? This is analogous to the Loneliness report’s four-cluster characterisation (Cluster 1: Blue, Cluster 2: Mint Green, etc.).</w:t>
      </w:r>
    </w:p>
    <w:p>
      <w:pPr>
        <w:pStyle w:val="ListParagraph"/>
        <w:numPr>
          <w:ilvl w:val="0"/>
          <w:numId w:val="6"/>
        </w:numPr>
        <w:spacing w:after="80" w:line="276"/>
      </w:pPr>
      <w:r>
        <w:t xml:space="preserve">Map the clusters geographically to show spatial patterns.</w:t>
      </w:r>
    </w:p>
    <w:p>
      <w:pPr>
        <w:pStyle w:val="Heading3"/>
      </w:pPr>
      <w:r>
        <w:t xml:space="preserve">Method 4 (Optional Advanced): Granger Causality or VAR Models</w:t>
      </w:r>
    </w:p>
    <w:p>
      <w:pPr>
        <w:spacing w:after="120" w:line="276"/>
      </w:pPr>
      <w:r>
        <w:rPr>
          <w:b/>
          <w:bCs/>
        </w:rPr>
        <w:t xml:space="preserve">What to do: </w:t>
      </w:r>
      <w:r>
        <w:t xml:space="preserve">Test whether changes in one category (e.g. energy) Granger-cause changes in others (e.g. food, transport). This adds a causal inference dimension that goes beyond correlation.</w:t>
      </w:r>
    </w:p>
    <w:p>
      <w:pPr>
        <w:spacing w:after="120" w:line="276"/>
      </w:pPr>
      <w:r>
        <w:t xml:space="preserve">If time permits, a Vector Autoregression (VAR) model across multiple CPI categories can reveal lead-lag relationships. This is a sophisticated addition that would impress markers.</w:t>
      </w:r>
    </w:p>
    <w:p>
      <w:pPr>
        <w:pStyle w:val="Heading3"/>
      </w:pPr>
      <w:r>
        <w:t xml:space="preserve">Evaluation Framework</w:t>
      </w:r>
    </w:p>
    <w:p>
      <w:pPr>
        <w:spacing w:after="120" w:line="276"/>
      </w:pPr>
      <w:r>
        <w:t xml:space="preserve">For every model, you must provide a rigorous evaluation. Follow this pattern from the example reports:</w:t>
      </w:r>
    </w:p>
    <w:p>
      <w:pPr>
        <w:pStyle w:val="ListParagraph"/>
        <w:numPr>
          <w:ilvl w:val="0"/>
          <w:numId w:val="2"/>
        </w:numPr>
        <w:spacing w:after="60" w:line="276"/>
      </w:pPr>
      <w:r>
        <w:rPr>
          <w:b/>
          <w:bCs/>
        </w:rPr>
        <w:t xml:space="preserve">Baseline comparison: </w:t>
      </w:r>
      <w:r>
        <w:t xml:space="preserve">Always compare against a simple baseline (e.g. naïve persistence forecast, linear regression). Both example reports use baselines—the SPHERE report compares all models against each other, and the Loneliness report uses linear regression as a baseline for random forest.</w:t>
      </w:r>
    </w:p>
    <w:p>
      <w:pPr>
        <w:pStyle w:val="ListParagraph"/>
        <w:numPr>
          <w:ilvl w:val="0"/>
          <w:numId w:val="2"/>
        </w:numPr>
        <w:spacing w:after="60" w:line="276"/>
      </w:pPr>
      <w:r>
        <w:rPr>
          <w:b/>
          <w:bCs/>
        </w:rPr>
        <w:t xml:space="preserve">Appropriate metrics: </w:t>
      </w:r>
      <w:r>
        <w:t xml:space="preserve">For time-series: RMSE, MAE, MAPE. For regression: R², adjusted R², cross-validated scores. For clustering: Silhouette score, within-cluster sum of squares.</w:t>
      </w:r>
    </w:p>
    <w:p>
      <w:pPr>
        <w:pStyle w:val="ListParagraph"/>
        <w:numPr>
          <w:ilvl w:val="0"/>
          <w:numId w:val="2"/>
        </w:numPr>
        <w:spacing w:after="60" w:line="276"/>
      </w:pPr>
      <w:r>
        <w:rPr>
          <w:b/>
          <w:bCs/>
        </w:rPr>
        <w:t xml:space="preserve">Clear results table: </w:t>
      </w:r>
      <w:r>
        <w:t xml:space="preserve">Present all model results in a single comparison table (like the SPHERE report’s Table I and the Loneliness report’s Table II). This is essential.</w:t>
      </w:r>
    </w:p>
    <w:p>
      <w:pPr>
        <w:pStyle w:val="ListParagraph"/>
        <w:numPr>
          <w:ilvl w:val="0"/>
          <w:numId w:val="2"/>
        </w:numPr>
        <w:spacing w:after="60" w:line="276"/>
      </w:pPr>
      <w:r>
        <w:rPr>
          <w:b/>
          <w:bCs/>
        </w:rPr>
        <w:t xml:space="preserve">Honest assessment: </w:t>
      </w:r>
      <w:r>
        <w:t xml:space="preserve">Discuss what worked and what didn’t. If a model performed poorly, explain why. The Loneliness report’s finding that feature importances were unstable across runs—and their honest reporting of this—was a mark of quality.</w:t>
      </w:r>
    </w:p>
    <w:p>
      <w:r>
        <w:br w:type="page"/>
      </w:r>
    </w:p>
    <w:p>
      <w:pPr>
        <w:pStyle w:val="Heading2"/>
      </w:pPr>
      <w:r>
        <w:t xml:space="preserve">3.6  Findings</w:t>
      </w:r>
    </w:p>
    <w:p>
      <w:pPr>
        <w:spacing w:after="120" w:line="276"/>
      </w:pPr>
      <w:r>
        <w:rPr>
          <w:b/>
          <w:bCs/>
        </w:rPr>
        <w:t xml:space="preserve">Length: </w:t>
      </w:r>
      <w:r>
        <w:t xml:space="preserve">Approximately 1 to 1.5 pages.</w:t>
      </w:r>
    </w:p>
    <w:p>
      <w:pPr>
        <w:spacing w:after="120" w:line="276"/>
      </w:pPr>
      <w:r>
        <w:t xml:space="preserve">This section synthesises your results into coherent findings. Structure it around your research questions:</w:t>
      </w:r>
    </w:p>
    <w:p>
      <w:pPr>
        <w:pStyle w:val="Heading3"/>
      </w:pPr>
      <w:r>
        <w:t xml:space="preserve">Finding 1: Temporal Trends in Cost of Living</w:t>
      </w:r>
    </w:p>
    <w:p>
      <w:pPr>
        <w:spacing w:after="120" w:line="276"/>
      </w:pPr>
      <w:r>
        <w:t xml:space="preserve">Present your key discoveries about how prices have changed. For example: which categories saw the sharpest increases, when did inflation accelerate and decelerate, did your forecast model predict the 2022-2023 peak? Include your best time-series figures here.</w:t>
      </w:r>
    </w:p>
    <w:p>
      <w:pPr>
        <w:pStyle w:val="Heading3"/>
      </w:pPr>
      <w:r>
        <w:t xml:space="preserve">Finding 2: Regional Disparities</w:t>
      </w:r>
    </w:p>
    <w:p>
      <w:pPr>
        <w:spacing w:after="120" w:line="276"/>
      </w:pPr>
      <w:r>
        <w:t xml:space="preserve">Present your clustering results and geographic maps. Which regions are hit hardest? Are there North-South divides? Do urban and rural areas differ? Connect this to demographic or economic factors.</w:t>
      </w:r>
    </w:p>
    <w:p>
      <w:pPr>
        <w:pStyle w:val="Heading3"/>
      </w:pPr>
      <w:r>
        <w:t xml:space="preserve">Finding 3: Category-Level Insights</w:t>
      </w:r>
    </w:p>
    <w:p>
      <w:pPr>
        <w:spacing w:after="120" w:line="276"/>
      </w:pPr>
      <w:r>
        <w:t xml:space="preserve">Which expenditure categories drive inflation most? How has this changed over time? What does the regression model say about the relative importance of different price drivers? Present your feature importance results.</w:t>
      </w:r>
    </w:p>
    <w:p>
      <w:pPr>
        <w:pStyle w:val="Heading3"/>
      </w:pPr>
      <w:r>
        <w:t xml:space="preserve">Finding 4: Groups Most Affected</w:t>
      </w:r>
    </w:p>
    <w:p>
      <w:pPr>
        <w:spacing w:after="120" w:line="276"/>
      </w:pPr>
      <w:r>
        <w:t xml:space="preserve">Connect your analysis to the question of who is most affected. Lower-income households spend a larger proportion on food and energy, which have inflated faster. If you have household expenditure data, quantify this. This directly addresses the project brief.</w:t>
      </w:r>
    </w:p>
    <w:p>
      <w:pPr>
        <w:pBdr>
          <w:left w:val="single" w:color="2E86C1" w:sz="12" w:space="8"/>
        </w:pBdr>
        <w:spacing w:after="120" w:before="120" w:line="276"/>
        <w:ind w:left="360" w:right="360"/>
      </w:pPr>
      <w:r>
        <w:rPr>
          <w:b/>
          <w:bCs/>
        </w:rPr>
        <w:t xml:space="preserve">Marks Booster: </w:t>
      </w:r>
      <w:r>
        <w:t xml:space="preserve">Include one unexpected or counterintuitive finding. Both example reports did this: the Loneliness report found that health deprivation and loneliness were negatively correlated (the opposite of expectations), and the SPHERE report found that bounding box shape alone was surprisingly informative for pose estimation. A counterintuitive finding that you investigate and explain shows deep analytical thinking.</w:t>
      </w:r>
    </w:p>
    <w:p>
      <w:pPr>
        <w:pStyle w:val="Heading2"/>
      </w:pPr>
      <w:r>
        <w:t xml:space="preserve">3.7  Discussion and Conclusion</w:t>
      </w:r>
    </w:p>
    <w:p>
      <w:pPr>
        <w:spacing w:after="120" w:line="276"/>
      </w:pPr>
      <w:r>
        <w:rPr>
          <w:b/>
          <w:bCs/>
        </w:rPr>
        <w:t xml:space="preserve">Length: </w:t>
      </w:r>
      <w:r>
        <w:t xml:space="preserve">Approximately 1 to 1.5 pages.</w:t>
      </w:r>
    </w:p>
    <w:p>
      <w:pPr>
        <w:spacing w:after="120" w:line="276"/>
      </w:pPr>
      <w:r>
        <w:t xml:space="preserve">This section is worth 15% and must demonstrate critical thinking. Cover the following:</w:t>
      </w:r>
    </w:p>
    <w:p>
      <w:pPr>
        <w:pStyle w:val="Heading3"/>
      </w:pPr>
      <w:r>
        <w:t xml:space="preserve">Limitations</w:t>
      </w:r>
    </w:p>
    <w:p>
      <w:pPr>
        <w:spacing w:after="120" w:line="276"/>
      </w:pPr>
      <w:r>
        <w:t xml:space="preserve">Be explicit about the limitations of your analysis. Good examples:</w:t>
      </w:r>
    </w:p>
    <w:p>
      <w:pPr>
        <w:pStyle w:val="ListParagraph"/>
        <w:numPr>
          <w:ilvl w:val="0"/>
          <w:numId w:val="2"/>
        </w:numPr>
        <w:spacing w:after="60" w:line="276"/>
      </w:pPr>
      <w:r>
        <w:rPr>
          <w:b/>
          <w:bCs/>
        </w:rPr>
        <w:t xml:space="preserve">Data limitations: </w:t>
      </w:r>
      <w:r>
        <w:t xml:space="preserve">CPI is an aggregate measure based on a representative basket; it may not reflect individual household experiences. Regional data may be at too coarse a granularity.</w:t>
      </w:r>
    </w:p>
    <w:p>
      <w:pPr>
        <w:pStyle w:val="ListParagraph"/>
        <w:numPr>
          <w:ilvl w:val="0"/>
          <w:numId w:val="2"/>
        </w:numPr>
        <w:spacing w:after="60" w:line="276"/>
      </w:pPr>
      <w:r>
        <w:rPr>
          <w:b/>
          <w:bCs/>
        </w:rPr>
        <w:t xml:space="preserve">Methodological limitations: </w:t>
      </w:r>
      <w:r>
        <w:t xml:space="preserve">Time-series models assume past patterns continue; they cannot predict black swan events. Clustering results depend on the choice of K and the features used.</w:t>
      </w:r>
    </w:p>
    <w:p>
      <w:pPr>
        <w:pStyle w:val="ListParagraph"/>
        <w:numPr>
          <w:ilvl w:val="0"/>
          <w:numId w:val="2"/>
        </w:numPr>
        <w:spacing w:after="60" w:line="276"/>
      </w:pPr>
      <w:r>
        <w:rPr>
          <w:b/>
          <w:bCs/>
        </w:rPr>
        <w:t xml:space="preserve">Scope limitations: </w:t>
      </w:r>
      <w:r>
        <w:t xml:space="preserve">You analysed price data but not purchasing power (which also depends on wages, benefits, and taxes).</w:t>
      </w:r>
    </w:p>
    <w:p>
      <w:pPr>
        <w:pStyle w:val="Heading3"/>
      </w:pPr>
      <w:r>
        <w:t xml:space="preserve">Implications for End Users</w:t>
      </w:r>
    </w:p>
    <w:p>
      <w:pPr>
        <w:spacing w:after="120" w:line="276"/>
      </w:pPr>
      <w:r>
        <w:t xml:space="preserve">Who benefits from your findings? Policymakers could use regional clustering to target support. Consumer groups could use category-level analysis to advise vulnerable households. The ONS itself could consider publishing more granular regional data.</w:t>
      </w:r>
    </w:p>
    <w:p>
      <w:pPr>
        <w:pStyle w:val="Heading3"/>
      </w:pPr>
      <w:r>
        <w:t xml:space="preserve">Future Work</w:t>
      </w:r>
    </w:p>
    <w:p>
      <w:pPr>
        <w:spacing w:after="120" w:line="276"/>
      </w:pPr>
      <w:r>
        <w:t xml:space="preserve">Propose 3-4 concrete extensions:</w:t>
      </w:r>
    </w:p>
    <w:p>
      <w:pPr>
        <w:pStyle w:val="ListParagraph"/>
        <w:numPr>
          <w:ilvl w:val="0"/>
          <w:numId w:val="2"/>
        </w:numPr>
        <w:spacing w:after="60" w:line="276"/>
      </w:pPr>
      <w:r>
        <w:t xml:space="preserve">Incorporate household income/expenditure data for distributional impact analysis.</w:t>
      </w:r>
    </w:p>
    <w:p>
      <w:pPr>
        <w:pStyle w:val="ListParagraph"/>
        <w:numPr>
          <w:ilvl w:val="0"/>
          <w:numId w:val="2"/>
        </w:numPr>
        <w:spacing w:after="60" w:line="276"/>
      </w:pPr>
      <w:r>
        <w:t xml:space="preserve">Apply more advanced forecasting (e.g. neural network approaches like LSTM).</w:t>
      </w:r>
    </w:p>
    <w:p>
      <w:pPr>
        <w:pStyle w:val="ListParagraph"/>
        <w:numPr>
          <w:ilvl w:val="0"/>
          <w:numId w:val="2"/>
        </w:numPr>
        <w:spacing w:after="60" w:line="276"/>
      </w:pPr>
      <w:r>
        <w:t xml:space="preserve">Extend to international comparisons with EU/G7 countries.</w:t>
      </w:r>
    </w:p>
    <w:p>
      <w:pPr>
        <w:pStyle w:val="ListParagraph"/>
        <w:numPr>
          <w:ilvl w:val="0"/>
          <w:numId w:val="2"/>
        </w:numPr>
        <w:spacing w:after="60" w:line="276"/>
      </w:pPr>
      <w:r>
        <w:t xml:space="preserve">Build an interactive dashboard for real-time inflation monitoring.</w:t>
      </w:r>
    </w:p>
    <w:p>
      <w:pPr>
        <w:pStyle w:val="Heading3"/>
      </w:pPr>
      <w:r>
        <w:t xml:space="preserve">Conclusion</w:t>
      </w:r>
    </w:p>
    <w:p>
      <w:pPr>
        <w:spacing w:after="120" w:line="276"/>
      </w:pPr>
      <w:r>
        <w:t xml:space="preserve">Summarise your 3-4 most important findings in a concise paragraph. End with a forward-looking statement about the importance of understanding inflation disparities for policy and public welfare.</w:t>
      </w:r>
    </w:p>
    <w:p>
      <w:r>
        <w:br w:type="page"/>
      </w:r>
    </w:p>
    <w:p>
      <w:pPr>
        <w:pStyle w:val="Heading1"/>
      </w:pPr>
      <w:r>
        <w:t xml:space="preserve">4. Data Sources: What to Download and How</w:t>
      </w:r>
    </w:p>
    <w:p>
      <w:pPr>
        <w:spacing w:after="120" w:line="276"/>
      </w:pPr>
      <w:r>
        <w:t xml:space="preserve">Below is a detailed guide to the specific datasets you should obtain. Use the primary datasets as your core, and choose at least one supplementary dataset to demonstrate initiative.</w:t>
      </w:r>
    </w:p>
    <w:p>
      <w:pPr>
        <w:pStyle w:val="Heading2"/>
      </w:pPr>
      <w:r>
        <w:t xml:space="preserve">Primary Datasets (Required)</w:t>
      </w:r>
    </w:p>
    <w:p>
      <w:pPr>
        <w:pStyle w:val="ListParagraph"/>
        <w:numPr>
          <w:ilvl w:val="0"/>
          <w:numId w:val="7"/>
        </w:numPr>
        <w:spacing w:after="80" w:line="276"/>
      </w:pPr>
      <w:r>
        <w:rPr>
          <w:b/>
          <w:bCs/>
        </w:rPr>
        <w:t xml:space="preserve">CPI Detailed Reference Tables (MM23): </w:t>
      </w:r>
      <w:r>
        <w:t xml:space="preserve">The main ONS CPI dataset. Download from ons.gov.uk/economy/inflationandpriceindices/datasets/consumerpriceindices. This gives monthly CPI and CPIH indices for hundreds of individual items and categories, plus 12-month rates. Use the "All Items" and major category-level series (food, housing, transport, health, education, restaurants, clothing, etc.).</w:t>
      </w:r>
    </w:p>
    <w:p>
      <w:pPr>
        <w:pStyle w:val="ListParagraph"/>
        <w:numPr>
          <w:ilvl w:val="0"/>
          <w:numId w:val="7"/>
        </w:numPr>
        <w:spacing w:after="80" w:line="276"/>
      </w:pPr>
      <w:r>
        <w:rPr>
          <w:b/>
          <w:bCs/>
        </w:rPr>
        <w:t xml:space="preserve">CPI/CPIH by Region: </w:t>
      </w:r>
      <w:r>
        <w:t xml:space="preserve">Search the ONS for "consumer price inflation by region". This provides regional breakdowns (England regions, Scotland, Wales, Northern Ireland). This is essential for your regional analysis.</w:t>
      </w:r>
    </w:p>
    <w:p>
      <w:pPr>
        <w:pStyle w:val="ListParagraph"/>
        <w:numPr>
          <w:ilvl w:val="0"/>
          <w:numId w:val="7"/>
        </w:numPr>
        <w:spacing w:after="80" w:line="276"/>
      </w:pPr>
      <w:r>
        <w:rPr>
          <w:b/>
          <w:bCs/>
        </w:rPr>
        <w:t xml:space="preserve">CPI Weights: </w:t>
      </w:r>
      <w:r>
        <w:t xml:space="preserve">The ONS publishes expenditure weights for each CPI category annually. These tell you how much each category contributes to the overall index and are essential for understanding which categories matter most to consumers.</w:t>
      </w:r>
    </w:p>
    <w:p>
      <w:pPr>
        <w:pStyle w:val="Heading2"/>
      </w:pPr>
      <w:r>
        <w:t xml:space="preserve">Supplementary Datasets (Choose 1-2)</w:t>
      </w:r>
    </w:p>
    <w:p>
      <w:pPr>
        <w:pStyle w:val="ListParagraph"/>
        <w:numPr>
          <w:ilvl w:val="0"/>
          <w:numId w:val="2"/>
        </w:numPr>
        <w:spacing w:after="60" w:line="276"/>
      </w:pPr>
      <w:r>
        <w:rPr>
          <w:b/>
          <w:bCs/>
        </w:rPr>
        <w:t xml:space="preserve">Average Weekly Earnings (ONS): </w:t>
      </w:r>
      <w:r>
        <w:t xml:space="preserve">Nominal and real wage data by sector. Combining this with CPI data lets you analyse purchasing power—are wages keeping up with prices?</w:t>
      </w:r>
    </w:p>
    <w:p>
      <w:pPr>
        <w:pStyle w:val="ListParagraph"/>
        <w:numPr>
          <w:ilvl w:val="0"/>
          <w:numId w:val="2"/>
        </w:numPr>
        <w:spacing w:after="60" w:line="276"/>
      </w:pPr>
      <w:r>
        <w:rPr>
          <w:b/>
          <w:bCs/>
        </w:rPr>
        <w:t xml:space="preserve">Family Spending Survey (ONS): </w:t>
      </w:r>
      <w:r>
        <w:t xml:space="preserve">Household expenditure by income quintile. This is gold for the "which groups are most affected" question, as it shows that lower-income households spend proportionally more on food and energy.</w:t>
      </w:r>
    </w:p>
    <w:p>
      <w:pPr>
        <w:pStyle w:val="ListParagraph"/>
        <w:numPr>
          <w:ilvl w:val="0"/>
          <w:numId w:val="2"/>
        </w:numPr>
        <w:spacing w:after="60" w:line="276"/>
      </w:pPr>
      <w:r>
        <w:rPr>
          <w:b/>
          <w:bCs/>
        </w:rPr>
        <w:t xml:space="preserve">Housing Price Indices (ONS/Land Registry): </w:t>
      </w:r>
      <w:r>
        <w:t xml:space="preserve">Regional house price data. Housing is a major component of cost of living not fully captured by CPI.</w:t>
      </w:r>
    </w:p>
    <w:p>
      <w:pPr>
        <w:pStyle w:val="ListParagraph"/>
        <w:numPr>
          <w:ilvl w:val="0"/>
          <w:numId w:val="2"/>
        </w:numPr>
        <w:spacing w:after="60" w:line="276"/>
      </w:pPr>
      <w:r>
        <w:rPr>
          <w:b/>
          <w:bCs/>
        </w:rPr>
        <w:t xml:space="preserve">Energy Price Data (DESNZ/Ofgem): </w:t>
      </w:r>
      <w:r>
        <w:t xml:space="preserve">Domestic energy prices. Energy has been the single biggest driver of recent inflation, so detailed energy price data enriches your analysis.</w:t>
      </w:r>
    </w:p>
    <w:p>
      <w:pPr>
        <w:pStyle w:val="ListParagraph"/>
        <w:numPr>
          <w:ilvl w:val="0"/>
          <w:numId w:val="2"/>
        </w:numPr>
        <w:spacing w:after="60" w:line="276"/>
      </w:pPr>
      <w:r>
        <w:rPr>
          <w:b/>
          <w:bCs/>
        </w:rPr>
        <w:t xml:space="preserve">Global Commodity Prices (World Bank/IMF): </w:t>
      </w:r>
      <w:r>
        <w:t xml:space="preserve">Oil, food commodity, and metal prices. Useful as predictors in your regression model to understand how global factors transmit to UK consumer prices.</w:t>
      </w:r>
    </w:p>
    <w:p>
      <w:pPr>
        <w:pBdr>
          <w:left w:val="single" w:color="2E86C1" w:sz="12" w:space="8"/>
        </w:pBdr>
        <w:spacing w:after="120" w:before="120" w:line="276"/>
        <w:ind w:left="360" w:right="360"/>
      </w:pPr>
      <w:r>
        <w:rPr>
          <w:b/>
          <w:bCs/>
        </w:rPr>
        <w:t xml:space="preserve">Strategy: </w:t>
      </w:r>
      <w:r>
        <w:t xml:space="preserve">The supplementary dataset should serve a clear purpose. Don’t add data for its own sake. The Loneliness report added the IMD dataset specifically because it wanted to test the correlation between loneliness and deprivation. Your additional dataset should similarly have a clear analytical motivation explained in the Introduction.</w:t>
      </w:r>
    </w:p>
    <w:p>
      <w:r>
        <w:br w:type="page"/>
      </w:r>
    </w:p>
    <w:p>
      <w:pPr>
        <w:pStyle w:val="Heading1"/>
      </w:pPr>
      <w:r>
        <w:t xml:space="preserve">5. Technical Execution Plan</w:t>
      </w:r>
    </w:p>
    <w:p>
      <w:pPr>
        <w:spacing w:after="120" w:line="276"/>
      </w:pPr>
      <w:r>
        <w:t xml:space="preserve">This section provides a step-by-step technical workflow. Use Python (with pandas, scikit-learn, statsmodels, matplotlib, seaborn, geopandas) throughout.</w:t>
      </w:r>
    </w:p>
    <w:p>
      <w:pPr>
        <w:pStyle w:val="Heading2"/>
      </w:pPr>
      <w:r>
        <w:t xml:space="preserve">Step 1: Data Acquisition and Loading</w:t>
      </w:r>
    </w:p>
    <w:p>
      <w:pPr>
        <w:pStyle w:val="ListParagraph"/>
        <w:numPr>
          <w:ilvl w:val="0"/>
          <w:numId w:val="2"/>
        </w:numPr>
        <w:spacing w:after="60" w:line="276"/>
      </w:pPr>
      <w:r>
        <w:t xml:space="preserve">Download all datasets to a /data/raw/ directory.</w:t>
      </w:r>
    </w:p>
    <w:p>
      <w:pPr>
        <w:pStyle w:val="ListParagraph"/>
        <w:numPr>
          <w:ilvl w:val="0"/>
          <w:numId w:val="2"/>
        </w:numPr>
        <w:spacing w:after="60" w:line="276"/>
      </w:pPr>
      <w:r>
        <w:t xml:space="preserve">Write a data loading notebook (01_data_loading.ipynb) that reads each file, inspects its structure (shape, dtypes, head), and saves clean intermediate files to /data/processed/.</w:t>
      </w:r>
    </w:p>
    <w:p>
      <w:pPr>
        <w:pStyle w:val="ListParagraph"/>
        <w:numPr>
          <w:ilvl w:val="0"/>
          <w:numId w:val="2"/>
        </w:numPr>
        <w:spacing w:after="60" w:line="276"/>
      </w:pPr>
      <w:r>
        <w:t xml:space="preserve">Document the schema of each dataset: what each column means, its units, and its temporal range.</w:t>
      </w:r>
    </w:p>
    <w:p>
      <w:pPr>
        <w:pStyle w:val="Heading2"/>
      </w:pPr>
      <w:r>
        <w:t xml:space="preserve">Step 2: Data Cleaning</w:t>
      </w:r>
    </w:p>
    <w:p>
      <w:pPr>
        <w:pStyle w:val="ListParagraph"/>
        <w:numPr>
          <w:ilvl w:val="0"/>
          <w:numId w:val="2"/>
        </w:numPr>
        <w:spacing w:after="60" w:line="276"/>
      </w:pPr>
      <w:r>
        <w:t xml:space="preserve">Handle missing values: use df.isnull().sum() to quantify missingness. For time-series, forward-fill small gaps; for larger gaps, use interpolation or exclude the period.</w:t>
      </w:r>
    </w:p>
    <w:p>
      <w:pPr>
        <w:pStyle w:val="ListParagraph"/>
        <w:numPr>
          <w:ilvl w:val="0"/>
          <w:numId w:val="2"/>
        </w:numPr>
        <w:spacing w:after="60" w:line="276"/>
      </w:pPr>
      <w:r>
        <w:t xml:space="preserve">Detect outliers: use IQR method (as in the Loneliness report) or z-score thresholds. Investigate outliers before removing them—they may reveal interesting anomalies.</w:t>
      </w:r>
    </w:p>
    <w:p>
      <w:pPr>
        <w:pStyle w:val="ListParagraph"/>
        <w:numPr>
          <w:ilvl w:val="0"/>
          <w:numId w:val="2"/>
        </w:numPr>
        <w:spacing w:after="60" w:line="276"/>
      </w:pPr>
      <w:r>
        <w:t xml:space="preserve">Standardise units: ensure all price indices use the same base year. If not, rebase them.</w:t>
      </w:r>
    </w:p>
    <w:p>
      <w:pPr>
        <w:pStyle w:val="ListParagraph"/>
        <w:numPr>
          <w:ilvl w:val="0"/>
          <w:numId w:val="2"/>
        </w:numPr>
        <w:spacing w:after="60" w:line="276"/>
      </w:pPr>
      <w:r>
        <w:t xml:space="preserve">Merge datasets: align on common keys (date, region). Be explicit about inner vs outer joins and how you handle mismatches.</w:t>
      </w:r>
    </w:p>
    <w:p>
      <w:pPr>
        <w:pStyle w:val="Heading2"/>
      </w:pPr>
      <w:r>
        <w:t xml:space="preserve">Step 3: Feature Engineering</w:t>
      </w:r>
    </w:p>
    <w:p>
      <w:pPr>
        <w:pStyle w:val="ListParagraph"/>
        <w:numPr>
          <w:ilvl w:val="0"/>
          <w:numId w:val="2"/>
        </w:numPr>
        <w:spacing w:after="60" w:line="276"/>
      </w:pPr>
      <w:r>
        <w:rPr>
          <w:b/>
          <w:bCs/>
        </w:rPr>
        <w:t xml:space="preserve">Year-on-year inflation rate: </w:t>
      </w:r>
      <w:r>
        <w:t xml:space="preserve">Calculate (CPI_t - CPI_{t-12}) / CPI_{t-12} * 100 for monthly data.</w:t>
      </w:r>
    </w:p>
    <w:p>
      <w:pPr>
        <w:pStyle w:val="ListParagraph"/>
        <w:numPr>
          <w:ilvl w:val="0"/>
          <w:numId w:val="2"/>
        </w:numPr>
        <w:spacing w:after="60" w:line="276"/>
      </w:pPr>
      <w:r>
        <w:rPr>
          <w:b/>
          <w:bCs/>
        </w:rPr>
        <w:t xml:space="preserve">Rolling averages: </w:t>
      </w:r>
      <w:r>
        <w:t xml:space="preserve">3-month, 6-month, and 12-month rolling means to smooth volatility.</w:t>
      </w:r>
    </w:p>
    <w:p>
      <w:pPr>
        <w:pStyle w:val="ListParagraph"/>
        <w:numPr>
          <w:ilvl w:val="0"/>
          <w:numId w:val="2"/>
        </w:numPr>
        <w:spacing w:after="60" w:line="276"/>
      </w:pPr>
      <w:r>
        <w:rPr>
          <w:b/>
          <w:bCs/>
        </w:rPr>
        <w:t xml:space="preserve">Category contributions: </w:t>
      </w:r>
      <w:r>
        <w:t xml:space="preserve">Weight * category inflation rate = contribution to overall CPI change.</w:t>
      </w:r>
    </w:p>
    <w:p>
      <w:pPr>
        <w:pStyle w:val="ListParagraph"/>
        <w:numPr>
          <w:ilvl w:val="0"/>
          <w:numId w:val="2"/>
        </w:numPr>
        <w:spacing w:after="60" w:line="276"/>
      </w:pPr>
      <w:r>
        <w:rPr>
          <w:b/>
          <w:bCs/>
        </w:rPr>
        <w:t xml:space="preserve">Real wage growth: </w:t>
      </w:r>
      <w:r>
        <w:t xml:space="preserve">Nominal wage growth minus CPI inflation, if using wage data.</w:t>
      </w:r>
    </w:p>
    <w:p>
      <w:pPr>
        <w:pStyle w:val="ListParagraph"/>
        <w:numPr>
          <w:ilvl w:val="0"/>
          <w:numId w:val="2"/>
        </w:numPr>
        <w:spacing w:after="60" w:line="276"/>
      </w:pPr>
      <w:r>
        <w:rPr>
          <w:b/>
          <w:bCs/>
        </w:rPr>
        <w:t xml:space="preserve">Regional deviation: </w:t>
      </w:r>
      <w:r>
        <w:t xml:space="preserve">Region inflation minus national average, to highlight regional disparities.</w:t>
      </w:r>
    </w:p>
    <w:p>
      <w:pPr>
        <w:pStyle w:val="Heading2"/>
      </w:pPr>
      <w:r>
        <w:t xml:space="preserve">Step 4: EDA Notebooks</w:t>
      </w:r>
    </w:p>
    <w:p>
      <w:pPr>
        <w:spacing w:after="120" w:line="276"/>
      </w:pPr>
      <w:r>
        <w:t xml:space="preserve">Create a dedicated EDA notebook (02_exploration.ipynb) with clearly labelled sections. Save all figures as high-resolution PNGs (300 dpi) for the report. Use a consistent colour palette throughout (e.g. seaborn’s colorblind-friendly palette).</w:t>
      </w:r>
    </w:p>
    <w:p>
      <w:pPr>
        <w:pStyle w:val="Heading2"/>
      </w:pPr>
      <w:r>
        <w:t xml:space="preserve">Step 5: Modelling Notebooks</w:t>
      </w:r>
    </w:p>
    <w:p>
      <w:pPr>
        <w:spacing w:after="120" w:line="276"/>
      </w:pPr>
      <w:r>
        <w:t xml:space="preserve">Create separate notebooks for each modelling approach:</w:t>
      </w:r>
    </w:p>
    <w:p>
      <w:pPr>
        <w:pStyle w:val="ListParagraph"/>
        <w:numPr>
          <w:ilvl w:val="0"/>
          <w:numId w:val="2"/>
        </w:numPr>
        <w:spacing w:after="60" w:line="276"/>
      </w:pPr>
      <w:r>
        <w:t xml:space="preserve">03_time_series.ipynb — Decomposition, stationarity tests, SARIMA, Prophet.</w:t>
      </w:r>
    </w:p>
    <w:p>
      <w:pPr>
        <w:pStyle w:val="ListParagraph"/>
        <w:numPr>
          <w:ilvl w:val="0"/>
          <w:numId w:val="2"/>
        </w:numPr>
        <w:spacing w:after="60" w:line="276"/>
      </w:pPr>
      <w:r>
        <w:t xml:space="preserve">04_regression.ipynb — Linear and random forest regression, feature importance.</w:t>
      </w:r>
    </w:p>
    <w:p>
      <w:pPr>
        <w:pStyle w:val="ListParagraph"/>
        <w:numPr>
          <w:ilvl w:val="0"/>
          <w:numId w:val="2"/>
        </w:numPr>
        <w:spacing w:after="60" w:line="276"/>
      </w:pPr>
      <w:r>
        <w:t xml:space="preserve">05_clustering.ipynb — K-means, Silhouette analysis, t-SNE, cluster characterisation.</w:t>
      </w:r>
    </w:p>
    <w:p>
      <w:pPr>
        <w:pStyle w:val="Heading2"/>
      </w:pPr>
      <w:r>
        <w:t xml:space="preserve">Step 6: Reproducibility</w:t>
      </w:r>
    </w:p>
    <w:p>
      <w:pPr>
        <w:spacing w:after="120" w:line="276"/>
      </w:pPr>
      <w:r>
        <w:t xml:space="preserve">Include a requirements.txt and a README.md in your code repository. Set random seeds for all stochastic methods (random forests, K-means, train-test splits). This is a hallmark of rigorous data science.</w:t>
      </w:r>
    </w:p>
    <w:p>
      <w:r>
        <w:br w:type="page"/>
      </w:r>
    </w:p>
    <w:p>
      <w:pPr>
        <w:pStyle w:val="Heading1"/>
      </w:pPr>
      <w:r>
        <w:t xml:space="preserve">6. Visualisation Strategy</w:t>
      </w:r>
    </w:p>
    <w:p>
      <w:pPr>
        <w:spacing w:after="120" w:line="276"/>
      </w:pPr>
      <w:r>
        <w:t xml:space="preserve">Visualisation is distributed across the 40% modelling criterion and the 15% presentation criterion. Here is a recommended portfolio of figures for your 10-page report. Aim for 8-12 figures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800"/>
        <w:gridCol w:w="2826"/>
      </w:tblGrid>
      <w:tr>
        <w:tc>
          <w:tcPr>
            <w:tcW w:type="dxa" w:w="600"/>
            <w:tcBorders>
              <w:top w:val="single" w:color="AAAAAA" w:sz="1"/>
              <w:left w:val="single" w:color="AAAAAA" w:sz="1"/>
              <w:bottom w:val="single" w:color="AAAAAA" w:sz="1"/>
              <w:right w:val="single" w:color="AAAAAA"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w:t>
            </w:r>
          </w:p>
        </w:tc>
        <w:tc>
          <w:tcPr>
            <w:tcW w:type="dxa" w:w="2800"/>
            <w:tcBorders>
              <w:top w:val="single" w:color="AAAAAA" w:sz="1"/>
              <w:left w:val="single" w:color="AAAAAA" w:sz="1"/>
              <w:bottom w:val="single" w:color="AAAAAA" w:sz="1"/>
              <w:right w:val="single" w:color="AAAAAA"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Figure</w:t>
            </w:r>
          </w:p>
        </w:tc>
        <w:tc>
          <w:tcPr>
            <w:tcW w:type="dxa" w:w="2800"/>
            <w:tcBorders>
              <w:top w:val="single" w:color="AAAAAA" w:sz="1"/>
              <w:left w:val="single" w:color="AAAAAA" w:sz="1"/>
              <w:bottom w:val="single" w:color="AAAAAA" w:sz="1"/>
              <w:right w:val="single" w:color="AAAAAA"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2826"/>
            <w:tcBorders>
              <w:top w:val="single" w:color="AAAAAA" w:sz="1"/>
              <w:left w:val="single" w:color="AAAAAA" w:sz="1"/>
              <w:bottom w:val="single" w:color="AAAAAA" w:sz="1"/>
              <w:right w:val="single" w:color="AAAAAA"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Section</w:t>
            </w:r>
          </w:p>
        </w:tc>
      </w:tr>
      <w:tr>
        <w:tc>
          <w:tcPr>
            <w:tcW w:type="dxa" w:w="6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1</w:t>
            </w:r>
          </w:p>
        </w:tc>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CPI trends by category over time</w:t>
            </w:r>
          </w:p>
        </w:tc>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Multi-line plot with event annotations</w:t>
            </w:r>
          </w:p>
        </w:tc>
        <w:tc>
          <w:tcPr>
            <w:tcW w:type="dxa" w:w="2826"/>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Exploration</w:t>
            </w:r>
          </w:p>
        </w:tc>
      </w:tr>
      <w:tr>
        <w:tc>
          <w:tcPr>
            <w:tcW w:type="dxa" w:w="6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2</w:t>
            </w:r>
          </w:p>
        </w:tc>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Boxplots of inflation rates by category</w:t>
            </w:r>
          </w:p>
        </w:tc>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Grouped boxplot</w:t>
            </w:r>
          </w:p>
        </w:tc>
        <w:tc>
          <w:tcPr>
            <w:tcW w:type="dxa" w:w="2826"/>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Exploration</w:t>
            </w:r>
          </w:p>
        </w:tc>
      </w:tr>
      <w:tr>
        <w:tc>
          <w:tcPr>
            <w:tcW w:type="dxa" w:w="6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3</w:t>
            </w:r>
          </w:p>
        </w:tc>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Correlation heatmap across categories</w:t>
            </w:r>
          </w:p>
        </w:tc>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Annotated heatmap</w:t>
            </w:r>
          </w:p>
        </w:tc>
        <w:tc>
          <w:tcPr>
            <w:tcW w:type="dxa" w:w="2826"/>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Exploration</w:t>
            </w:r>
          </w:p>
        </w:tc>
      </w:tr>
      <w:tr>
        <w:tc>
          <w:tcPr>
            <w:tcW w:type="dxa" w:w="6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4</w:t>
            </w:r>
          </w:p>
        </w:tc>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Choropleth map of regional inflation</w:t>
            </w:r>
          </w:p>
        </w:tc>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Geographic heatmap (geopandas)</w:t>
            </w:r>
          </w:p>
        </w:tc>
        <w:tc>
          <w:tcPr>
            <w:tcW w:type="dxa" w:w="2826"/>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Exploration</w:t>
            </w:r>
          </w:p>
        </w:tc>
      </w:tr>
      <w:tr>
        <w:tc>
          <w:tcPr>
            <w:tcW w:type="dxa" w:w="6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5</w:t>
            </w:r>
          </w:p>
        </w:tc>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Time-series decomposition</w:t>
            </w:r>
          </w:p>
        </w:tc>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4-panel (original, trend, seasonal, residual)</w:t>
            </w:r>
          </w:p>
        </w:tc>
        <w:tc>
          <w:tcPr>
            <w:tcW w:type="dxa" w:w="2826"/>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Modelling</w:t>
            </w:r>
          </w:p>
        </w:tc>
      </w:tr>
      <w:tr>
        <w:tc>
          <w:tcPr>
            <w:tcW w:type="dxa" w:w="6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6</w:t>
            </w:r>
          </w:p>
        </w:tc>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Forecast vs actual</w:t>
            </w:r>
          </w:p>
        </w:tc>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Line plot with confidence intervals</w:t>
            </w:r>
          </w:p>
        </w:tc>
        <w:tc>
          <w:tcPr>
            <w:tcW w:type="dxa" w:w="2826"/>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Modelling</w:t>
            </w:r>
          </w:p>
        </w:tc>
      </w:tr>
      <w:tr>
        <w:tc>
          <w:tcPr>
            <w:tcW w:type="dxa" w:w="6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7</w:t>
            </w:r>
          </w:p>
        </w:tc>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Feature importance (regression)</w:t>
            </w:r>
          </w:p>
        </w:tc>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Horizontal bar chart</w:t>
            </w:r>
          </w:p>
        </w:tc>
        <w:tc>
          <w:tcPr>
            <w:tcW w:type="dxa" w:w="2826"/>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Modelling</w:t>
            </w:r>
          </w:p>
        </w:tc>
      </w:tr>
      <w:tr>
        <w:tc>
          <w:tcPr>
            <w:tcW w:type="dxa" w:w="6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8</w:t>
            </w:r>
          </w:p>
        </w:tc>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Cluster visualisation (t-SNE)</w:t>
            </w:r>
          </w:p>
        </w:tc>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2D/3D scatter with cluster colours</w:t>
            </w:r>
          </w:p>
        </w:tc>
        <w:tc>
          <w:tcPr>
            <w:tcW w:type="dxa" w:w="2826"/>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Modelling</w:t>
            </w:r>
          </w:p>
        </w:tc>
      </w:tr>
      <w:tr>
        <w:tc>
          <w:tcPr>
            <w:tcW w:type="dxa" w:w="6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9</w:t>
            </w:r>
          </w:p>
        </w:tc>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Cluster characterisation</w:t>
            </w:r>
          </w:p>
        </w:tc>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Heatmap or grouped bar chart</w:t>
            </w:r>
          </w:p>
        </w:tc>
        <w:tc>
          <w:tcPr>
            <w:tcW w:type="dxa" w:w="2826"/>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Findings</w:t>
            </w:r>
          </w:p>
        </w:tc>
      </w:tr>
      <w:tr>
        <w:tc>
          <w:tcPr>
            <w:tcW w:type="dxa" w:w="6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10</w:t>
            </w:r>
          </w:p>
        </w:tc>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Inflation impact by income group</w:t>
            </w:r>
          </w:p>
        </w:tc>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Stacked bar or slope chart</w:t>
            </w:r>
          </w:p>
        </w:tc>
        <w:tc>
          <w:tcPr>
            <w:tcW w:type="dxa" w:w="2826"/>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Findings</w:t>
            </w:r>
          </w:p>
        </w:tc>
      </w:tr>
    </w:tbl>
    <w:p>
      <w:pPr>
        <w:spacing w:after="60"/>
      </w:pPr>
    </w:p>
    <w:p>
      <w:pPr>
        <w:pStyle w:val="Heading2"/>
      </w:pPr>
      <w:r>
        <w:t xml:space="preserve">Visualisation Quality Checklist</w:t>
      </w:r>
    </w:p>
    <w:p>
      <w:pPr>
        <w:pStyle w:val="ListParagraph"/>
        <w:numPr>
          <w:ilvl w:val="0"/>
          <w:numId w:val="2"/>
        </w:numPr>
        <w:spacing w:after="60" w:line="276"/>
      </w:pPr>
      <w:r>
        <w:t xml:space="preserve">Every axis has a label with units.</w:t>
      </w:r>
    </w:p>
    <w:p>
      <w:pPr>
        <w:pStyle w:val="ListParagraph"/>
        <w:numPr>
          <w:ilvl w:val="0"/>
          <w:numId w:val="2"/>
        </w:numPr>
        <w:spacing w:after="60" w:line="276"/>
      </w:pPr>
      <w:r>
        <w:t xml:space="preserve">Every figure has a numbered caption ("Fig. 1: ...") referenced in the text.</w:t>
      </w:r>
    </w:p>
    <w:p>
      <w:pPr>
        <w:pStyle w:val="ListParagraph"/>
        <w:numPr>
          <w:ilvl w:val="0"/>
          <w:numId w:val="2"/>
        </w:numPr>
        <w:spacing w:after="60" w:line="276"/>
      </w:pPr>
      <w:r>
        <w:t xml:space="preserve">Colour palette is consistent across all figures and colourblind-friendly.</w:t>
      </w:r>
    </w:p>
    <w:p>
      <w:pPr>
        <w:pStyle w:val="ListParagraph"/>
        <w:numPr>
          <w:ilvl w:val="0"/>
          <w:numId w:val="2"/>
        </w:numPr>
        <w:spacing w:after="60" w:line="276"/>
      </w:pPr>
      <w:r>
        <w:t xml:space="preserve">Font sizes are readable in the two-column format (minimum 8pt for axis labels).</w:t>
      </w:r>
    </w:p>
    <w:p>
      <w:pPr>
        <w:pStyle w:val="ListParagraph"/>
        <w:numPr>
          <w:ilvl w:val="0"/>
          <w:numId w:val="2"/>
        </w:numPr>
        <w:spacing w:after="60" w:line="276"/>
      </w:pPr>
      <w:r>
        <w:t xml:space="preserve">No chart junk: remove unnecessary gridlines, borders, and 3D effects.</w:t>
      </w:r>
    </w:p>
    <w:p>
      <w:pPr>
        <w:pStyle w:val="ListParagraph"/>
        <w:numPr>
          <w:ilvl w:val="0"/>
          <w:numId w:val="2"/>
        </w:numPr>
        <w:spacing w:after="60" w:line="276"/>
      </w:pPr>
      <w:r>
        <w:t xml:space="preserve">Use 300 dpi resolution for all exported figures.</w:t>
      </w:r>
    </w:p>
    <w:p>
      <w:pPr>
        <w:pStyle w:val="ListParagraph"/>
        <w:numPr>
          <w:ilvl w:val="0"/>
          <w:numId w:val="2"/>
        </w:numPr>
        <w:spacing w:after="60" w:line="276"/>
      </w:pPr>
      <w:r>
        <w:t xml:space="preserve">Heatmaps include numerical annotations (as in the Loneliness report’s Fig. 4).</w:t>
      </w:r>
    </w:p>
    <w:p>
      <w:r>
        <w:br w:type="page"/>
      </w:r>
    </w:p>
    <w:p>
      <w:pPr>
        <w:pStyle w:val="Heading1"/>
      </w:pPr>
      <w:r>
        <w:t xml:space="preserve">7. Statistical and ML Modelling Plan</w:t>
      </w:r>
    </w:p>
    <w:p>
      <w:pPr>
        <w:spacing w:after="120" w:line="276"/>
      </w:pPr>
      <w:r>
        <w:t xml:space="preserve">This section provides the specific technical details for each modelling approach.</w:t>
      </w:r>
    </w:p>
    <w:p>
      <w:pPr>
        <w:pStyle w:val="Heading2"/>
      </w:pPr>
      <w:r>
        <w:t xml:space="preserve">7.1  Time-Series Analysis</w:t>
      </w:r>
    </w:p>
    <w:p>
      <w:pPr>
        <w:spacing w:after="120" w:line="276"/>
      </w:pPr>
      <w:r>
        <w:rPr>
          <w:b/>
          <w:bCs/>
        </w:rPr>
        <w:t xml:space="preserve">Libraries: </w:t>
      </w:r>
      <w:r>
        <w:t xml:space="preserve">statsmodels, pmdarima (auto_arima), prophet</w:t>
      </w:r>
    </w:p>
    <w:p>
      <w:pPr>
        <w:spacing w:after="120" w:line="276"/>
      </w:pPr>
      <w:r>
        <w:rPr>
          <w:b/>
          <w:bCs/>
        </w:rPr>
        <w:t xml:space="preserve">Stationarity testing: </w:t>
      </w:r>
      <w:r>
        <w:t xml:space="preserve">Apply the Augmented Dickey-Fuller (ADF) test. If p &gt; 0.05, difference the series. Most CPI series will require first-order differencing (d=1). Report the ADF statistic and p-value in a table.</w:t>
      </w:r>
    </w:p>
    <w:p>
      <w:pPr>
        <w:spacing w:after="120" w:line="276"/>
      </w:pPr>
      <w:r>
        <w:rPr>
          <w:b/>
          <w:bCs/>
        </w:rPr>
        <w:t xml:space="preserve">SARIMA: </w:t>
      </w:r>
      <w:r>
        <w:t xml:space="preserve">Use pmdarima.auto_arima() with seasonal=True, m=12 (monthly seasonality). This automatically selects optimal (p,d,q)(P,D,Q) parameters using AIC. Report the selected parameters and the AIC/BIC values.</w:t>
      </w:r>
    </w:p>
    <w:p>
      <w:pPr>
        <w:spacing w:after="120" w:line="276"/>
      </w:pPr>
      <w:r>
        <w:rPr>
          <w:b/>
          <w:bCs/>
        </w:rPr>
        <w:t xml:space="preserve">Prophet: </w:t>
      </w:r>
      <w:r>
        <w:t xml:space="preserve">Fit prophet.Prophet() with yearly_seasonality=True. Add custom regressors if you have external variables (e.g. oil prices). Prophet handles missing data and outliers gracefully, making it a good complement to SARIMA.</w:t>
      </w:r>
    </w:p>
    <w:p>
      <w:pPr>
        <w:spacing w:after="120" w:line="276"/>
      </w:pPr>
      <w:r>
        <w:rPr>
          <w:b/>
          <w:bCs/>
        </w:rPr>
        <w:t xml:space="preserve">Evaluation: </w:t>
      </w:r>
      <w:r>
        <w:t xml:space="preserve">Use walk-forward validation (expanding window) rather than a single train-test split for time-series. Report RMSE, MAE, and MAPE. Compare against a naïve baseline (last-value persistence).</w:t>
      </w:r>
    </w:p>
    <w:p>
      <w:pPr>
        <w:pStyle w:val="Heading2"/>
      </w:pPr>
      <w:r>
        <w:t xml:space="preserve">7.2  Regression for Factor Analysis</w:t>
      </w:r>
    </w:p>
    <w:p>
      <w:pPr>
        <w:spacing w:after="120" w:line="276"/>
      </w:pPr>
      <w:r>
        <w:rPr>
          <w:b/>
          <w:bCs/>
        </w:rPr>
        <w:t xml:space="preserve">Libraries: </w:t>
      </w:r>
      <w:r>
        <w:t xml:space="preserve">scikit-learn, statsmodels</w:t>
      </w:r>
    </w:p>
    <w:p>
      <w:pPr>
        <w:spacing w:after="120" w:line="276"/>
      </w:pPr>
      <w:r>
        <w:rPr>
          <w:b/>
          <w:bCs/>
        </w:rPr>
        <w:t xml:space="preserve">Target variable: </w:t>
      </w:r>
      <w:r>
        <w:t xml:space="preserve">Monthly CPI change (or year-on-year inflation rate).</w:t>
      </w:r>
    </w:p>
    <w:p>
      <w:pPr>
        <w:spacing w:after="120" w:line="276"/>
      </w:pPr>
      <w:r>
        <w:rPr>
          <w:b/>
          <w:bCs/>
        </w:rPr>
        <w:t xml:space="preserve">Predictors: </w:t>
      </w:r>
      <w:r>
        <w:t xml:space="preserve">Category-level inflation rates (to decompose overall CPI), or external factors (energy prices, commodity indices, wages) to identify macro drivers.</w:t>
      </w:r>
    </w:p>
    <w:p>
      <w:pPr>
        <w:spacing w:after="120" w:line="276"/>
      </w:pPr>
      <w:r>
        <w:rPr>
          <w:b/>
          <w:bCs/>
        </w:rPr>
        <w:t xml:space="preserve">Models to compare: </w:t>
      </w:r>
      <w:r>
        <w:t xml:space="preserve">(a) OLS linear regression with statsmodels (gives p-values for coefficients), (b) Ridge/Lasso regression for regularised estimates, (c) Random Forest regressor for non-linear relationships.</w:t>
      </w:r>
    </w:p>
    <w:p>
      <w:pPr>
        <w:spacing w:after="120" w:line="276"/>
      </w:pPr>
      <w:r>
        <w:rPr>
          <w:b/>
          <w:bCs/>
        </w:rPr>
        <w:t xml:space="preserve">Feature importance: </w:t>
      </w:r>
      <w:r>
        <w:t xml:space="preserve">For Random Forest, use both Gini importance and permutation importance. The Loneliness report correctly noted that Gini importance was preferred over permutation importance for computational reasons—cite Nembrini et al. (2018). However, also note that Gini importance can be biased toward high-cardinality features.</w:t>
      </w:r>
    </w:p>
    <w:p>
      <w:pPr>
        <w:spacing w:after="120" w:line="276"/>
      </w:pPr>
      <w:r>
        <w:rPr>
          <w:b/>
          <w:bCs/>
        </w:rPr>
        <w:t xml:space="preserve">Cross-validation: </w:t>
      </w:r>
      <w:r>
        <w:t xml:space="preserve">Use TimeSeriesSplit (not random K-fold) since your data is temporal. Report mean and standard deviation of CV scores.</w:t>
      </w:r>
    </w:p>
    <w:p>
      <w:pPr>
        <w:pStyle w:val="Heading2"/>
      </w:pPr>
      <w:r>
        <w:t xml:space="preserve">7.3  Clustering for Regional Profiling</w:t>
      </w:r>
    </w:p>
    <w:p>
      <w:pPr>
        <w:spacing w:after="120" w:line="276"/>
      </w:pPr>
      <w:r>
        <w:rPr>
          <w:b/>
          <w:bCs/>
        </w:rPr>
        <w:t xml:space="preserve">Libraries: </w:t>
      </w:r>
      <w:r>
        <w:t xml:space="preserve">scikit-learn, umap-learn or sklearn.manifold (t-SNE)</w:t>
      </w:r>
    </w:p>
    <w:p>
      <w:pPr>
        <w:spacing w:after="120" w:line="276"/>
      </w:pPr>
      <w:r>
        <w:rPr>
          <w:b/>
          <w:bCs/>
        </w:rPr>
        <w:t xml:space="preserve">Preprocessing: </w:t>
      </w:r>
      <w:r>
        <w:t xml:space="preserve">Standardise features with StandardScaler. Remove outliers using IQR method before clustering (as the Loneliness report recommended, since K-means is sensitive to outliers).</w:t>
      </w:r>
    </w:p>
    <w:p>
      <w:pPr>
        <w:spacing w:after="120" w:line="276"/>
      </w:pPr>
      <w:r>
        <w:rPr>
          <w:b/>
          <w:bCs/>
        </w:rPr>
        <w:t xml:space="preserve">Optimal K: </w:t>
      </w:r>
      <w:r>
        <w:t xml:space="preserve">Plot both the Elbow curve (inertia vs K) and Silhouette scores for K=2 to 10. The Loneliness report found K=4 optimal with a Silhouette score of 0.31—report your equivalent.</w:t>
      </w:r>
    </w:p>
    <w:p>
      <w:pPr>
        <w:spacing w:after="120" w:line="276"/>
      </w:pPr>
      <w:r>
        <w:rPr>
          <w:b/>
          <w:bCs/>
        </w:rPr>
        <w:t xml:space="preserve">Dimensionality reduction: </w:t>
      </w:r>
      <w:r>
        <w:t xml:space="preserve">Apply t-SNE (perplexity 5-50, test multiple values, report KL divergence as the Loneliness report did) or UMAP for visualisation. Reduce to 2 or 3 dimensions.</w:t>
      </w:r>
    </w:p>
    <w:p>
      <w:pPr>
        <w:spacing w:after="120" w:line="276"/>
      </w:pPr>
      <w:r>
        <w:rPr>
          <w:b/>
          <w:bCs/>
        </w:rPr>
        <w:t xml:space="preserve">Cluster characterisation: </w:t>
      </w:r>
      <w:r>
        <w:t xml:space="preserve">For each cluster, compute mean values of each feature. Present as a table or heatmap. Give each cluster a descriptive name based on its characteristics (as the Loneliness report named them by colour: Blue, Mint Green, Pink, Orange).</w:t>
      </w:r>
    </w:p>
    <w:p>
      <w:pPr>
        <w:pStyle w:val="Heading2"/>
      </w:pPr>
      <w:r>
        <w:t xml:space="preserve">7.4  Results Summary Table</w:t>
      </w:r>
    </w:p>
    <w:p>
      <w:pPr>
        <w:spacing w:after="120" w:line="276"/>
      </w:pPr>
      <w:r>
        <w:t xml:space="preserve">Consolidate all model results into a single comparison table. This is one of the most important elements of your report. Follow the format used in both example reports: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1600"/>
        <w:gridCol w:w="1500"/>
        <w:gridCol w:w="1526"/>
      </w:tblGrid>
      <w:tr>
        <w:tc>
          <w:tcPr>
            <w:tcW w:type="dxa" w:w="2200"/>
            <w:tcBorders>
              <w:top w:val="single" w:color="AAAAAA" w:sz="1"/>
              <w:left w:val="single" w:color="AAAAAA" w:sz="1"/>
              <w:bottom w:val="single" w:color="AAAAAA" w:sz="1"/>
              <w:right w:val="single" w:color="AAAAAA"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Model</w:t>
            </w:r>
          </w:p>
        </w:tc>
        <w:tc>
          <w:tcPr>
            <w:tcW w:type="dxa" w:w="2200"/>
            <w:tcBorders>
              <w:top w:val="single" w:color="AAAAAA" w:sz="1"/>
              <w:left w:val="single" w:color="AAAAAA" w:sz="1"/>
              <w:bottom w:val="single" w:color="AAAAAA" w:sz="1"/>
              <w:right w:val="single" w:color="AAAAAA"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Configuration</w:t>
            </w:r>
          </w:p>
        </w:tc>
        <w:tc>
          <w:tcPr>
            <w:tcW w:type="dxa" w:w="1600"/>
            <w:tcBorders>
              <w:top w:val="single" w:color="AAAAAA" w:sz="1"/>
              <w:left w:val="single" w:color="AAAAAA" w:sz="1"/>
              <w:bottom w:val="single" w:color="AAAAAA" w:sz="1"/>
              <w:right w:val="single" w:color="AAAAAA"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RMSE</w:t>
            </w:r>
          </w:p>
        </w:tc>
        <w:tc>
          <w:tcPr>
            <w:tcW w:type="dxa" w:w="1500"/>
            <w:tcBorders>
              <w:top w:val="single" w:color="AAAAAA" w:sz="1"/>
              <w:left w:val="single" w:color="AAAAAA" w:sz="1"/>
              <w:bottom w:val="single" w:color="AAAAAA" w:sz="1"/>
              <w:right w:val="single" w:color="AAAAAA"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MAE</w:t>
            </w:r>
          </w:p>
        </w:tc>
        <w:tc>
          <w:tcPr>
            <w:tcW w:type="dxa" w:w="1526"/>
            <w:tcBorders>
              <w:top w:val="single" w:color="AAAAAA" w:sz="1"/>
              <w:left w:val="single" w:color="AAAAAA" w:sz="1"/>
              <w:bottom w:val="single" w:color="AAAAAA" w:sz="1"/>
              <w:right w:val="single" w:color="AAAAAA"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MAPE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Naïve Baseline</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Persistence</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[value]</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[value]</w:t>
            </w:r>
          </w:p>
        </w:tc>
        <w:tc>
          <w:tcPr>
            <w:tcW w:type="dxa" w:w="1526"/>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[value]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SARIMA</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(p,d,q)(P,D,Q,12)</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[value]</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[value]</w:t>
            </w:r>
          </w:p>
        </w:tc>
        <w:tc>
          <w:tcPr>
            <w:tcW w:type="dxa" w:w="1526"/>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[value]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Prophet</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Default + regressors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[value]</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[value]</w:t>
            </w:r>
          </w:p>
        </w:tc>
        <w:tc>
          <w:tcPr>
            <w:tcW w:type="dxa" w:w="1526"/>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[value]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Linear Regression</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OLS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[value]</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[value]</w:t>
            </w:r>
          </w:p>
        </w:tc>
        <w:tc>
          <w:tcPr>
            <w:tcW w:type="dxa" w:w="1526"/>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[value]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Random Forest</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Optimised</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[value]</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[value]</w:t>
            </w:r>
          </w:p>
        </w:tc>
        <w:tc>
          <w:tcPr>
            <w:tcW w:type="dxa" w:w="1526"/>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[value]</w:t>
            </w:r>
          </w:p>
        </w:tc>
      </w:tr>
    </w:tbl>
    <w:p>
      <w:r>
        <w:br w:type="page"/>
      </w:r>
    </w:p>
    <w:p>
      <w:pPr>
        <w:pStyle w:val="Heading1"/>
      </w:pPr>
      <w:r>
        <w:t xml:space="preserve">8. Writing and Presentation Tips</w:t>
      </w:r>
    </w:p>
    <w:p>
      <w:pPr>
        <w:spacing w:after="120" w:line="276"/>
      </w:pPr>
      <w:r>
        <w:t xml:space="preserve">The final 15% of marks is purely about presentation quality. Here is how to maximise it.</w:t>
      </w:r>
    </w:p>
    <w:p>
      <w:pPr>
        <w:pStyle w:val="Heading2"/>
      </w:pPr>
      <w:r>
        <w:t xml:space="preserve">Report Format</w:t>
      </w:r>
    </w:p>
    <w:p>
      <w:pPr>
        <w:pStyle w:val="ListParagraph"/>
        <w:numPr>
          <w:ilvl w:val="0"/>
          <w:numId w:val="2"/>
        </w:numPr>
        <w:spacing w:after="60" w:line="276"/>
      </w:pPr>
      <w:r>
        <w:rPr>
          <w:b/>
          <w:bCs/>
        </w:rPr>
        <w:t xml:space="preserve">Two-column IEEE format: </w:t>
      </w:r>
      <w:r>
        <w:t xml:space="preserve">Both example reports use this. Use the IEEE conference template in LaTeX (ieeeconf or IEEEtran class) or a Word equivalent. This gives a professional, published-paper appearance.</w:t>
      </w:r>
    </w:p>
    <w:p>
      <w:pPr>
        <w:pStyle w:val="ListParagraph"/>
        <w:numPr>
          <w:ilvl w:val="0"/>
          <w:numId w:val="2"/>
        </w:numPr>
        <w:spacing w:after="60" w:line="276"/>
      </w:pPr>
      <w:r>
        <w:rPr>
          <w:b/>
          <w:bCs/>
        </w:rPr>
        <w:t xml:space="preserve">10 pages maximum: </w:t>
      </w:r>
      <w:r>
        <w:t xml:space="preserve">This is tight. Be concise. Every sentence should earn its place. Cut any repetition ruthlessly.</w:t>
      </w:r>
    </w:p>
    <w:p>
      <w:pPr>
        <w:pStyle w:val="ListParagraph"/>
        <w:numPr>
          <w:ilvl w:val="0"/>
          <w:numId w:val="2"/>
        </w:numPr>
        <w:spacing w:after="60" w:line="276"/>
      </w:pPr>
      <w:r>
        <w:rPr>
          <w:b/>
          <w:bCs/>
        </w:rPr>
        <w:t xml:space="preserve">Font: </w:t>
      </w:r>
      <w:r>
        <w:t xml:space="preserve">10pt Times New Roman for body text (standard IEEE). Headings in bold, appropriately sized.</w:t>
      </w:r>
    </w:p>
    <w:p>
      <w:pPr>
        <w:pStyle w:val="ListParagraph"/>
        <w:numPr>
          <w:ilvl w:val="0"/>
          <w:numId w:val="2"/>
        </w:numPr>
        <w:spacing w:after="60" w:line="276"/>
      </w:pPr>
      <w:r>
        <w:rPr>
          <w:b/>
          <w:bCs/>
        </w:rPr>
        <w:t xml:space="preserve">Figures: </w:t>
      </w:r>
      <w:r>
        <w:t xml:space="preserve">Each figure spans one column where possible, with large figures spanning both columns when needed. Always use "Fig. X:" captions below figures.</w:t>
      </w:r>
    </w:p>
    <w:p>
      <w:pPr>
        <w:pStyle w:val="Heading2"/>
      </w:pPr>
      <w:r>
        <w:t xml:space="preserve">Writing Style</w:t>
      </w:r>
    </w:p>
    <w:p>
      <w:pPr>
        <w:pStyle w:val="ListParagraph"/>
        <w:numPr>
          <w:ilvl w:val="0"/>
          <w:numId w:val="2"/>
        </w:numPr>
        <w:spacing w:after="60" w:line="276"/>
      </w:pPr>
      <w:r>
        <w:rPr>
          <w:b/>
          <w:bCs/>
        </w:rPr>
        <w:t xml:space="preserve">Academic but accessible: </w:t>
      </w:r>
      <w:r>
        <w:t xml:space="preserve">Write in third person ("we investigated" not "I looked at"). Avoid colloquialisms. But keep sentences clear and not overly complex.</w:t>
      </w:r>
    </w:p>
    <w:p>
      <w:pPr>
        <w:pStyle w:val="ListParagraph"/>
        <w:numPr>
          <w:ilvl w:val="0"/>
          <w:numId w:val="2"/>
        </w:numPr>
        <w:spacing w:after="60" w:line="276"/>
      </w:pPr>
      <w:r>
        <w:rPr>
          <w:b/>
          <w:bCs/>
        </w:rPr>
        <w:t xml:space="preserve">Active voice where possible: </w:t>
      </w:r>
      <w:r>
        <w:t xml:space="preserve">"We applied K-means clustering" is better than "K-means clustering was applied."</w:t>
      </w:r>
    </w:p>
    <w:p>
      <w:pPr>
        <w:pStyle w:val="ListParagraph"/>
        <w:numPr>
          <w:ilvl w:val="0"/>
          <w:numId w:val="2"/>
        </w:numPr>
        <w:spacing w:after="60" w:line="276"/>
      </w:pPr>
      <w:r>
        <w:rPr>
          <w:b/>
          <w:bCs/>
        </w:rPr>
        <w:t xml:space="preserve">Every claim needs evidence: </w:t>
      </w:r>
      <w:r>
        <w:t xml:space="preserve">If you say "energy prices were the main driver," immediately follow with the data or figure that proves it.</w:t>
      </w:r>
    </w:p>
    <w:p>
      <w:pPr>
        <w:pStyle w:val="ListParagraph"/>
        <w:numPr>
          <w:ilvl w:val="0"/>
          <w:numId w:val="2"/>
        </w:numPr>
        <w:spacing w:after="60" w:line="276"/>
      </w:pPr>
      <w:r>
        <w:rPr>
          <w:b/>
          <w:bCs/>
        </w:rPr>
        <w:t xml:space="preserve">Transition sentences: </w:t>
      </w:r>
      <w:r>
        <w:t xml:space="preserve">Each section and subsection should logically flow into the next. Use bridging sentences: "Having established that regional disparities exist, we now investigate their underlying causes."</w:t>
      </w:r>
    </w:p>
    <w:p>
      <w:pPr>
        <w:pStyle w:val="Heading2"/>
      </w:pPr>
      <w:r>
        <w:t xml:space="preserve">References</w:t>
      </w:r>
    </w:p>
    <w:p>
      <w:pPr>
        <w:spacing w:after="120" w:line="276"/>
      </w:pPr>
      <w:r>
        <w:t xml:space="preserve">Aim for 12-20 references. Include:</w:t>
      </w:r>
    </w:p>
    <w:p>
      <w:pPr>
        <w:pStyle w:val="ListParagraph"/>
        <w:numPr>
          <w:ilvl w:val="0"/>
          <w:numId w:val="2"/>
        </w:numPr>
        <w:spacing w:after="60" w:line="276"/>
      </w:pPr>
      <w:r>
        <w:t xml:space="preserve">ONS publications and methodology papers (for data sources and CPI methodology).</w:t>
      </w:r>
    </w:p>
    <w:p>
      <w:pPr>
        <w:pStyle w:val="ListParagraph"/>
        <w:numPr>
          <w:ilvl w:val="0"/>
          <w:numId w:val="2"/>
        </w:numPr>
        <w:spacing w:after="60" w:line="276"/>
      </w:pPr>
      <w:r>
        <w:t xml:space="preserve">Foundational statistical references (Box &amp; Jenkins for ARIMA, Breiman for random forests).</w:t>
      </w:r>
    </w:p>
    <w:p>
      <w:pPr>
        <w:pStyle w:val="ListParagraph"/>
        <w:numPr>
          <w:ilvl w:val="0"/>
          <w:numId w:val="2"/>
        </w:numPr>
        <w:spacing w:after="60" w:line="276"/>
      </w:pPr>
      <w:r>
        <w:t xml:space="preserve">Related academic work on UK inflation, cost of living, or similar analyses.</w:t>
      </w:r>
    </w:p>
    <w:p>
      <w:pPr>
        <w:pStyle w:val="ListParagraph"/>
        <w:numPr>
          <w:ilvl w:val="0"/>
          <w:numId w:val="2"/>
        </w:numPr>
        <w:spacing w:after="60" w:line="276"/>
      </w:pPr>
      <w:r>
        <w:t xml:space="preserve">Tool documentation where appropriate (scikit-learn, statsmodels).</w:t>
      </w:r>
    </w:p>
    <w:p>
      <w:pPr>
        <w:spacing w:after="120" w:line="276"/>
      </w:pPr>
      <w:r>
        <w:t xml:space="preserve">Use numbered IEEE-style references [1], [2], etc.</w:t>
      </w:r>
    </w:p>
    <w:p>
      <w:pPr>
        <w:pStyle w:val="Heading2"/>
      </w:pPr>
      <w:r>
        <w:t xml:space="preserve">Abstract Checklist</w:t>
      </w:r>
    </w:p>
    <w:p>
      <w:pPr>
        <w:pStyle w:val="ListParagraph"/>
        <w:numPr>
          <w:ilvl w:val="0"/>
          <w:numId w:val="2"/>
        </w:numPr>
        <w:spacing w:after="60" w:line="276"/>
      </w:pPr>
      <w:r>
        <w:t xml:space="preserve">Does it state the problem in one sentence?</w:t>
      </w:r>
    </w:p>
    <w:p>
      <w:pPr>
        <w:pStyle w:val="ListParagraph"/>
        <w:numPr>
          <w:ilvl w:val="0"/>
          <w:numId w:val="2"/>
        </w:numPr>
        <w:spacing w:after="60" w:line="276"/>
      </w:pPr>
      <w:r>
        <w:t xml:space="preserve">Does it mention the data sources?</w:t>
      </w:r>
    </w:p>
    <w:p>
      <w:pPr>
        <w:pStyle w:val="ListParagraph"/>
        <w:numPr>
          <w:ilvl w:val="0"/>
          <w:numId w:val="2"/>
        </w:numPr>
        <w:spacing w:after="60" w:line="276"/>
      </w:pPr>
      <w:r>
        <w:t xml:space="preserve">Does it name the methods used?</w:t>
      </w:r>
    </w:p>
    <w:p>
      <w:pPr>
        <w:pStyle w:val="ListParagraph"/>
        <w:numPr>
          <w:ilvl w:val="0"/>
          <w:numId w:val="2"/>
        </w:numPr>
        <w:spacing w:after="60" w:line="276"/>
      </w:pPr>
      <w:r>
        <w:t xml:space="preserve">Does it include at least one quantitative result?</w:t>
      </w:r>
    </w:p>
    <w:p>
      <w:pPr>
        <w:pStyle w:val="ListParagraph"/>
        <w:numPr>
          <w:ilvl w:val="0"/>
          <w:numId w:val="2"/>
        </w:numPr>
        <w:spacing w:after="60" w:line="276"/>
      </w:pPr>
      <w:r>
        <w:t xml:space="preserve">Does it state the main conclusion?</w:t>
      </w:r>
    </w:p>
    <w:p>
      <w:pPr>
        <w:pStyle w:val="ListParagraph"/>
        <w:numPr>
          <w:ilvl w:val="0"/>
          <w:numId w:val="2"/>
        </w:numPr>
        <w:spacing w:after="60" w:line="276"/>
      </w:pPr>
      <w:r>
        <w:t xml:space="preserve">Is it under 200 words?</w:t>
      </w:r>
    </w:p>
    <w:p>
      <w:r>
        <w:br w:type="page"/>
      </w:r>
    </w:p>
    <w:p>
      <w:pPr>
        <w:pStyle w:val="Heading1"/>
      </w:pPr>
      <w:r>
        <w:t xml:space="preserve">9. Common Pitfalls to Avoid</w:t>
      </w:r>
    </w:p>
    <w:p>
      <w:pPr>
        <w:spacing w:after="120" w:line="276"/>
      </w:pPr>
      <w:r>
        <w:t xml:space="preserve">Based on what distinguishes excellent reports from merely good ones, avoid these traps: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c>
          <w:tcPr>
            <w:tcW w:type="dxa" w:w="4000"/>
            <w:tcBorders>
              <w:top w:val="single" w:color="AAAAAA" w:sz="1"/>
              <w:left w:val="single" w:color="AAAAAA" w:sz="1"/>
              <w:bottom w:val="single" w:color="AAAAAA" w:sz="1"/>
              <w:right w:val="single" w:color="AAAAAA"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Pitfall</w:t>
            </w:r>
          </w:p>
        </w:tc>
        <w:tc>
          <w:tcPr>
            <w:tcW w:type="dxa" w:w="5026"/>
            <w:tcBorders>
              <w:top w:val="single" w:color="AAAAAA" w:sz="1"/>
              <w:left w:val="single" w:color="AAAAAA" w:sz="1"/>
              <w:bottom w:val="single" w:color="AAAAAA" w:sz="1"/>
              <w:right w:val="single" w:color="AAAAAA"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How to Avoid It</w:t>
            </w:r>
          </w:p>
        </w:tc>
      </w:tr>
      <w:tr>
        <w:tc>
          <w:tcPr>
            <w:tcW w:type="dxa" w:w="4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Only using one modelling method</w:t>
            </w:r>
          </w:p>
        </w:tc>
        <w:tc>
          <w:tcPr>
            <w:tcW w:type="dxa" w:w="5026"/>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Use at least 3 complementary approaches (time-series, regression, clustering). This demonstrates breadth.</w:t>
            </w:r>
          </w:p>
        </w:tc>
      </w:tr>
      <w:tr>
        <w:tc>
          <w:tcPr>
            <w:tcW w:type="dxa" w:w="4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Figures without captions or discussion</w:t>
            </w:r>
          </w:p>
        </w:tc>
        <w:tc>
          <w:tcPr>
            <w:tcW w:type="dxa" w:w="5026"/>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Every figure must be numbered, captioned, and referenced in the text with a discussion of what it shows.</w:t>
            </w:r>
          </w:p>
        </w:tc>
      </w:tr>
      <w:tr>
        <w:tc>
          <w:tcPr>
            <w:tcW w:type="dxa" w:w="4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No baseline comparison</w:t>
            </w:r>
          </w:p>
        </w:tc>
        <w:tc>
          <w:tcPr>
            <w:tcW w:type="dxa" w:w="5026"/>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Always compare your model against a simple baseline. Without this, your results have no context.</w:t>
            </w:r>
          </w:p>
        </w:tc>
      </w:tr>
      <w:tr>
        <w:tc>
          <w:tcPr>
            <w:tcW w:type="dxa" w:w="4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Describing what you did without explaining why</w:t>
            </w:r>
          </w:p>
        </w:tc>
        <w:tc>
          <w:tcPr>
            <w:tcW w:type="dxa" w:w="5026"/>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Every methodological choice needs justification. "We used Random Forest because it can capture non-linear relationships and provides feature importances."</w:t>
            </w:r>
          </w:p>
        </w:tc>
      </w:tr>
      <w:tr>
        <w:tc>
          <w:tcPr>
            <w:tcW w:type="dxa" w:w="4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Ignoring limitations</w:t>
            </w:r>
          </w:p>
        </w:tc>
        <w:tc>
          <w:tcPr>
            <w:tcW w:type="dxa" w:w="5026"/>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A strong Discussion section that acknowledges limitations is a sign of intellectual maturity. Both example reports do this extensively.</w:t>
            </w:r>
          </w:p>
        </w:tc>
      </w:tr>
      <w:tr>
        <w:tc>
          <w:tcPr>
            <w:tcW w:type="dxa" w:w="4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Using only the primary dataset</w:t>
            </w:r>
          </w:p>
        </w:tc>
        <w:tc>
          <w:tcPr>
            <w:tcW w:type="dxa" w:w="5026"/>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Enrich your analysis with at least one supplementary dataset. This demonstrates initiative and creates a richer analysis.</w:t>
            </w:r>
          </w:p>
        </w:tc>
      </w:tr>
      <w:tr>
        <w:tc>
          <w:tcPr>
            <w:tcW w:type="dxa" w:w="4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No references to scientific literature</w:t>
            </w:r>
          </w:p>
        </w:tc>
        <w:tc>
          <w:tcPr>
            <w:tcW w:type="dxa" w:w="5026"/>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Cite 12-20 sources. Reference the methods you use, the data sources, and related work on UK inflation.</w:t>
            </w:r>
          </w:p>
        </w:tc>
      </w:tr>
      <w:tr>
        <w:tc>
          <w:tcPr>
            <w:tcW w:type="dxa" w:w="4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Poor colour choices in visualisations</w:t>
            </w:r>
          </w:p>
        </w:tc>
        <w:tc>
          <w:tcPr>
            <w:tcW w:type="dxa" w:w="5026"/>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Use a consistent, colourblind-friendly palette. Avoid default matplotlib colours. Use seaborn or a custom palette.</w:t>
            </w:r>
          </w:p>
        </w:tc>
      </w:tr>
      <w:tr>
        <w:tc>
          <w:tcPr>
            <w:tcW w:type="dxa" w:w="4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Exceeding the page limit</w:t>
            </w:r>
          </w:p>
        </w:tc>
        <w:tc>
          <w:tcPr>
            <w:tcW w:type="dxa" w:w="5026"/>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Be ruthlessly concise. Trim verbose explanations. Put supplementary material in an appendix or GitHub repo.</w:t>
            </w:r>
          </w:p>
        </w:tc>
      </w:tr>
      <w:tr>
        <w:tc>
          <w:tcPr>
            <w:tcW w:type="dxa" w:w="4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Not connecting findings to end users</w:t>
            </w:r>
          </w:p>
        </w:tc>
        <w:tc>
          <w:tcPr>
            <w:tcW w:type="dxa" w:w="5026"/>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Explicitly state who benefits from your analysis and how. This is what the Discussion criterion rewards.</w:t>
            </w:r>
          </w:p>
        </w:tc>
      </w:tr>
    </w:tbl>
    <w:p>
      <w:r>
        <w:br w:type="page"/>
      </w:r>
    </w:p>
    <w:p>
      <w:pPr>
        <w:pStyle w:val="Heading1"/>
      </w:pPr>
      <w:r>
        <w:t xml:space="preserve">10. Recommended Timeline</w:t>
      </w:r>
    </w:p>
    <w:p>
      <w:pPr>
        <w:spacing w:after="120" w:line="276"/>
      </w:pPr>
      <w:r>
        <w:t xml:space="preserve">Assuming approximately 4 weeks of work, here is a suggested allocation: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600"/>
        <w:gridCol w:w="2400"/>
        <w:gridCol w:w="2626"/>
      </w:tblGrid>
      <w:tr>
        <w:tc>
          <w:tcPr>
            <w:tcW w:type="dxa" w:w="1400"/>
            <w:tcBorders>
              <w:top w:val="single" w:color="AAAAAA" w:sz="1"/>
              <w:left w:val="single" w:color="AAAAAA" w:sz="1"/>
              <w:bottom w:val="single" w:color="AAAAAA" w:sz="1"/>
              <w:right w:val="single" w:color="AAAAAA"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Period</w:t>
            </w:r>
          </w:p>
        </w:tc>
        <w:tc>
          <w:tcPr>
            <w:tcW w:type="dxa" w:w="2600"/>
            <w:tcBorders>
              <w:top w:val="single" w:color="AAAAAA" w:sz="1"/>
              <w:left w:val="single" w:color="AAAAAA" w:sz="1"/>
              <w:bottom w:val="single" w:color="AAAAAA" w:sz="1"/>
              <w:right w:val="single" w:color="AAAAAA"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Tasks</w:t>
            </w:r>
          </w:p>
        </w:tc>
        <w:tc>
          <w:tcPr>
            <w:tcW w:type="dxa" w:w="2400"/>
            <w:tcBorders>
              <w:top w:val="single" w:color="AAAAAA" w:sz="1"/>
              <w:left w:val="single" w:color="AAAAAA" w:sz="1"/>
              <w:bottom w:val="single" w:color="AAAAAA" w:sz="1"/>
              <w:right w:val="single" w:color="AAAAAA"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Deliverables</w:t>
            </w:r>
          </w:p>
        </w:tc>
        <w:tc>
          <w:tcPr>
            <w:tcW w:type="dxa" w:w="2626"/>
            <w:tcBorders>
              <w:top w:val="single" w:color="AAAAAA" w:sz="1"/>
              <w:left w:val="single" w:color="AAAAAA" w:sz="1"/>
              <w:bottom w:val="single" w:color="AAAAAA" w:sz="1"/>
              <w:right w:val="single" w:color="AAAAAA"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Report Sections</w:t>
            </w:r>
          </w:p>
        </w:tc>
      </w:tr>
      <w:tr>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Week 1</w:t>
            </w:r>
          </w:p>
        </w:tc>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Data acquisition, cleaning, EDA</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Clean datasets, EDA notebook, 4-5 figures</w:t>
            </w:r>
          </w:p>
        </w:tc>
        <w:tc>
          <w:tcPr>
            <w:tcW w:type="dxa" w:w="2626"/>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Data Preparation, Data Exploration drafts</w:t>
            </w:r>
          </w:p>
        </w:tc>
      </w:tr>
      <w:tr>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Week 2</w:t>
            </w:r>
          </w:p>
        </w:tc>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Time-series modelling, regression</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Modelling notebooks, results tables</w:t>
            </w:r>
          </w:p>
        </w:tc>
        <w:tc>
          <w:tcPr>
            <w:tcW w:type="dxa" w:w="2626"/>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Modelling section (Methods 1 &amp; 2)</w:t>
            </w:r>
          </w:p>
        </w:tc>
      </w:tr>
      <w:tr>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Week 3</w:t>
            </w:r>
          </w:p>
        </w:tc>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Clustering, advanced analysis, all figures finalised</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Complete analysis, all figures at 300 dpi</w:t>
            </w:r>
          </w:p>
        </w:tc>
        <w:tc>
          <w:tcPr>
            <w:tcW w:type="dxa" w:w="2626"/>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Modelling (Method 3), Findings</w:t>
            </w:r>
          </w:p>
        </w:tc>
      </w:tr>
      <w:tr>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Week 4</w:t>
            </w:r>
          </w:p>
        </w:tc>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Report writing, polishing, peer review</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Complete 10-page report, code repo</w:t>
            </w:r>
          </w:p>
        </w:tc>
        <w:tc>
          <w:tcPr>
            <w:tcW w:type="dxa" w:w="2626"/>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0"/>
            </w:pPr>
            <w:r>
              <w:rPr>
                <w:rFonts w:ascii="Arial" w:cs="Arial" w:eastAsia="Arial" w:hAnsi="Arial"/>
                <w:sz w:val="20"/>
                <w:szCs w:val="20"/>
              </w:rPr>
              <w:t xml:space="preserve">Introduction, Discussion, Abstract, full polish</w:t>
            </w:r>
          </w:p>
        </w:tc>
      </w:tr>
    </w:tbl>
    <w:p>
      <w:pPr>
        <w:spacing w:after="60"/>
      </w:pPr>
    </w:p>
    <w:p>
      <w:pPr>
        <w:pBdr>
          <w:left w:val="single" w:color="2E86C1" w:sz="12" w:space="8"/>
        </w:pBdr>
        <w:spacing w:after="120" w:before="120" w:line="276"/>
        <w:ind w:left="360" w:right="360"/>
      </w:pPr>
      <w:r>
        <w:rPr>
          <w:b/>
          <w:bCs/>
        </w:rPr>
        <w:t xml:space="preserve">Important: </w:t>
      </w:r>
      <w:r>
        <w:t xml:space="preserve">Write the Abstract last, after everything else is complete. It should summarise your actual findings, not your plans. The Introduction and Discussion also benefit from being written (or substantially revised) after the analysis is complete, as you will better understand your story.</w:t>
      </w:r>
    </w:p>
    <w:p>
      <w:pPr>
        <w:spacing w:after="60"/>
      </w:pPr>
    </w:p>
    <w:p>
      <w:pPr>
        <w:pStyle w:val="Heading2"/>
      </w:pPr>
      <w:r>
        <w:t xml:space="preserve">Final Checklist Before Submission</w:t>
      </w:r>
    </w:p>
    <w:p>
      <w:pPr>
        <w:pStyle w:val="ListParagraph"/>
        <w:numPr>
          <w:ilvl w:val="0"/>
          <w:numId w:val="8"/>
        </w:numPr>
        <w:spacing w:after="80" w:line="276"/>
      </w:pPr>
      <w:r>
        <w:t xml:space="preserve">All team member names and signed contribution agreement included.</w:t>
      </w:r>
    </w:p>
    <w:p>
      <w:pPr>
        <w:pStyle w:val="ListParagraph"/>
        <w:numPr>
          <w:ilvl w:val="0"/>
          <w:numId w:val="8"/>
        </w:numPr>
        <w:spacing w:after="80" w:line="276"/>
      </w:pPr>
      <w:r>
        <w:t xml:space="preserve">Abstract is under 200 words and includes a quantitative result.</w:t>
      </w:r>
    </w:p>
    <w:p>
      <w:pPr>
        <w:pStyle w:val="ListParagraph"/>
        <w:numPr>
          <w:ilvl w:val="0"/>
          <w:numId w:val="8"/>
        </w:numPr>
        <w:spacing w:after="80" w:line="276"/>
      </w:pPr>
      <w:r>
        <w:t xml:space="preserve">Introduction frames clear research questions and identifies end users.</w:t>
      </w:r>
    </w:p>
    <w:p>
      <w:pPr>
        <w:pStyle w:val="ListParagraph"/>
        <w:numPr>
          <w:ilvl w:val="0"/>
          <w:numId w:val="8"/>
        </w:numPr>
        <w:spacing w:after="80" w:line="276"/>
      </w:pPr>
      <w:r>
        <w:t xml:space="preserve">Data Preparation documents every cleaning and transformation step.</w:t>
      </w:r>
    </w:p>
    <w:p>
      <w:pPr>
        <w:pStyle w:val="ListParagraph"/>
        <w:numPr>
          <w:ilvl w:val="0"/>
          <w:numId w:val="8"/>
        </w:numPr>
        <w:spacing w:after="80" w:line="276"/>
      </w:pPr>
      <w:r>
        <w:t xml:space="preserve">Data Exploration includes at least 4-5 insightful figures with discussion.</w:t>
      </w:r>
    </w:p>
    <w:p>
      <w:pPr>
        <w:pStyle w:val="ListParagraph"/>
        <w:numPr>
          <w:ilvl w:val="0"/>
          <w:numId w:val="8"/>
        </w:numPr>
        <w:spacing w:after="80" w:line="276"/>
      </w:pPr>
      <w:r>
        <w:t xml:space="preserve">Modelling section uses at least 3 complementary methods with baselines.</w:t>
      </w:r>
    </w:p>
    <w:p>
      <w:pPr>
        <w:pStyle w:val="ListParagraph"/>
        <w:numPr>
          <w:ilvl w:val="0"/>
          <w:numId w:val="8"/>
        </w:numPr>
        <w:spacing w:after="80" w:line="276"/>
      </w:pPr>
      <w:r>
        <w:t xml:space="preserve">All models are evaluated with appropriate metrics in a summary table.</w:t>
      </w:r>
    </w:p>
    <w:p>
      <w:pPr>
        <w:pStyle w:val="ListParagraph"/>
        <w:numPr>
          <w:ilvl w:val="0"/>
          <w:numId w:val="8"/>
        </w:numPr>
        <w:spacing w:after="80" w:line="276"/>
      </w:pPr>
      <w:r>
        <w:t xml:space="preserve">Findings section addresses all research questions.</w:t>
      </w:r>
    </w:p>
    <w:p>
      <w:pPr>
        <w:pStyle w:val="ListParagraph"/>
        <w:numPr>
          <w:ilvl w:val="0"/>
          <w:numId w:val="8"/>
        </w:numPr>
        <w:spacing w:after="80" w:line="276"/>
      </w:pPr>
      <w:r>
        <w:t xml:space="preserve">Discussion acknowledges limitations, identifies end-user value, and proposes future work.</w:t>
      </w:r>
    </w:p>
    <w:p>
      <w:pPr>
        <w:pStyle w:val="ListParagraph"/>
        <w:numPr>
          <w:ilvl w:val="0"/>
          <w:numId w:val="8"/>
        </w:numPr>
        <w:spacing w:after="80" w:line="276"/>
      </w:pPr>
      <w:r>
        <w:t xml:space="preserve">All figures are numbered, captioned, and referenced in text.</w:t>
      </w:r>
    </w:p>
    <w:p>
      <w:pPr>
        <w:pStyle w:val="ListParagraph"/>
        <w:numPr>
          <w:ilvl w:val="0"/>
          <w:numId w:val="8"/>
        </w:numPr>
        <w:spacing w:after="80" w:line="276"/>
      </w:pPr>
      <w:r>
        <w:t xml:space="preserve">12-20 references in IEEE format.</w:t>
      </w:r>
    </w:p>
    <w:p>
      <w:pPr>
        <w:pStyle w:val="ListParagraph"/>
        <w:numPr>
          <w:ilvl w:val="0"/>
          <w:numId w:val="8"/>
        </w:numPr>
        <w:spacing w:after="80" w:line="276"/>
      </w:pPr>
      <w:r>
        <w:t xml:space="preserve">Report is within the 10-page limit.</w:t>
      </w:r>
    </w:p>
    <w:p>
      <w:pPr>
        <w:pStyle w:val="ListParagraph"/>
        <w:numPr>
          <w:ilvl w:val="0"/>
          <w:numId w:val="8"/>
        </w:numPr>
        <w:spacing w:after="80" w:line="276"/>
      </w:pPr>
      <w:r>
        <w:t xml:space="preserve">Code repository is clean, documented, and reproducible.</w:t>
      </w:r>
    </w:p>
    <w:p>
      <w:pPr>
        <w:pStyle w:val="ListParagraph"/>
        <w:numPr>
          <w:ilvl w:val="0"/>
          <w:numId w:val="8"/>
        </w:numPr>
        <w:spacing w:after="80" w:line="276"/>
      </w:pPr>
      <w:r>
        <w:t xml:space="preserve">A teammate has proof-read the entire document for typos and clarity.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Pr>
      <w:t xml:space="preserve">Project 15: Cost of Living &amp; Inflation — Complete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00"/>
      <w:outlineLvl w:val="0"/>
    </w:pPr>
    <w:rPr>
      <w:rFonts w:ascii="Arial" w:cs="Arial" w:eastAsia="Arial" w:hAnsi="Arial"/>
      <w:b/>
      <w:bCs/>
      <w:color w:val="1B4F72"/>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E86C1"/>
      <w:sz w:val="26"/>
      <w:szCs w:val="26"/>
    </w:rPr>
  </w:style>
  <w:style w:type="paragraph" w:styleId="Heading3">
    <w:name w:val="Heading 3"/>
    <w:basedOn w:val="Normal"/>
    <w:next w:val="Normal"/>
    <w:qFormat/>
    <w:pPr>
      <w:spacing w:after="120" w:before="180"/>
      <w:outlineLvl w:val="2"/>
    </w:pPr>
    <w:rPr>
      <w:rFonts w:ascii="Arial" w:cs="Arial" w:eastAsia="Arial" w:hAnsi="Arial"/>
      <w:b/>
      <w:bCs/>
      <w:color w:val="1A527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2026-04-01T10:59:10.311Z</dcterms:created>
  <dcterms:modified xsi:type="dcterms:W3CDTF">2026-04-01T10:59:10.312Z</dcterms:modified>
</cp:coreProperties>
</file>

<file path=docProps/custom.xml><?xml version="1.0" encoding="utf-8"?>
<Properties xmlns="http://schemas.openxmlformats.org/officeDocument/2006/custom-properties" xmlns:vt="http://schemas.openxmlformats.org/officeDocument/2006/docPropsVTypes"/>
</file>