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44"/>
          <w:szCs w:val="44"/>
        </w:rPr>
        <w:t xml:space="preserve">Project Guide</w:t>
      </w:r>
    </w:p>
    <w:p>
      <w:pPr>
        <w:spacing w:after="200"/>
        <w:jc w:val="center"/>
      </w:pPr>
      <w:r>
        <w:rPr>
          <w:rFonts w:ascii="Arial" w:cs="Arial" w:eastAsia="Arial" w:hAnsi="Arial"/>
          <w:color w:val="2E75B6"/>
          <w:sz w:val="36"/>
          <w:szCs w:val="36"/>
        </w:rPr>
        <w:t xml:space="preserve">One Size Fits None</w:t>
      </w:r>
    </w:p>
    <w:p>
      <w:pPr>
        <w:spacing w:after="200"/>
        <w:jc w:val="center"/>
      </w:pPr>
      <w:r>
        <w:rPr>
          <w:rFonts w:ascii="Arial" w:cs="Arial" w:eastAsia="Arial" w:hAnsi="Arial"/>
          <w:color w:val="404040"/>
          <w:sz w:val="28"/>
          <w:szCs w:val="28"/>
        </w:rPr>
        <w:t xml:space="preserve">Measuring Differential Inflation by Housing Tenure</w:t>
      </w:r>
    </w:p>
    <w:p>
      <w:pPr>
        <w:spacing w:after="400"/>
        <w:jc w:val="center"/>
      </w:pPr>
      <w:r>
        <w:rPr>
          <w:rFonts w:ascii="Arial" w:cs="Arial" w:eastAsia="Arial" w:hAnsi="Arial"/>
          <w:i/>
          <w:iCs/>
          <w:color w:val="666666"/>
          <w:sz w:val="24"/>
          <w:szCs w:val="24"/>
        </w:rPr>
        <w:t xml:space="preserve">Using LCF Microdata, CPIH Indices &amp; HCI Validation</w:t>
      </w:r>
    </w:p>
    <w:p>
      <w:pPr>
        <w:spacing w:after="100"/>
        <w:jc w:val="center"/>
      </w:pPr>
      <w:r>
        <w:rPr>
          <w:rFonts w:ascii="Arial" w:cs="Arial" w:eastAsia="Arial" w:hAnsi="Arial"/>
          <w:i/>
          <w:iCs/>
          <w:sz w:val="22"/>
          <w:szCs w:val="22"/>
        </w:rPr>
        <w:t xml:space="preserve">A Complete Roadmap to Achieving an Exceptional Mark</w:t>
      </w:r>
    </w:p>
    <w:p>
      <w:pPr>
        <w:jc w:val="center"/>
      </w:pPr>
      <w:r>
        <w:rPr>
          <w:rFonts w:ascii="Arial" w:cs="Arial" w:eastAsia="Arial" w:hAnsi="Arial"/>
          <w:sz w:val="22"/>
          <w:szCs w:val="22"/>
        </w:rPr>
        <w:t xml:space="preserve">Applied Data Science — Project 15</w:t>
      </w:r>
    </w:p>
    <w:p>
      <w:r>
        <w:br w:type="page"/>
      </w:r>
    </w:p>
    <w:p>
      <w:pPr>
        <w:pStyle w:val="Heading1"/>
        <w:spacing w:after="200" w:before="360"/>
      </w:pPr>
      <w:r>
        <w:rPr>
          <w:rFonts w:ascii="Arial" w:cs="Arial" w:eastAsia="Arial" w:hAnsi="Arial"/>
          <w:b/>
          <w:bCs/>
          <w:color w:val="1F3864"/>
          <w:sz w:val="32"/>
          <w:szCs w:val="32"/>
        </w:rPr>
        <w:t xml:space="preserve">Table of Contents</w:t>
      </w:r>
    </w:p>
    <w:p>
      <w:pPr>
        <w:spacing w:after="160" w:line="276"/>
      </w:pPr>
      <w:r>
        <w:rPr>
          <w:rFonts w:ascii="Arial" w:cs="Arial" w:eastAsia="Arial" w:hAnsi="Arial"/>
          <w:sz w:val="22"/>
          <w:szCs w:val="22"/>
        </w:rPr>
        <w:t xml:space="preserve">1. Overview and Strategy</w:t>
      </w:r>
    </w:p>
    <w:p>
      <w:pPr>
        <w:spacing w:after="160" w:line="276"/>
      </w:pPr>
      <w:r>
        <w:rPr>
          <w:rFonts w:ascii="Arial" w:cs="Arial" w:eastAsia="Arial" w:hAnsi="Arial"/>
          <w:sz w:val="22"/>
          <w:szCs w:val="22"/>
        </w:rPr>
        <w:t xml:space="preserve">2. Understanding the Marking Criteria</w:t>
      </w:r>
    </w:p>
    <w:p>
      <w:pPr>
        <w:spacing w:after="160" w:line="276"/>
      </w:pPr>
      <w:r>
        <w:rPr>
          <w:rFonts w:ascii="Arial" w:cs="Arial" w:eastAsia="Arial" w:hAnsi="Arial"/>
          <w:sz w:val="22"/>
          <w:szCs w:val="22"/>
        </w:rPr>
        <w:t xml:space="preserve">3. Report Structure: Section-by-Section Blueprint</w:t>
      </w:r>
    </w:p>
    <w:p>
      <w:pPr>
        <w:spacing w:after="160" w:line="276"/>
      </w:pPr>
      <w:r>
        <w:rPr>
          <w:rFonts w:ascii="Arial" w:cs="Arial" w:eastAsia="Arial" w:hAnsi="Arial"/>
          <w:sz w:val="22"/>
          <w:szCs w:val="22"/>
        </w:rPr>
        <w:t xml:space="preserve">4. Data Sources: What You Have and How They Fit Together</w:t>
      </w:r>
    </w:p>
    <w:p>
      <w:pPr>
        <w:spacing w:after="160" w:line="276"/>
      </w:pPr>
      <w:r>
        <w:rPr>
          <w:rFonts w:ascii="Arial" w:cs="Arial" w:eastAsia="Arial" w:hAnsi="Arial"/>
          <w:sz w:val="22"/>
          <w:szCs w:val="22"/>
        </w:rPr>
        <w:t xml:space="preserve">5. Technical Execution Plan</w:t>
      </w:r>
    </w:p>
    <w:p>
      <w:pPr>
        <w:spacing w:after="160" w:line="276"/>
      </w:pPr>
      <w:r>
        <w:rPr>
          <w:rFonts w:ascii="Arial" w:cs="Arial" w:eastAsia="Arial" w:hAnsi="Arial"/>
          <w:sz w:val="22"/>
          <w:szCs w:val="22"/>
        </w:rPr>
        <w:t xml:space="preserve">6. Visualisation Strategy</w:t>
      </w:r>
    </w:p>
    <w:p>
      <w:pPr>
        <w:spacing w:after="160" w:line="276"/>
      </w:pPr>
      <w:r>
        <w:rPr>
          <w:rFonts w:ascii="Arial" w:cs="Arial" w:eastAsia="Arial" w:hAnsi="Arial"/>
          <w:sz w:val="22"/>
          <w:szCs w:val="22"/>
        </w:rPr>
        <w:t xml:space="preserve">7. Statistical and ML Modelling Plan</w:t>
      </w:r>
    </w:p>
    <w:p>
      <w:pPr>
        <w:spacing w:after="160" w:line="276"/>
      </w:pPr>
      <w:r>
        <w:rPr>
          <w:rFonts w:ascii="Arial" w:cs="Arial" w:eastAsia="Arial" w:hAnsi="Arial"/>
          <w:sz w:val="22"/>
          <w:szCs w:val="22"/>
        </w:rPr>
        <w:t xml:space="preserve">8. Writing and Presentation Tips</w:t>
      </w:r>
    </w:p>
    <w:p>
      <w:pPr>
        <w:spacing w:after="160" w:line="276"/>
      </w:pPr>
      <w:r>
        <w:rPr>
          <w:rFonts w:ascii="Arial" w:cs="Arial" w:eastAsia="Arial" w:hAnsi="Arial"/>
          <w:sz w:val="22"/>
          <w:szCs w:val="22"/>
        </w:rPr>
        <w:t xml:space="preserve">9. Common Pitfalls to Avoid</w:t>
      </w:r>
    </w:p>
    <w:p>
      <w:pPr>
        <w:spacing w:after="160" w:line="276"/>
      </w:pPr>
      <w:r>
        <w:rPr>
          <w:rFonts w:ascii="Arial" w:cs="Arial" w:eastAsia="Arial" w:hAnsi="Arial"/>
          <w:sz w:val="22"/>
          <w:szCs w:val="22"/>
        </w:rPr>
        <w:t xml:space="preserve">10. Recommended Timeline</w:t>
      </w:r>
    </w:p>
    <w:p>
      <w:r>
        <w:br w:type="page"/>
      </w:r>
    </w:p>
    <w:p>
      <w:pPr>
        <w:pStyle w:val="Heading1"/>
        <w:spacing w:after="200" w:before="360"/>
      </w:pPr>
      <w:r>
        <w:rPr>
          <w:rFonts w:ascii="Arial" w:cs="Arial" w:eastAsia="Arial" w:hAnsi="Arial"/>
          <w:b/>
          <w:bCs/>
          <w:color w:val="1F3864"/>
          <w:sz w:val="32"/>
          <w:szCs w:val="32"/>
        </w:rPr>
        <w:t xml:space="preserve">1. Overview and Strategy</w:t>
      </w:r>
    </w:p>
    <w:p>
      <w:pPr>
        <w:spacing w:after="160" w:line="276"/>
      </w:pPr>
      <w:r>
        <w:rPr>
          <w:rFonts w:ascii="Arial" w:cs="Arial" w:eastAsia="Arial" w:hAnsi="Arial"/>
          <w:sz w:val="22"/>
          <w:szCs w:val="22"/>
        </w:rPr>
        <w:t xml:space="preserve">This guide provides an end-to-end blueprint for completing a high-mark analysis of </w:t>
      </w:r>
      <w:r>
        <w:rPr>
          <w:rFonts w:ascii="Arial" w:cs="Arial" w:eastAsia="Arial" w:hAnsi="Arial"/>
          <w:b/>
          <w:bCs/>
          <w:sz w:val="22"/>
          <w:szCs w:val="22"/>
        </w:rPr>
        <w:t xml:space="preserve">differential inflation by housing tenure type</w:t>
      </w:r>
      <w:r>
        <w:rPr>
          <w:rFonts w:ascii="Arial" w:cs="Arial" w:eastAsia="Arial" w:hAnsi="Arial"/>
          <w:sz w:val="22"/>
          <w:szCs w:val="22"/>
        </w:rPr>
        <w:t xml:space="preserve"> in the UK. The central thesis is that the official CPIH treats all households as if they share a single representative spending basket, but in reality a social renter, a private renter, an outright owner, and a mortgagor have structurally different expenditure profiles. When prices move unevenly across categories, these groups experience meaningfully different rates of inflation.</w:t>
      </w:r>
    </w:p>
    <w:p>
      <w:pPr>
        <w:spacing w:after="160" w:line="276"/>
      </w:pPr>
      <w:r>
        <w:rPr>
          <w:rFonts w:ascii="Arial" w:cs="Arial" w:eastAsia="Arial" w:hAnsi="Arial"/>
          <w:sz w:val="22"/>
          <w:szCs w:val="22"/>
        </w:rPr>
        <w:t xml:space="preserve">The project uses three ONS data sources: the </w:t>
      </w:r>
      <w:r>
        <w:rPr>
          <w:rFonts w:ascii="Arial" w:cs="Arial" w:eastAsia="Arial" w:hAnsi="Arial"/>
          <w:b/>
          <w:bCs/>
          <w:sz w:val="22"/>
          <w:szCs w:val="22"/>
        </w:rPr>
        <w:t xml:space="preserve">Living Costs and Food Survey (LCF)</w:t>
      </w:r>
      <w:r>
        <w:rPr>
          <w:rFonts w:ascii="Arial" w:cs="Arial" w:eastAsia="Arial" w:hAnsi="Arial"/>
          <w:sz w:val="22"/>
          <w:szCs w:val="22"/>
        </w:rPr>
        <w:t xml:space="preserve"> for household-level expenditure shares, </w:t>
      </w:r>
      <w:r>
        <w:rPr>
          <w:rFonts w:ascii="Arial" w:cs="Arial" w:eastAsia="Arial" w:hAnsi="Arial"/>
          <w:b/>
          <w:bCs/>
          <w:sz w:val="22"/>
          <w:szCs w:val="22"/>
        </w:rPr>
        <w:t xml:space="preserve">CPIH price indices from MM23</w:t>
      </w:r>
      <w:r>
        <w:rPr>
          <w:rFonts w:ascii="Arial" w:cs="Arial" w:eastAsia="Arial" w:hAnsi="Arial"/>
          <w:sz w:val="22"/>
          <w:szCs w:val="22"/>
        </w:rPr>
        <w:t xml:space="preserve"> for item-level price movements, and the </w:t>
      </w:r>
      <w:r>
        <w:rPr>
          <w:rFonts w:ascii="Arial" w:cs="Arial" w:eastAsia="Arial" w:hAnsi="Arial"/>
          <w:b/>
          <w:bCs/>
          <w:sz w:val="22"/>
          <w:szCs w:val="22"/>
        </w:rPr>
        <w:t xml:space="preserve">Household Costs Indices (HCI)</w:t>
      </w:r>
      <w:r>
        <w:rPr>
          <w:rFonts w:ascii="Arial" w:cs="Arial" w:eastAsia="Arial" w:hAnsi="Arial"/>
          <w:sz w:val="22"/>
          <w:szCs w:val="22"/>
        </w:rPr>
        <w:t xml:space="preserve"> for validation. Group-specific inflation is computed using a </w:t>
      </w:r>
      <w:r>
        <w:rPr>
          <w:rFonts w:ascii="Arial" w:cs="Arial" w:eastAsia="Arial" w:hAnsi="Arial"/>
          <w:b/>
          <w:bCs/>
          <w:sz w:val="22"/>
          <w:szCs w:val="22"/>
        </w:rPr>
        <w:t xml:space="preserve">Laspeyres index with lagged weights</w:t>
      </w:r>
      <w:r>
        <w:rPr>
          <w:rFonts w:ascii="Arial" w:cs="Arial" w:eastAsia="Arial" w:hAnsi="Arial"/>
          <w:sz w:val="22"/>
          <w:szCs w:val="22"/>
        </w:rPr>
        <w:t xml:space="preserve">, the same framework the ONS uses for HCI. The final deliverable is a 10-page IEEE two-column report.</w:t>
      </w:r>
    </w:p>
    <w:p>
      <w:pPr>
        <w:pStyle w:val="Heading2"/>
        <w:spacing w:after="160" w:before="280"/>
      </w:pPr>
      <w:r>
        <w:rPr>
          <w:rFonts w:ascii="Arial" w:cs="Arial" w:eastAsia="Arial" w:hAnsi="Arial"/>
          <w:b/>
          <w:bCs/>
          <w:color w:val="2E75B6"/>
          <w:sz w:val="26"/>
          <w:szCs w:val="26"/>
        </w:rPr>
        <w:t xml:space="preserve">Why Tenure Type is the Primary Lens</w:t>
      </w:r>
    </w:p>
    <w:p>
      <w:pPr>
        <w:spacing w:after="160" w:line="276"/>
      </w:pPr>
      <w:r>
        <w:rPr>
          <w:rFonts w:ascii="Arial" w:cs="Arial" w:eastAsia="Arial" w:hAnsi="Arial"/>
          <w:sz w:val="22"/>
          <w:szCs w:val="22"/>
        </w:rPr>
        <w:t xml:space="preserve">Tenure type produces the </w:t>
      </w:r>
      <w:r>
        <w:rPr>
          <w:rFonts w:ascii="Arial" w:cs="Arial" w:eastAsia="Arial" w:hAnsi="Arial"/>
          <w:b/>
          <w:bCs/>
          <w:sz w:val="22"/>
          <w:szCs w:val="22"/>
        </w:rPr>
        <w:t xml:space="preserve">largest peak inflation gap of any clean dimension</w:t>
      </w:r>
      <w:r>
        <w:rPr>
          <w:rFonts w:ascii="Arial" w:cs="Arial" w:eastAsia="Arial" w:hAnsi="Arial"/>
          <w:sz w:val="22"/>
          <w:szCs w:val="22"/>
        </w:rPr>
        <w:t xml:space="preserve"> in the data: a 2.0 percentage point difference between own-mortgage households (9.9%) and private renters (7.9%) during the 2022/23 energy crisis. This gap is larger than the income quintile gap (0.56pp) and the age band gap (1.6pp). Tenure directly determines a household’s exposure to the two most volatile COICOP categories: actual rent (COICOP 04.1) and energy costs (COICOP 04.5). Social renters spend ~25% of their budget on food alone versus ~13% for mortgagors. These structural differences in the spending basket are the mechanism through which differential inflation arises.</w:t>
      </w:r>
    </w:p>
    <w:p>
      <w:pPr>
        <w:pStyle w:val="Heading2"/>
        <w:spacing w:after="160" w:before="280"/>
      </w:pPr>
      <w:r>
        <w:rPr>
          <w:rFonts w:ascii="Arial" w:cs="Arial" w:eastAsia="Arial" w:hAnsi="Arial"/>
          <w:b/>
          <w:bCs/>
          <w:color w:val="2E75B6"/>
          <w:sz w:val="26"/>
          <w:szCs w:val="26"/>
        </w:rPr>
        <w:t xml:space="preserve">Key Lessons from the Excellent Example Reports</w:t>
      </w:r>
    </w:p>
    <w:p>
      <w:pPr>
        <w:pStyle w:val="ListParagraph"/>
        <w:numPr>
          <w:ilvl w:val="0"/>
          <w:numId w:val="2"/>
        </w:numPr>
        <w:spacing w:after="100" w:line="276"/>
      </w:pPr>
      <w:r>
        <w:rPr>
          <w:rFonts w:ascii="Arial" w:cs="Arial" w:eastAsia="Arial" w:hAnsi="Arial"/>
          <w:b/>
          <w:bCs/>
          <w:sz w:val="22"/>
          <w:szCs w:val="22"/>
        </w:rPr>
        <w:t xml:space="preserve">Clear narrative arc: </w:t>
      </w:r>
      <w:r>
        <w:rPr>
          <w:rFonts w:ascii="Arial" w:cs="Arial" w:eastAsia="Arial" w:hAnsi="Arial"/>
          <w:sz w:val="22"/>
          <w:szCs w:val="22"/>
        </w:rPr>
        <w:t xml:space="preserve">Each report tells a story from problem to investigation to actionable insight. Your report should follow the arc: “official inflation is one-size-fits-all → tenure groups have different baskets → they face different inflation → this matters for policy.”</w:t>
      </w:r>
    </w:p>
    <w:p>
      <w:pPr>
        <w:pStyle w:val="ListParagraph"/>
        <w:numPr>
          <w:ilvl w:val="0"/>
          <w:numId w:val="2"/>
        </w:numPr>
        <w:spacing w:after="100" w:line="276"/>
      </w:pPr>
      <w:r>
        <w:rPr>
          <w:rFonts w:ascii="Arial" w:cs="Arial" w:eastAsia="Arial" w:hAnsi="Arial"/>
          <w:b/>
          <w:bCs/>
          <w:sz w:val="22"/>
          <w:szCs w:val="22"/>
        </w:rPr>
        <w:t xml:space="preserve">Multiple complementary methods: </w:t>
      </w:r>
      <w:r>
        <w:rPr>
          <w:rFonts w:ascii="Arial" w:cs="Arial" w:eastAsia="Arial" w:hAnsi="Arial"/>
          <w:sz w:val="22"/>
          <w:szCs w:val="22"/>
        </w:rPr>
        <w:t xml:space="preserve">Neither report relies on a single technique. They combine correlation analysis, ML, clustering, and rich visualisation. Use at least 3 methods.</w:t>
      </w:r>
    </w:p>
    <w:p>
      <w:pPr>
        <w:pStyle w:val="ListParagraph"/>
        <w:numPr>
          <w:ilvl w:val="0"/>
          <w:numId w:val="2"/>
        </w:numPr>
        <w:spacing w:after="100" w:line="276"/>
      </w:pPr>
      <w:r>
        <w:rPr>
          <w:rFonts w:ascii="Arial" w:cs="Arial" w:eastAsia="Arial" w:hAnsi="Arial"/>
          <w:b/>
          <w:bCs/>
          <w:sz w:val="22"/>
          <w:szCs w:val="22"/>
        </w:rPr>
        <w:t xml:space="preserve">Critical self-reflection: </w:t>
      </w:r>
      <w:r>
        <w:rPr>
          <w:rFonts w:ascii="Arial" w:cs="Arial" w:eastAsia="Arial" w:hAnsi="Arial"/>
          <w:sz w:val="22"/>
          <w:szCs w:val="22"/>
        </w:rPr>
        <w:t xml:space="preserve">Both reports openly discuss limitations and surprising results. Discuss that you use national CPIH prices (not regional), that rent-free tenure was excluded for small cells, and that the Laspeyres framework assumes fixed baskets within each year.</w:t>
      </w:r>
    </w:p>
    <w:p>
      <w:pPr>
        <w:pStyle w:val="ListParagraph"/>
        <w:numPr>
          <w:ilvl w:val="0"/>
          <w:numId w:val="2"/>
        </w:numPr>
        <w:spacing w:after="100" w:line="276"/>
      </w:pPr>
      <w:r>
        <w:rPr>
          <w:rFonts w:ascii="Arial" w:cs="Arial" w:eastAsia="Arial" w:hAnsi="Arial"/>
          <w:b/>
          <w:bCs/>
          <w:sz w:val="22"/>
          <w:szCs w:val="22"/>
        </w:rPr>
        <w:t xml:space="preserve">Professional presentation: </w:t>
      </w:r>
      <w:r>
        <w:rPr>
          <w:rFonts w:ascii="Arial" w:cs="Arial" w:eastAsia="Arial" w:hAnsi="Arial"/>
          <w:sz w:val="22"/>
          <w:szCs w:val="22"/>
        </w:rPr>
        <w:t xml:space="preserve">Two-column layout, numbered figures with captions, colourblind-friendly palettes, IEEE references.</w:t>
      </w:r>
    </w:p>
    <w:p>
      <w:r>
        <w:br w:type="page"/>
      </w:r>
    </w:p>
    <w:p>
      <w:pPr>
        <w:pStyle w:val="Heading1"/>
        <w:spacing w:after="200" w:before="360"/>
      </w:pPr>
      <w:r>
        <w:rPr>
          <w:rFonts w:ascii="Arial" w:cs="Arial" w:eastAsia="Arial" w:hAnsi="Arial"/>
          <w:b/>
          <w:bCs/>
          <w:color w:val="1F3864"/>
          <w:sz w:val="32"/>
          <w:szCs w:val="32"/>
        </w:rPr>
        <w:t xml:space="preserve">2. Understanding the Marking Criteria</w:t>
      </w:r>
    </w:p>
    <w:p>
      <w:pPr>
        <w:spacing w:after="160" w:line="276"/>
      </w:pPr>
      <w:r>
        <w:rPr>
          <w:rFonts w:ascii="Arial" w:cs="Arial" w:eastAsia="Arial" w:hAnsi="Arial"/>
          <w:sz w:val="22"/>
          <w:szCs w:val="22"/>
        </w:rPr>
        <w:t xml:space="preserve">Before writing a single line of code, internalise what the markers reward. Each criterion below is unpacked with concrete actions tailored to your tenure-focused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26"/>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63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Exceptional Looks Like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Problem Understanding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6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 contextualise why one-size-fits-all CPI fails different tenure groups. You frame specific research questions about tenure-driven inflation disparities. You identify policymakers and consumer advocacy groups as end users.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Wrangling &amp; Exploration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6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 document every cleaning step (negative expenditure filtering, share validation, rent-free exclusion). Your EDA reveals that social renters spend 2x more on food proportionally than mortgagors. You use stacked bars, density plots, correlation heatmaps, and annotated time series.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Modelling, Vis, Analysis &amp; Evaluation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6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 deploy at least 3 approaches (e.g. OLS regression on inflation drivers, Random Forest + SHAP for feature importance, bootstrap significance testing). You validate against ONS HCI. Every model has a baseline comparison. Publication-quality figures.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Discussion &amp; Conclusion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6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 synthesise the 2pp tenure gap finding into policy implications. You critically evaluate that national prices miss regional variation. You propose future work (regional prices, real income trajectories, interactive dashboards).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Presentation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6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Two-column IEEE format. All figures captioned. Consistent colour palette. 12–20 references. Concise academic writing within 10 pages.</w:t>
            </w:r>
          </w:p>
        </w:tc>
      </w:tr>
    </w:tbl>
    <w:p>
      <w:pPr>
        <w:spacing w:after="160" w:line="276"/>
      </w:pPr>
      <w:r>
        <w:t xml:space="preserve"/>
      </w:r>
    </w:p>
    <w:p>
      <w:pPr>
        <w:pBdr>
          <w:left w:val="single" w:color="2E75B6" w:sz="6" w:space="8"/>
        </w:pBdr>
        <w:spacing w:after="160" w:line="276"/>
        <w:ind w:left="360" w:right="360"/>
      </w:pPr>
      <w:r>
        <w:rPr>
          <w:rFonts w:ascii="Arial" w:cs="Arial" w:eastAsia="Arial" w:hAnsi="Arial"/>
          <w:b/>
          <w:bCs/>
          <w:sz w:val="22"/>
          <w:szCs w:val="22"/>
        </w:rPr>
        <w:t xml:space="preserve">Critical Insight: </w:t>
      </w:r>
      <w:r>
        <w:rPr>
          <w:rFonts w:ascii="Arial" w:cs="Arial" w:eastAsia="Arial" w:hAnsi="Arial"/>
          <w:sz w:val="22"/>
          <w:szCs w:val="22"/>
        </w:rPr>
        <w:t xml:space="preserve">The Modelling section carries 40% of the total mark. Allocate your time accordingly: roughly 40–50% of your effort should go into modelling, visualisation, and evaluation. But do not neglect the other sections, as 60% of marks come from everything else combined.</w:t>
      </w:r>
    </w:p>
    <w:p>
      <w:pPr>
        <w:pStyle w:val="Heading2"/>
        <w:spacing w:after="160" w:before="280"/>
      </w:pPr>
      <w:r>
        <w:rPr>
          <w:rFonts w:ascii="Arial" w:cs="Arial" w:eastAsia="Arial" w:hAnsi="Arial"/>
          <w:b/>
          <w:bCs/>
          <w:color w:val="2E75B6"/>
          <w:sz w:val="26"/>
          <w:szCs w:val="26"/>
        </w:rPr>
        <w:t xml:space="preserve">What Separates Good from Excellent</w:t>
      </w:r>
    </w:p>
    <w:p>
      <w:pPr>
        <w:pStyle w:val="ListParagraph"/>
        <w:numPr>
          <w:ilvl w:val="0"/>
          <w:numId w:val="2"/>
        </w:numPr>
        <w:spacing w:after="100" w:line="276"/>
      </w:pPr>
      <w:r>
        <w:rPr>
          <w:rFonts w:ascii="Arial" w:cs="Arial" w:eastAsia="Arial" w:hAnsi="Arial"/>
          <w:sz w:val="22"/>
          <w:szCs w:val="22"/>
        </w:rPr>
        <w:t xml:space="preserve">Discovers something genuinely surprising or counterintuitive — e.g. that private renters faced LOWER peak inflation than social renters despite being a “vulnerable” group, because their rent component dampened the energy spike.</w:t>
      </w:r>
    </w:p>
    <w:p>
      <w:pPr>
        <w:pStyle w:val="ListParagraph"/>
        <w:numPr>
          <w:ilvl w:val="0"/>
          <w:numId w:val="2"/>
        </w:numPr>
        <w:spacing w:after="100" w:line="276"/>
      </w:pPr>
      <w:r>
        <w:rPr>
          <w:rFonts w:ascii="Arial" w:cs="Arial" w:eastAsia="Arial" w:hAnsi="Arial"/>
          <w:sz w:val="22"/>
          <w:szCs w:val="22"/>
        </w:rPr>
        <w:t xml:space="preserve">Uses the HCI validation dataset to show estimates are credible, not just descriptive.</w:t>
      </w:r>
    </w:p>
    <w:p>
      <w:pPr>
        <w:pStyle w:val="ListParagraph"/>
        <w:numPr>
          <w:ilvl w:val="0"/>
          <w:numId w:val="2"/>
        </w:numPr>
        <w:spacing w:after="100" w:line="276"/>
      </w:pPr>
      <w:r>
        <w:rPr>
          <w:rFonts w:ascii="Arial" w:cs="Arial" w:eastAsia="Arial" w:hAnsi="Arial"/>
          <w:sz w:val="22"/>
          <w:szCs w:val="22"/>
        </w:rPr>
        <w:t xml:space="preserve">Includes at least one advanced analytical approach (e.g. Oaxaca-Blinder decomposition of the tenure gap, bootstrap confidence intervals, SHAP values).</w:t>
      </w:r>
    </w:p>
    <w:p>
      <w:pPr>
        <w:pStyle w:val="ListParagraph"/>
        <w:numPr>
          <w:ilvl w:val="0"/>
          <w:numId w:val="2"/>
        </w:numPr>
        <w:spacing w:after="100" w:line="276"/>
      </w:pPr>
      <w:r>
        <w:rPr>
          <w:rFonts w:ascii="Arial" w:cs="Arial" w:eastAsia="Arial" w:hAnsi="Arial"/>
          <w:sz w:val="22"/>
          <w:szCs w:val="22"/>
        </w:rPr>
        <w:t xml:space="preserve">Demonstrates clear awareness of limitations: national prices miss regional variation, benefit-based disability flags undercount, Laspeyres assumes fixed baskets within each year.</w:t>
      </w:r>
    </w:p>
    <w:p>
      <w:r>
        <w:br w:type="page"/>
      </w:r>
    </w:p>
    <w:p>
      <w:pPr>
        <w:pStyle w:val="Heading1"/>
        <w:spacing w:after="200" w:before="360"/>
      </w:pPr>
      <w:r>
        <w:rPr>
          <w:rFonts w:ascii="Arial" w:cs="Arial" w:eastAsia="Arial" w:hAnsi="Arial"/>
          <w:b/>
          <w:bCs/>
          <w:color w:val="1F3864"/>
          <w:sz w:val="32"/>
          <w:szCs w:val="32"/>
        </w:rPr>
        <w:t xml:space="preserve">3. Report Structure: Section-by-Section Blueprint</w:t>
      </w:r>
    </w:p>
    <w:p>
      <w:pPr>
        <w:spacing w:after="160" w:line="276"/>
      </w:pPr>
      <w:r>
        <w:rPr>
          <w:rFonts w:ascii="Arial" w:cs="Arial" w:eastAsia="Arial" w:hAnsi="Arial"/>
          <w:sz w:val="22"/>
          <w:szCs w:val="22"/>
        </w:rPr>
        <w:t xml:space="preserve">Your 10-page report should follow this structure. Each subsection tells you exactly what to include, how long it should be, and what the markers want to see.</w:t>
      </w:r>
    </w:p>
    <w:p>
      <w:pPr>
        <w:pStyle w:val="Heading2"/>
        <w:spacing w:after="160" w:before="280"/>
      </w:pPr>
      <w:r>
        <w:rPr>
          <w:rFonts w:ascii="Arial" w:cs="Arial" w:eastAsia="Arial" w:hAnsi="Arial"/>
          <w:b/>
          <w:bCs/>
          <w:color w:val="2E75B6"/>
          <w:sz w:val="26"/>
          <w:szCs w:val="26"/>
        </w:rPr>
        <w:t xml:space="preserve">3.1 Title Page and Abstract</w:t>
      </w:r>
    </w:p>
    <w:p>
      <w:pPr>
        <w:spacing w:after="160" w:line="276"/>
      </w:pPr>
      <w:r>
        <w:rPr>
          <w:rFonts w:ascii="Arial" w:cs="Arial" w:eastAsia="Arial" w:hAnsi="Arial"/>
          <w:b/>
          <w:bCs/>
          <w:sz w:val="22"/>
          <w:szCs w:val="22"/>
        </w:rPr>
        <w:t xml:space="preserve">Length: </w:t>
      </w:r>
      <w:r>
        <w:rPr>
          <w:rFonts w:ascii="Arial" w:cs="Arial" w:eastAsia="Arial" w:hAnsi="Arial"/>
          <w:sz w:val="22"/>
          <w:szCs w:val="22"/>
        </w:rPr>
        <w:t xml:space="preserve">Half a page (title block + abstract paragraph).</w:t>
      </w:r>
    </w:p>
    <w:p>
      <w:pPr>
        <w:spacing w:after="160" w:line="276"/>
      </w:pPr>
      <w:r>
        <w:rPr>
          <w:rFonts w:ascii="Arial" w:cs="Arial" w:eastAsia="Arial" w:hAnsi="Arial"/>
          <w:b/>
          <w:bCs/>
          <w:sz w:val="22"/>
          <w:szCs w:val="22"/>
        </w:rPr>
        <w:t xml:space="preserve">Title: </w:t>
      </w:r>
      <w:r>
        <w:rPr>
          <w:rFonts w:ascii="Arial" w:cs="Arial" w:eastAsia="Arial" w:hAnsi="Arial"/>
          <w:sz w:val="22"/>
          <w:szCs w:val="22"/>
        </w:rPr>
        <w:t xml:space="preserve">Make it specific. Not “Cost of Living Analysis” but something like: “One Size Fits None: Measuring Differential Inflation by Housing Tenure in the UK, 2015–2023.”</w:t>
      </w:r>
    </w:p>
    <w:p>
      <w:pPr>
        <w:spacing w:after="160" w:line="276"/>
      </w:pPr>
      <w:r>
        <w:rPr>
          <w:rFonts w:ascii="Arial" w:cs="Arial" w:eastAsia="Arial" w:hAnsi="Arial"/>
          <w:b/>
          <w:bCs/>
          <w:sz w:val="22"/>
          <w:szCs w:val="22"/>
        </w:rPr>
        <w:t xml:space="preserve">Abstract structure: </w:t>
      </w:r>
      <w:r>
        <w:rPr>
          <w:rFonts w:ascii="Arial" w:cs="Arial" w:eastAsia="Arial" w:hAnsi="Arial"/>
          <w:sz w:val="22"/>
          <w:szCs w:val="22"/>
        </w:rPr>
        <w:t xml:space="preserve">(1) One sentence on context: the official CPIH assumes a single representative basket but tenure groups spend differently. (2) One sentence on data: LCF microdata (45,615 household-years), CPIH item-level indices, HCI validation. (3) Two sentences on methods: Laspeyres framework with lagged weights, plus modelling approaches. (4) Two sentences on key findings: 2.0pp peak inflation gap between mortgagors and private renters in 2022/23, driven by energy cost exposure. (5) One sentence on implications. Keep it under 200 words.</w:t>
      </w:r>
    </w:p>
    <w:p>
      <w:pPr>
        <w:pStyle w:val="Heading2"/>
        <w:spacing w:after="160" w:before="280"/>
      </w:pPr>
      <w:r>
        <w:rPr>
          <w:rFonts w:ascii="Arial" w:cs="Arial" w:eastAsia="Arial" w:hAnsi="Arial"/>
          <w:b/>
          <w:bCs/>
          <w:color w:val="2E75B6"/>
          <w:sz w:val="26"/>
          <w:szCs w:val="26"/>
        </w:rPr>
        <w:t xml:space="preserve">3.2 Introduction</w:t>
      </w:r>
    </w:p>
    <w:p>
      <w:pPr>
        <w:spacing w:after="160" w:line="276"/>
      </w:pPr>
      <w:r>
        <w:rPr>
          <w:rFonts w:ascii="Arial" w:cs="Arial" w:eastAsia="Arial" w:hAnsi="Arial"/>
          <w:b/>
          <w:bCs/>
          <w:sz w:val="22"/>
          <w:szCs w:val="22"/>
        </w:rPr>
        <w:t xml:space="preserve">Length: </w:t>
      </w:r>
      <w:r>
        <w:rPr>
          <w:rFonts w:ascii="Arial" w:cs="Arial" w:eastAsia="Arial" w:hAnsi="Arial"/>
          <w:sz w:val="22"/>
          <w:szCs w:val="22"/>
        </w:rPr>
        <w:t xml:space="preserve">Approximately 1 to 1.5 pages.</w:t>
      </w:r>
    </w:p>
    <w:p>
      <w:pPr>
        <w:spacing w:after="160" w:line="276"/>
      </w:pPr>
      <w:r>
        <w:rPr>
          <w:rFonts w:ascii="Arial" w:cs="Arial" w:eastAsia="Arial" w:hAnsi="Arial"/>
          <w:sz w:val="22"/>
          <w:szCs w:val="22"/>
        </w:rPr>
        <w:t xml:space="preserve">The introduction must accomplish five things:</w:t>
      </w:r>
    </w:p>
    <w:p>
      <w:pPr>
        <w:pStyle w:val="ListParagraph"/>
        <w:numPr>
          <w:ilvl w:val="0"/>
          <w:numId w:val="3"/>
        </w:numPr>
        <w:spacing w:after="100" w:line="276"/>
      </w:pPr>
      <w:r>
        <w:rPr>
          <w:rFonts w:ascii="Arial" w:cs="Arial" w:eastAsia="Arial" w:hAnsi="Arial"/>
          <w:b/>
          <w:bCs/>
          <w:sz w:val="22"/>
          <w:szCs w:val="22"/>
        </w:rPr>
        <w:t xml:space="preserve">Establish real-world context. </w:t>
      </w:r>
      <w:r>
        <w:rPr>
          <w:rFonts w:ascii="Arial" w:cs="Arial" w:eastAsia="Arial" w:hAnsi="Arial"/>
          <w:sz w:val="22"/>
          <w:szCs w:val="22"/>
        </w:rPr>
        <w:t xml:space="preserve">CPIH peaked at 9.6% in October 2022. But this headline figure masks substantial variation in how different households experience price changes. Cite ONS figures, Bank of England commentary, IFS research on differential inflation. Use 3–5 references.</w:t>
      </w:r>
    </w:p>
    <w:p>
      <w:pPr>
        <w:pStyle w:val="ListParagraph"/>
        <w:numPr>
          <w:ilvl w:val="0"/>
          <w:numId w:val="3"/>
        </w:numPr>
        <w:spacing w:after="100" w:line="276"/>
      </w:pPr>
      <w:r>
        <w:rPr>
          <w:rFonts w:ascii="Arial" w:cs="Arial" w:eastAsia="Arial" w:hAnsi="Arial"/>
          <w:b/>
          <w:bCs/>
          <w:sz w:val="22"/>
          <w:szCs w:val="22"/>
        </w:rPr>
        <w:t xml:space="preserve">Define the problem precisely. </w:t>
      </w:r>
      <w:r>
        <w:rPr>
          <w:rFonts w:ascii="Arial" w:cs="Arial" w:eastAsia="Arial" w:hAnsi="Arial"/>
          <w:sz w:val="22"/>
          <w:szCs w:val="22"/>
        </w:rPr>
        <w:t xml:space="preserve">The official CPIH weights spending categories using an average household basket. But a social renter who spends 25% on food and 20% on housing faces fundamentally different inflation than a mortgagor who spends 13% on food but 15% on mortgage interest. This project constructs tenure-specific inflation rates to quantify this gap.</w:t>
      </w:r>
    </w:p>
    <w:p>
      <w:pPr>
        <w:pStyle w:val="ListParagraph"/>
        <w:numPr>
          <w:ilvl w:val="0"/>
          <w:numId w:val="3"/>
        </w:numPr>
        <w:spacing w:after="100" w:line="276"/>
      </w:pPr>
      <w:r>
        <w:rPr>
          <w:rFonts w:ascii="Arial" w:cs="Arial" w:eastAsia="Arial" w:hAnsi="Arial"/>
          <w:b/>
          <w:bCs/>
          <w:sz w:val="22"/>
          <w:szCs w:val="22"/>
        </w:rPr>
        <w:t xml:space="preserve">State your research questions. </w:t>
      </w:r>
      <w:r>
        <w:rPr>
          <w:rFonts w:ascii="Arial" w:cs="Arial" w:eastAsia="Arial" w:hAnsi="Arial"/>
          <w:sz w:val="22"/>
          <w:szCs w:val="22"/>
        </w:rPr>
        <w:t xml:space="preserve">(a) How do expenditure baskets differ across tenure types? (b) Do these differences translate into measurably different experienced inflation rates? (c) Which COICOP categories drive the inflation gap between tenure groups? (d) Was the 2022–23 energy crisis disproportionately felt by specific tenure types?</w:t>
      </w:r>
    </w:p>
    <w:p>
      <w:pPr>
        <w:pStyle w:val="ListParagraph"/>
        <w:numPr>
          <w:ilvl w:val="0"/>
          <w:numId w:val="3"/>
        </w:numPr>
        <w:spacing w:after="100" w:line="276"/>
      </w:pPr>
      <w:r>
        <w:rPr>
          <w:rFonts w:ascii="Arial" w:cs="Arial" w:eastAsia="Arial" w:hAnsi="Arial"/>
          <w:b/>
          <w:bCs/>
          <w:sz w:val="22"/>
          <w:szCs w:val="22"/>
        </w:rPr>
        <w:t xml:space="preserve">Introduce your data sources. </w:t>
      </w:r>
      <w:r>
        <w:rPr>
          <w:rFonts w:ascii="Arial" w:cs="Arial" w:eastAsia="Arial" w:hAnsi="Arial"/>
          <w:sz w:val="22"/>
          <w:szCs w:val="22"/>
        </w:rPr>
        <w:t xml:space="preserve">LCF microdata (9 years, ~5,000 households/year), CPIH monthly indices from MM23 (134 months, 20 price series), and ONS HCI for validation.</w:t>
      </w:r>
    </w:p>
    <w:p>
      <w:pPr>
        <w:pStyle w:val="ListParagraph"/>
        <w:numPr>
          <w:ilvl w:val="0"/>
          <w:numId w:val="3"/>
        </w:numPr>
        <w:spacing w:after="100" w:line="276"/>
      </w:pPr>
      <w:r>
        <w:rPr>
          <w:rFonts w:ascii="Arial" w:cs="Arial" w:eastAsia="Arial" w:hAnsi="Arial"/>
          <w:b/>
          <w:bCs/>
          <w:sz w:val="22"/>
          <w:szCs w:val="22"/>
        </w:rPr>
        <w:t xml:space="preserve">Outline your approach. </w:t>
      </w:r>
      <w:r>
        <w:rPr>
          <w:rFonts w:ascii="Arial" w:cs="Arial" w:eastAsia="Arial" w:hAnsi="Arial"/>
          <w:sz w:val="22"/>
          <w:szCs w:val="22"/>
        </w:rPr>
        <w:t xml:space="preserve">Laspeyres index construction, exploratory analysis of expenditure heterogeneity, statistical testing and modelling of inflation drivers, validation against ONS HCI.</w:t>
      </w:r>
    </w:p>
    <w:p>
      <w:pPr>
        <w:pStyle w:val="Heading2"/>
        <w:spacing w:after="160" w:before="280"/>
      </w:pPr>
      <w:r>
        <w:rPr>
          <w:rFonts w:ascii="Arial" w:cs="Arial" w:eastAsia="Arial" w:hAnsi="Arial"/>
          <w:b/>
          <w:bCs/>
          <w:color w:val="2E75B6"/>
          <w:sz w:val="26"/>
          <w:szCs w:val="26"/>
        </w:rPr>
        <w:t xml:space="preserve">3.3 Data Preparation</w:t>
      </w:r>
    </w:p>
    <w:p>
      <w:pPr>
        <w:spacing w:after="160" w:line="276"/>
      </w:pPr>
      <w:r>
        <w:rPr>
          <w:rFonts w:ascii="Arial" w:cs="Arial" w:eastAsia="Arial" w:hAnsi="Arial"/>
          <w:b/>
          <w:bCs/>
          <w:sz w:val="22"/>
          <w:szCs w:val="22"/>
        </w:rPr>
        <w:t xml:space="preserve">Length: </w:t>
      </w:r>
      <w:r>
        <w:rPr>
          <w:rFonts w:ascii="Arial" w:cs="Arial" w:eastAsia="Arial" w:hAnsi="Arial"/>
          <w:sz w:val="22"/>
          <w:szCs w:val="22"/>
        </w:rPr>
        <w:t xml:space="preserve">Approximately 1 to 1.5 pages.</w:t>
      </w:r>
    </w:p>
    <w:p>
      <w:pPr>
        <w:spacing w:after="160" w:line="276"/>
      </w:pPr>
      <w:r>
        <w:rPr>
          <w:rFonts w:ascii="Arial" w:cs="Arial" w:eastAsia="Arial" w:hAnsi="Arial"/>
          <w:sz w:val="22"/>
          <w:szCs w:val="22"/>
        </w:rPr>
        <w:t xml:space="preserve">This section must demonstrate systematic, robust data wrangling. Document every step.</w:t>
      </w:r>
    </w:p>
    <w:p>
      <w:pPr>
        <w:spacing w:after="120" w:before="200"/>
      </w:pPr>
      <w:r>
        <w:rPr>
          <w:rFonts w:ascii="Arial" w:cs="Arial" w:eastAsia="Arial" w:hAnsi="Arial"/>
          <w:b/>
          <w:bCs/>
          <w:color w:val="404040"/>
          <w:sz w:val="24"/>
          <w:szCs w:val="24"/>
        </w:rPr>
        <w:t xml:space="preserve">3.3.1 Data Acquisition</w:t>
      </w:r>
    </w:p>
    <w:p>
      <w:pPr>
        <w:spacing w:after="160" w:line="276"/>
      </w:pPr>
      <w:r>
        <w:rPr>
          <w:rFonts w:ascii="Arial" w:cs="Arial" w:eastAsia="Arial" w:hAnsi="Arial"/>
          <w:sz w:val="22"/>
          <w:szCs w:val="22"/>
        </w:rPr>
        <w:t xml:space="preserve">Describe each dataset in a concise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026"/>
        <w:gridCol w:w="220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Dataset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2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Granularity</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Variables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LCF Microdata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Data Service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FY 2015/16–2023/24</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Household-year (~5,000/yr)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COICOP expenditure, tenure, income, demographics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CPIH Indices (MM23)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Jan 2015–present</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national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COICOP division indices + sub-indices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HCI Validation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2015–2024</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by household group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All-items indices by tenure, income, retirement</w:t>
            </w:r>
          </w:p>
        </w:tc>
      </w:tr>
    </w:tbl>
    <w:p>
      <w:pPr>
        <w:spacing w:after="160" w:line="276"/>
      </w:pPr>
      <w:r>
        <w:t xml:space="preserve"/>
      </w:r>
    </w:p>
    <w:p>
      <w:pPr>
        <w:spacing w:after="120" w:before="200"/>
      </w:pPr>
      <w:r>
        <w:rPr>
          <w:rFonts w:ascii="Arial" w:cs="Arial" w:eastAsia="Arial" w:hAnsi="Arial"/>
          <w:b/>
          <w:bCs/>
          <w:color w:val="404040"/>
          <w:sz w:val="24"/>
          <w:szCs w:val="24"/>
        </w:rPr>
        <w:t xml:space="preserve">3.3.2 Cleaning and Transformation</w:t>
      </w:r>
    </w:p>
    <w:p>
      <w:pPr>
        <w:pStyle w:val="ListParagraph"/>
        <w:numPr>
          <w:ilvl w:val="0"/>
          <w:numId w:val="2"/>
        </w:numPr>
        <w:spacing w:after="100" w:line="276"/>
      </w:pPr>
      <w:r>
        <w:rPr>
          <w:rFonts w:ascii="Arial" w:cs="Arial" w:eastAsia="Arial" w:hAnsi="Arial"/>
          <w:b/>
          <w:bCs/>
          <w:sz w:val="22"/>
          <w:szCs w:val="22"/>
        </w:rPr>
        <w:t xml:space="preserve">Expenditure cleaning: </w:t>
      </w:r>
      <w:r>
        <w:rPr>
          <w:rFonts w:ascii="Arial" w:cs="Arial" w:eastAsia="Arial" w:hAnsi="Arial"/>
          <w:sz w:val="22"/>
          <w:szCs w:val="22"/>
        </w:rPr>
        <w:t xml:space="preserve">Set negative COICOP division totals to NaN. Remove households with demonstrably incomplete diaries: negative total expenditure (7), zero food (296), zero housing (50) = 350 removed (0.76%). Justify why domain-based filtering is used rather than winsorisation (shares are compositional and sum to ~1.0; clipping individual shares breaks the budget constraint).</w:t>
      </w:r>
    </w:p>
    <w:p>
      <w:pPr>
        <w:pStyle w:val="ListParagraph"/>
        <w:numPr>
          <w:ilvl w:val="0"/>
          <w:numId w:val="2"/>
        </w:numPr>
        <w:spacing w:after="100" w:line="276"/>
      </w:pPr>
      <w:r>
        <w:rPr>
          <w:rFonts w:ascii="Arial" w:cs="Arial" w:eastAsia="Arial" w:hAnsi="Arial"/>
          <w:b/>
          <w:bCs/>
          <w:sz w:val="22"/>
          <w:szCs w:val="22"/>
        </w:rPr>
        <w:t xml:space="preserve">COICOP 04 decomposition: </w:t>
      </w:r>
      <w:r>
        <w:rPr>
          <w:rFonts w:ascii="Arial" w:cs="Arial" w:eastAsia="Arial" w:hAnsi="Arial"/>
          <w:sz w:val="22"/>
          <w:szCs w:val="22"/>
        </w:rPr>
        <w:t xml:space="preserve">The composite housing_fuel_power index (~25% rents, ~75% energy) is problematic because energy spiked while rents were stable. Derive a non-rent housing fuel component via OLS on monthly index levels. This is a key methodological contribution.</w:t>
      </w:r>
    </w:p>
    <w:p>
      <w:pPr>
        <w:pStyle w:val="ListParagraph"/>
        <w:numPr>
          <w:ilvl w:val="0"/>
          <w:numId w:val="2"/>
        </w:numPr>
        <w:spacing w:after="100" w:line="276"/>
      </w:pPr>
      <w:r>
        <w:rPr>
          <w:rFonts w:ascii="Arial" w:cs="Arial" w:eastAsia="Arial" w:hAnsi="Arial"/>
          <w:b/>
          <w:bCs/>
          <w:sz w:val="22"/>
          <w:szCs w:val="22"/>
        </w:rPr>
        <w:t xml:space="preserve">Tenure classification: </w:t>
      </w:r>
      <w:r>
        <w:rPr>
          <w:rFonts w:ascii="Arial" w:cs="Arial" w:eastAsia="Arial" w:hAnsi="Arial"/>
          <w:sz w:val="22"/>
          <w:szCs w:val="22"/>
        </w:rPr>
        <w:t xml:space="preserve">Map LCF tenure codes to 4 groups (social rent, private rent, own outright, own mortgage). Exclude rent-free (~50 households/year, below 100-observation minimum for reliable estimates).</w:t>
      </w:r>
    </w:p>
    <w:p>
      <w:pPr>
        <w:pStyle w:val="ListParagraph"/>
        <w:numPr>
          <w:ilvl w:val="0"/>
          <w:numId w:val="2"/>
        </w:numPr>
        <w:spacing w:after="100" w:line="276"/>
      </w:pPr>
      <w:r>
        <w:rPr>
          <w:rFonts w:ascii="Arial" w:cs="Arial" w:eastAsia="Arial" w:hAnsi="Arial"/>
          <w:b/>
          <w:bCs/>
          <w:sz w:val="22"/>
          <w:szCs w:val="22"/>
        </w:rPr>
        <w:t xml:space="preserve">Income quintiles: </w:t>
      </w:r>
      <w:r>
        <w:rPr>
          <w:rFonts w:ascii="Arial" w:cs="Arial" w:eastAsia="Arial" w:hAnsi="Arial"/>
          <w:sz w:val="22"/>
          <w:szCs w:val="22"/>
        </w:rPr>
        <w:t xml:space="preserve">Weighted quintiles using equivalised income (modified OECD scale) and survey grossing weights. Computed within each year for population-representative quintiles.</w:t>
      </w:r>
    </w:p>
    <w:p>
      <w:pPr>
        <w:pStyle w:val="ListParagraph"/>
        <w:numPr>
          <w:ilvl w:val="0"/>
          <w:numId w:val="2"/>
        </w:numPr>
        <w:spacing w:after="100" w:line="276"/>
      </w:pPr>
      <w:r>
        <w:rPr>
          <w:rFonts w:ascii="Arial" w:cs="Arial" w:eastAsia="Arial" w:hAnsi="Arial"/>
          <w:b/>
          <w:bCs/>
          <w:sz w:val="22"/>
          <w:szCs w:val="22"/>
        </w:rPr>
        <w:t xml:space="preserve">HRP age bands: </w:t>
      </w:r>
      <w:r>
        <w:rPr>
          <w:rFonts w:ascii="Arial" w:cs="Arial" w:eastAsia="Arial" w:hAnsi="Arial"/>
          <w:sz w:val="22"/>
          <w:szCs w:val="22"/>
        </w:rPr>
        <w:t xml:space="preserve">Continuous HRP age binned into 5 bands (under 30, 30–49, 50–64, 65–74, 75+).</w:t>
      </w:r>
    </w:p>
    <w:p>
      <w:pPr>
        <w:pBdr>
          <w:left w:val="single" w:color="2E75B6" w:sz="6" w:space="8"/>
        </w:pBdr>
        <w:spacing w:after="160" w:line="276"/>
        <w:ind w:left="360" w:right="360"/>
      </w:pPr>
      <w:r>
        <w:rPr>
          <w:rFonts w:ascii="Arial" w:cs="Arial" w:eastAsia="Arial" w:hAnsi="Arial"/>
          <w:b/>
          <w:bCs/>
          <w:sz w:val="22"/>
          <w:szCs w:val="22"/>
        </w:rPr>
        <w:t xml:space="preserve">Marks Booster: </w:t>
      </w:r>
      <w:r>
        <w:rPr>
          <w:rFonts w:ascii="Arial" w:cs="Arial" w:eastAsia="Arial" w:hAnsi="Arial"/>
          <w:sz w:val="22"/>
          <w:szCs w:val="22"/>
        </w:rPr>
        <w:t xml:space="preserve">Include a data pipeline flowchart showing: Raw LCF Stata files → wrangle_lcf.py → expenditure shares + archetypes → combine with CPIH indices → Laspeyres inflation rates → validate against HCI. This demonstrates systematic thinking and is easy to create.</w:t>
      </w:r>
    </w:p>
    <w:p>
      <w:pPr>
        <w:pStyle w:val="Heading2"/>
        <w:spacing w:after="160" w:before="280"/>
      </w:pPr>
      <w:r>
        <w:rPr>
          <w:rFonts w:ascii="Arial" w:cs="Arial" w:eastAsia="Arial" w:hAnsi="Arial"/>
          <w:b/>
          <w:bCs/>
          <w:color w:val="2E75B6"/>
          <w:sz w:val="26"/>
          <w:szCs w:val="26"/>
        </w:rPr>
        <w:t xml:space="preserve">3.4 Data Exploration</w:t>
      </w:r>
    </w:p>
    <w:p>
      <w:pPr>
        <w:spacing w:after="160" w:line="276"/>
      </w:pPr>
      <w:r>
        <w:rPr>
          <w:rFonts w:ascii="Arial" w:cs="Arial" w:eastAsia="Arial" w:hAnsi="Arial"/>
          <w:b/>
          <w:bCs/>
          <w:sz w:val="22"/>
          <w:szCs w:val="22"/>
        </w:rPr>
        <w:t xml:space="preserve">Length: </w:t>
      </w:r>
      <w:r>
        <w:rPr>
          <w:rFonts w:ascii="Arial" w:cs="Arial" w:eastAsia="Arial" w:hAnsi="Arial"/>
          <w:sz w:val="22"/>
          <w:szCs w:val="22"/>
        </w:rPr>
        <w:t xml:space="preserve">Approximately 1.5 to 2 pages (figure-heavy).</w:t>
      </w:r>
    </w:p>
    <w:p>
      <w:pPr>
        <w:spacing w:after="120" w:before="200"/>
      </w:pPr>
      <w:r>
        <w:rPr>
          <w:rFonts w:ascii="Arial" w:cs="Arial" w:eastAsia="Arial" w:hAnsi="Arial"/>
          <w:b/>
          <w:bCs/>
          <w:color w:val="404040"/>
          <w:sz w:val="24"/>
          <w:szCs w:val="24"/>
        </w:rPr>
        <w:t xml:space="preserve">3.4.1 Expenditure Basket Heterogeneity</w:t>
      </w:r>
    </w:p>
    <w:p>
      <w:pPr>
        <w:pStyle w:val="ListParagraph"/>
        <w:numPr>
          <w:ilvl w:val="0"/>
          <w:numId w:val="2"/>
        </w:numPr>
        <w:spacing w:after="100" w:line="276"/>
      </w:pPr>
      <w:r>
        <w:rPr>
          <w:rFonts w:ascii="Arial" w:cs="Arial" w:eastAsia="Arial" w:hAnsi="Arial"/>
          <w:b/>
          <w:bCs/>
          <w:sz w:val="22"/>
          <w:szCs w:val="22"/>
        </w:rPr>
        <w:t xml:space="preserve">Stacked bar chart of COICOP shares by tenure type. </w:t>
      </w:r>
      <w:r>
        <w:rPr>
          <w:rFonts w:ascii="Arial" w:cs="Arial" w:eastAsia="Arial" w:hAnsi="Arial"/>
          <w:sz w:val="22"/>
          <w:szCs w:val="22"/>
        </w:rPr>
        <w:t xml:space="preserve">This is the KEY figure. It shows that social renters allocate ~25% to food and ~20% to housing vs mortgagors at ~13% food and ~15% mortgage. The structural difference in baskets is the mechanism driving differential inflation.</w:t>
      </w:r>
    </w:p>
    <w:p>
      <w:pPr>
        <w:pStyle w:val="ListParagraph"/>
        <w:numPr>
          <w:ilvl w:val="0"/>
          <w:numId w:val="2"/>
        </w:numPr>
        <w:spacing w:after="100" w:line="276"/>
      </w:pPr>
      <w:r>
        <w:rPr>
          <w:rFonts w:ascii="Arial" w:cs="Arial" w:eastAsia="Arial" w:hAnsi="Arial"/>
          <w:b/>
          <w:bCs/>
          <w:sz w:val="22"/>
          <w:szCs w:val="22"/>
        </w:rPr>
        <w:t xml:space="preserve">Density plot of “essentials” share (food + energy + housing) by income quintile. </w:t>
      </w:r>
      <w:r>
        <w:rPr>
          <w:rFonts w:ascii="Arial" w:cs="Arial" w:eastAsia="Arial" w:hAnsi="Arial"/>
          <w:sz w:val="22"/>
          <w:szCs w:val="22"/>
        </w:rPr>
        <w:t xml:space="preserve">Shows that Q1 households spend 45%+ on essentials vs ~25% for Q5. Complements the tenure story with an income angle.</w:t>
      </w:r>
    </w:p>
    <w:p>
      <w:pPr>
        <w:spacing w:after="120" w:before="200"/>
      </w:pPr>
      <w:r>
        <w:rPr>
          <w:rFonts w:ascii="Arial" w:cs="Arial" w:eastAsia="Arial" w:hAnsi="Arial"/>
          <w:b/>
          <w:bCs/>
          <w:color w:val="404040"/>
          <w:sz w:val="24"/>
          <w:szCs w:val="24"/>
        </w:rPr>
        <w:t xml:space="preserve">3.4.2 Price Environment</w:t>
      </w:r>
    </w:p>
    <w:p>
      <w:pPr>
        <w:pStyle w:val="ListParagraph"/>
        <w:numPr>
          <w:ilvl w:val="0"/>
          <w:numId w:val="2"/>
        </w:numPr>
        <w:spacing w:after="100" w:line="276"/>
      </w:pPr>
      <w:r>
        <w:rPr>
          <w:rFonts w:ascii="Arial" w:cs="Arial" w:eastAsia="Arial" w:hAnsi="Arial"/>
          <w:b/>
          <w:bCs/>
          <w:sz w:val="22"/>
          <w:szCs w:val="22"/>
        </w:rPr>
        <w:t xml:space="preserve">Annotated CPIH time series (2015–2023). </w:t>
      </w:r>
      <w:r>
        <w:rPr>
          <w:rFonts w:ascii="Arial" w:cs="Arial" w:eastAsia="Arial" w:hAnsi="Arial"/>
          <w:sz w:val="22"/>
          <w:szCs w:val="22"/>
        </w:rPr>
        <w:t xml:space="preserve">Plot 5–6 key divisions (food, energy, transport, housing, all-items). Annotate COVID (2020), energy crisis (2022–23). The energy index hitting 175 (base 2015=100) while rents only reached 133 explains why energy-exposed tenure groups faced higher inflation.</w:t>
      </w:r>
    </w:p>
    <w:p>
      <w:pPr>
        <w:spacing w:after="120" w:before="200"/>
      </w:pPr>
      <w:r>
        <w:rPr>
          <w:rFonts w:ascii="Arial" w:cs="Arial" w:eastAsia="Arial" w:hAnsi="Arial"/>
          <w:b/>
          <w:bCs/>
          <w:color w:val="404040"/>
          <w:sz w:val="24"/>
          <w:szCs w:val="24"/>
        </w:rPr>
        <w:t xml:space="preserve">3.4.3 Correlation Analysis</w:t>
      </w:r>
    </w:p>
    <w:p>
      <w:pPr>
        <w:pStyle w:val="ListParagraph"/>
        <w:numPr>
          <w:ilvl w:val="0"/>
          <w:numId w:val="2"/>
        </w:numPr>
        <w:spacing w:after="100" w:line="276"/>
      </w:pPr>
      <w:r>
        <w:rPr>
          <w:rFonts w:ascii="Arial" w:cs="Arial" w:eastAsia="Arial" w:hAnsi="Arial"/>
          <w:b/>
          <w:bCs/>
          <w:sz w:val="22"/>
          <w:szCs w:val="22"/>
        </w:rPr>
        <w:t xml:space="preserve">Correlation heatmap of expenditure shares. </w:t>
      </w:r>
      <w:r>
        <w:rPr>
          <w:rFonts w:ascii="Arial" w:cs="Arial" w:eastAsia="Arial" w:hAnsi="Arial"/>
          <w:sz w:val="22"/>
          <w:szCs w:val="22"/>
        </w:rPr>
        <w:t xml:space="preserve">Shows which spending categories trade off against each other. High housing share correlates with low recreation share. This reveals the structural constraints in household budgets.</w:t>
      </w:r>
    </w:p>
    <w:p>
      <w:pPr>
        <w:spacing w:after="120" w:before="200"/>
      </w:pPr>
      <w:r>
        <w:rPr>
          <w:rFonts w:ascii="Arial" w:cs="Arial" w:eastAsia="Arial" w:hAnsi="Arial"/>
          <w:b/>
          <w:bCs/>
          <w:color w:val="404040"/>
          <w:sz w:val="24"/>
          <w:szCs w:val="24"/>
        </w:rPr>
        <w:t xml:space="preserve">3.4.4 Summary Statistics</w:t>
      </w:r>
    </w:p>
    <w:p>
      <w:pPr>
        <w:pStyle w:val="ListParagraph"/>
        <w:numPr>
          <w:ilvl w:val="0"/>
          <w:numId w:val="2"/>
        </w:numPr>
        <w:spacing w:after="100" w:line="276"/>
      </w:pPr>
      <w:r>
        <w:rPr>
          <w:rFonts w:ascii="Arial" w:cs="Arial" w:eastAsia="Arial" w:hAnsi="Arial"/>
          <w:sz w:val="22"/>
          <w:szCs w:val="22"/>
        </w:rPr>
        <w:t xml:space="preserve">Concise table of means, medians, and standard deviations for key expenditure shares and income, broken down by tenure type.</w:t>
      </w:r>
    </w:p>
    <w:p>
      <w:pPr>
        <w:pBdr>
          <w:left w:val="single" w:color="2E75B6" w:sz="6" w:space="8"/>
        </w:pBdr>
        <w:spacing w:after="160" w:line="276"/>
        <w:ind w:left="360" w:right="360"/>
      </w:pPr>
      <w:r>
        <w:rPr>
          <w:rFonts w:ascii="Arial" w:cs="Arial" w:eastAsia="Arial" w:hAnsi="Arial"/>
          <w:b/>
          <w:bCs/>
          <w:sz w:val="22"/>
          <w:szCs w:val="22"/>
        </w:rPr>
        <w:t xml:space="preserve">Key Principle: </w:t>
      </w:r>
      <w:r>
        <w:rPr>
          <w:rFonts w:ascii="Arial" w:cs="Arial" w:eastAsia="Arial" w:hAnsi="Arial"/>
          <w:sz w:val="22"/>
          <w:szCs w:val="22"/>
        </w:rPr>
        <w:t xml:space="preserve">Every figure must be referenced and discussed in the text. Never include a figure without explaining what it shows and what insight it provides. Both example reports follow this rule meticulously.</w:t>
      </w:r>
    </w:p>
    <w:p>
      <w:pPr>
        <w:pStyle w:val="Heading2"/>
        <w:spacing w:after="160" w:before="280"/>
      </w:pPr>
      <w:r>
        <w:rPr>
          <w:rFonts w:ascii="Arial" w:cs="Arial" w:eastAsia="Arial" w:hAnsi="Arial"/>
          <w:b/>
          <w:bCs/>
          <w:color w:val="2E75B6"/>
          <w:sz w:val="26"/>
          <w:szCs w:val="26"/>
        </w:rPr>
        <w:t xml:space="preserve">3.5 Data Modelling, Visualisation, and Analysis</w:t>
      </w:r>
    </w:p>
    <w:p>
      <w:pPr>
        <w:spacing w:after="160" w:line="276"/>
      </w:pPr>
      <w:r>
        <w:rPr>
          <w:rFonts w:ascii="Arial" w:cs="Arial" w:eastAsia="Arial" w:hAnsi="Arial"/>
          <w:b/>
          <w:bCs/>
          <w:sz w:val="22"/>
          <w:szCs w:val="22"/>
        </w:rPr>
        <w:t xml:space="preserve">Length: </w:t>
      </w:r>
      <w:r>
        <w:rPr>
          <w:rFonts w:ascii="Arial" w:cs="Arial" w:eastAsia="Arial" w:hAnsi="Arial"/>
          <w:sz w:val="22"/>
          <w:szCs w:val="22"/>
        </w:rPr>
        <w:t xml:space="preserve">Approximately 3 to 3.5 pages. This is the heart of your report and worth 40% of the mark.</w:t>
      </w:r>
    </w:p>
    <w:p>
      <w:pPr>
        <w:spacing w:after="160" w:line="276"/>
      </w:pPr>
      <w:r>
        <w:rPr>
          <w:rFonts w:ascii="Arial" w:cs="Arial" w:eastAsia="Arial" w:hAnsi="Arial"/>
          <w:sz w:val="22"/>
          <w:szCs w:val="22"/>
        </w:rPr>
        <w:t xml:space="preserve">You need multiple complementary modelling approaches. Here is a recommended combination of three methods tailored to your tenure-focused differential inflation analysis:</w:t>
      </w:r>
    </w:p>
    <w:p>
      <w:pPr>
        <w:spacing w:after="120" w:before="200"/>
      </w:pPr>
      <w:r>
        <w:rPr>
          <w:rFonts w:ascii="Arial" w:cs="Arial" w:eastAsia="Arial" w:hAnsi="Arial"/>
          <w:b/>
          <w:bCs/>
          <w:color w:val="404040"/>
          <w:sz w:val="24"/>
          <w:szCs w:val="24"/>
        </w:rPr>
        <w:t xml:space="preserve">Method 1: OLS Regression — What Drives the Tenure Inflation Gap?</w:t>
      </w:r>
    </w:p>
    <w:p>
      <w:pPr>
        <w:spacing w:after="160" w:line="276"/>
      </w:pPr>
      <w:r>
        <w:rPr>
          <w:rFonts w:ascii="Arial" w:cs="Arial" w:eastAsia="Arial" w:hAnsi="Arial"/>
          <w:b/>
          <w:bCs/>
          <w:sz w:val="22"/>
          <w:szCs w:val="22"/>
        </w:rPr>
        <w:t xml:space="preserve">What to do: </w:t>
      </w:r>
      <w:r>
        <w:rPr>
          <w:rFonts w:ascii="Arial" w:cs="Arial" w:eastAsia="Arial" w:hAnsi="Arial"/>
          <w:sz w:val="22"/>
          <w:szCs w:val="22"/>
        </w:rPr>
        <w:t xml:space="preserve">Regress group-level inflation rates on expenditure share composition to identify which COICOP categories drive inflation differences between tenure types.</w:t>
      </w:r>
    </w:p>
    <w:p>
      <w:pPr>
        <w:spacing w:after="160" w:line="276"/>
      </w:pPr>
      <w:r>
        <w:rPr>
          <w:rFonts w:ascii="Arial" w:cs="Arial" w:eastAsia="Arial" w:hAnsi="Arial"/>
          <w:b/>
          <w:bCs/>
          <w:sz w:val="22"/>
          <w:szCs w:val="22"/>
        </w:rPr>
        <w:t xml:space="preserve">Why this works for your project: </w:t>
      </w:r>
      <w:r>
        <w:rPr>
          <w:rFonts w:ascii="Arial" w:cs="Arial" w:eastAsia="Arial" w:hAnsi="Arial"/>
          <w:sz w:val="22"/>
          <w:szCs w:val="22"/>
        </w:rPr>
        <w:t xml:space="preserve">It directly answers “why do mortgagors face higher peak inflation than private renters?” The answer (energy share exposure, food share, housing composition) falls out of the regression coefficients.</w:t>
      </w:r>
    </w:p>
    <w:p>
      <w:pPr>
        <w:spacing w:after="160" w:line="276"/>
      </w:pPr>
      <w:r>
        <w:rPr>
          <w:rFonts w:ascii="Arial" w:cs="Arial" w:eastAsia="Arial" w:hAnsi="Arial"/>
          <w:sz w:val="22"/>
          <w:szCs w:val="22"/>
        </w:rPr>
        <w:t xml:space="preserve">Implementation steps:</w:t>
      </w:r>
    </w:p>
    <w:p>
      <w:pPr>
        <w:pStyle w:val="ListParagraph"/>
        <w:numPr>
          <w:ilvl w:val="0"/>
          <w:numId w:val="3"/>
        </w:numPr>
        <w:spacing w:after="100" w:line="276"/>
      </w:pPr>
      <w:r>
        <w:rPr>
          <w:rFonts w:ascii="Arial" w:cs="Arial" w:eastAsia="Arial" w:hAnsi="Arial"/>
          <w:sz w:val="22"/>
          <w:szCs w:val="22"/>
        </w:rPr>
        <w:t xml:space="preserve">Use the group-year inflation rates (135 observations: 3 dimensions × groups × 9 years) as your dependent variable.</w:t>
      </w:r>
    </w:p>
    <w:p>
      <w:pPr>
        <w:pStyle w:val="ListParagraph"/>
        <w:numPr>
          <w:ilvl w:val="0"/>
          <w:numId w:val="3"/>
        </w:numPr>
        <w:spacing w:after="100" w:line="276"/>
      </w:pPr>
      <w:r>
        <w:rPr>
          <w:rFonts w:ascii="Arial" w:cs="Arial" w:eastAsia="Arial" w:hAnsi="Arial"/>
          <w:sz w:val="22"/>
          <w:szCs w:val="22"/>
        </w:rPr>
        <w:t xml:space="preserve">Use weighted-average expenditure shares as predictors (12 COICOP shares per group-year).</w:t>
      </w:r>
    </w:p>
    <w:p>
      <w:pPr>
        <w:pStyle w:val="ListParagraph"/>
        <w:numPr>
          <w:ilvl w:val="0"/>
          <w:numId w:val="3"/>
        </w:numPr>
        <w:spacing w:after="100" w:line="276"/>
      </w:pPr>
      <w:r>
        <w:rPr>
          <w:rFonts w:ascii="Arial" w:cs="Arial" w:eastAsia="Arial" w:hAnsi="Arial"/>
          <w:sz w:val="22"/>
          <w:szCs w:val="22"/>
        </w:rPr>
        <w:t xml:space="preserve">Fit OLS with statsmodels. Report R², adjusted R², coefficient p-values, and confidence intervals.</w:t>
      </w:r>
    </w:p>
    <w:p>
      <w:pPr>
        <w:pStyle w:val="ListParagraph"/>
        <w:numPr>
          <w:ilvl w:val="0"/>
          <w:numId w:val="3"/>
        </w:numPr>
        <w:spacing w:after="100" w:line="276"/>
      </w:pPr>
      <w:r>
        <w:rPr>
          <w:rFonts w:ascii="Arial" w:cs="Arial" w:eastAsia="Arial" w:hAnsi="Arial"/>
          <w:sz w:val="22"/>
          <w:szCs w:val="22"/>
        </w:rPr>
        <w:t xml:space="preserve">Consider an Oaxaca-Blinder decomposition to formally decompose the inflation gap between e.g. mortgagors vs private renters into “explained by different shares” vs “explained by different price exposures.”</w:t>
      </w:r>
    </w:p>
    <w:p>
      <w:pPr>
        <w:pStyle w:val="ListParagraph"/>
        <w:numPr>
          <w:ilvl w:val="0"/>
          <w:numId w:val="3"/>
        </w:numPr>
        <w:spacing w:after="100" w:line="276"/>
      </w:pPr>
      <w:r>
        <w:rPr>
          <w:rFonts w:ascii="Arial" w:cs="Arial" w:eastAsia="Arial" w:hAnsi="Arial"/>
          <w:sz w:val="22"/>
          <w:szCs w:val="22"/>
        </w:rPr>
        <w:t xml:space="preserve">Create a coefficient bar chart showing which expenditure categories predict higher inflation.</w:t>
      </w:r>
    </w:p>
    <w:p>
      <w:pPr>
        <w:spacing w:after="120" w:before="200"/>
      </w:pPr>
      <w:r>
        <w:rPr>
          <w:rFonts w:ascii="Arial" w:cs="Arial" w:eastAsia="Arial" w:hAnsi="Arial"/>
          <w:b/>
          <w:bCs/>
          <w:color w:val="404040"/>
          <w:sz w:val="24"/>
          <w:szCs w:val="24"/>
        </w:rPr>
        <w:t xml:space="preserve">Method 2: Random Forest + SHAP — Non-Linear Feature Importance</w:t>
      </w:r>
    </w:p>
    <w:p>
      <w:pPr>
        <w:spacing w:after="160" w:line="276"/>
      </w:pPr>
      <w:r>
        <w:rPr>
          <w:rFonts w:ascii="Arial" w:cs="Arial" w:eastAsia="Arial" w:hAnsi="Arial"/>
          <w:b/>
          <w:bCs/>
          <w:sz w:val="22"/>
          <w:szCs w:val="22"/>
        </w:rPr>
        <w:t xml:space="preserve">What to do: </w:t>
      </w:r>
      <w:r>
        <w:rPr>
          <w:rFonts w:ascii="Arial" w:cs="Arial" w:eastAsia="Arial" w:hAnsi="Arial"/>
          <w:sz w:val="22"/>
          <w:szCs w:val="22"/>
        </w:rPr>
        <w:t xml:space="preserve">Train a Random Forest regressor to predict household-level inflation exposure from expenditure shares and household characteristics. Use SHAP values for interpretable feature importance.</w:t>
      </w:r>
    </w:p>
    <w:p>
      <w:pPr>
        <w:spacing w:after="160" w:line="276"/>
      </w:pPr>
      <w:r>
        <w:rPr>
          <w:rFonts w:ascii="Arial" w:cs="Arial" w:eastAsia="Arial" w:hAnsi="Arial"/>
          <w:b/>
          <w:bCs/>
          <w:sz w:val="22"/>
          <w:szCs w:val="22"/>
        </w:rPr>
        <w:t xml:space="preserve">Why this works: </w:t>
      </w:r>
      <w:r>
        <w:rPr>
          <w:rFonts w:ascii="Arial" w:cs="Arial" w:eastAsia="Arial" w:hAnsi="Arial"/>
          <w:sz w:val="22"/>
          <w:szCs w:val="22"/>
        </w:rPr>
        <w:t xml:space="preserve">RF captures non-linear interactions (e.g. the combination of high energy share AND low income may matter more than either alone). SHAP values provide both global importance rankings and individual household explanations.</w:t>
      </w:r>
    </w:p>
    <w:p>
      <w:pPr>
        <w:spacing w:after="160" w:line="276"/>
      </w:pPr>
      <w:r>
        <w:rPr>
          <w:rFonts w:ascii="Arial" w:cs="Arial" w:eastAsia="Arial" w:hAnsi="Arial"/>
          <w:sz w:val="22"/>
          <w:szCs w:val="22"/>
        </w:rPr>
        <w:t xml:space="preserve">Implementation steps:</w:t>
      </w:r>
    </w:p>
    <w:p>
      <w:pPr>
        <w:pStyle w:val="ListParagraph"/>
        <w:numPr>
          <w:ilvl w:val="0"/>
          <w:numId w:val="3"/>
        </w:numPr>
        <w:spacing w:after="100" w:line="276"/>
      </w:pPr>
      <w:r>
        <w:rPr>
          <w:rFonts w:ascii="Arial" w:cs="Arial" w:eastAsia="Arial" w:hAnsi="Arial"/>
          <w:sz w:val="22"/>
          <w:szCs w:val="22"/>
        </w:rPr>
        <w:t xml:space="preserve">Construct a household-level inflation proxy: for each household, compute inflation = Σ(share_i × price_change_i) using their individual shares.</w:t>
      </w:r>
    </w:p>
    <w:p>
      <w:pPr>
        <w:pStyle w:val="ListParagraph"/>
        <w:numPr>
          <w:ilvl w:val="0"/>
          <w:numId w:val="3"/>
        </w:numPr>
        <w:spacing w:after="100" w:line="276"/>
      </w:pPr>
      <w:r>
        <w:rPr>
          <w:rFonts w:ascii="Arial" w:cs="Arial" w:eastAsia="Arial" w:hAnsi="Arial"/>
          <w:sz w:val="22"/>
          <w:szCs w:val="22"/>
        </w:rPr>
        <w:t xml:space="preserve">Train Random Forest with household characteristics (tenure, income quintile, age band) and expenditure shares as features.</w:t>
      </w:r>
    </w:p>
    <w:p>
      <w:pPr>
        <w:pStyle w:val="ListParagraph"/>
        <w:numPr>
          <w:ilvl w:val="0"/>
          <w:numId w:val="3"/>
        </w:numPr>
        <w:spacing w:after="100" w:line="276"/>
      </w:pPr>
      <w:r>
        <w:rPr>
          <w:rFonts w:ascii="Arial" w:cs="Arial" w:eastAsia="Arial" w:hAnsi="Arial"/>
          <w:sz w:val="22"/>
          <w:szCs w:val="22"/>
        </w:rPr>
        <w:t xml:space="preserve">Use TimeSeriesSplit for cross-validation (NOT random K-fold, since data is temporal).</w:t>
      </w:r>
    </w:p>
    <w:p>
      <w:pPr>
        <w:pStyle w:val="ListParagraph"/>
        <w:numPr>
          <w:ilvl w:val="0"/>
          <w:numId w:val="3"/>
        </w:numPr>
        <w:spacing w:after="100" w:line="276"/>
      </w:pPr>
      <w:r>
        <w:rPr>
          <w:rFonts w:ascii="Arial" w:cs="Arial" w:eastAsia="Arial" w:hAnsi="Arial"/>
          <w:sz w:val="22"/>
          <w:szCs w:val="22"/>
        </w:rPr>
        <w:t xml:space="preserve">Compute SHAP values using the shap library. Create a SHAP summary plot (beeswarm) showing feature importance.</w:t>
      </w:r>
    </w:p>
    <w:p>
      <w:pPr>
        <w:pStyle w:val="ListParagraph"/>
        <w:numPr>
          <w:ilvl w:val="0"/>
          <w:numId w:val="3"/>
        </w:numPr>
        <w:spacing w:after="100" w:line="276"/>
      </w:pPr>
      <w:r>
        <w:rPr>
          <w:rFonts w:ascii="Arial" w:cs="Arial" w:eastAsia="Arial" w:hAnsi="Arial"/>
          <w:sz w:val="22"/>
          <w:szCs w:val="22"/>
        </w:rPr>
        <w:t xml:space="preserve">Compare RF performance against OLS baseline in a consolidated results table. Report RMSE, MAE, R².</w:t>
      </w:r>
    </w:p>
    <w:p>
      <w:pPr>
        <w:spacing w:after="120" w:before="200"/>
      </w:pPr>
      <w:r>
        <w:rPr>
          <w:rFonts w:ascii="Arial" w:cs="Arial" w:eastAsia="Arial" w:hAnsi="Arial"/>
          <w:b/>
          <w:bCs/>
          <w:color w:val="404040"/>
          <w:sz w:val="24"/>
          <w:szCs w:val="24"/>
        </w:rPr>
        <w:t xml:space="preserve">Method 3: Bootstrap Significance Testing + HCI Validation</w:t>
      </w:r>
    </w:p>
    <w:p>
      <w:pPr>
        <w:spacing w:after="160" w:line="276"/>
      </w:pPr>
      <w:r>
        <w:rPr>
          <w:rFonts w:ascii="Arial" w:cs="Arial" w:eastAsia="Arial" w:hAnsi="Arial"/>
          <w:b/>
          <w:bCs/>
          <w:sz w:val="22"/>
          <w:szCs w:val="22"/>
        </w:rPr>
        <w:t xml:space="preserve">What to do: </w:t>
      </w:r>
      <w:r>
        <w:rPr>
          <w:rFonts w:ascii="Arial" w:cs="Arial" w:eastAsia="Arial" w:hAnsi="Arial"/>
          <w:sz w:val="22"/>
          <w:szCs w:val="22"/>
        </w:rPr>
        <w:t xml:space="preserve">Test whether the observed inflation gaps between tenure groups are statistically significant using bootstrap confidence intervals on household-level weighted data. Then validate your Laspeyres estimates against the ONS Household Costs Indices.</w:t>
      </w:r>
    </w:p>
    <w:p>
      <w:pPr>
        <w:spacing w:after="160" w:line="276"/>
      </w:pPr>
      <w:r>
        <w:rPr>
          <w:rFonts w:ascii="Arial" w:cs="Arial" w:eastAsia="Arial" w:hAnsi="Arial"/>
          <w:b/>
          <w:bCs/>
          <w:sz w:val="22"/>
          <w:szCs w:val="22"/>
        </w:rPr>
        <w:t xml:space="preserve">Why this works: </w:t>
      </w:r>
      <w:r>
        <w:rPr>
          <w:rFonts w:ascii="Arial" w:cs="Arial" w:eastAsia="Arial" w:hAnsi="Arial"/>
          <w:sz w:val="22"/>
          <w:szCs w:val="22"/>
        </w:rPr>
        <w:t xml:space="preserve">Your inflation rates are weighted group aggregates from ~5,000 households/year. Standard t-tests on 9 yearly values have very low power (n=9). Bootstrap resampling of the underlying household-level data gives proper uncertainty quantification. HCI validation shows your methodology is credible.</w:t>
      </w:r>
    </w:p>
    <w:p>
      <w:pPr>
        <w:spacing w:after="160" w:line="276"/>
      </w:pPr>
      <w:r>
        <w:rPr>
          <w:rFonts w:ascii="Arial" w:cs="Arial" w:eastAsia="Arial" w:hAnsi="Arial"/>
          <w:sz w:val="22"/>
          <w:szCs w:val="22"/>
        </w:rPr>
        <w:t xml:space="preserve">Implementation steps:</w:t>
      </w:r>
    </w:p>
    <w:p>
      <w:pPr>
        <w:pStyle w:val="ListParagraph"/>
        <w:numPr>
          <w:ilvl w:val="0"/>
          <w:numId w:val="3"/>
        </w:numPr>
        <w:spacing w:after="100" w:line="276"/>
      </w:pPr>
      <w:r>
        <w:rPr>
          <w:rFonts w:ascii="Arial" w:cs="Arial" w:eastAsia="Arial" w:hAnsi="Arial"/>
          <w:sz w:val="22"/>
          <w:szCs w:val="22"/>
        </w:rPr>
        <w:t xml:space="preserve">For each pair of tenure groups (e.g. mortgagor vs private renter), bootstrap 10,000 resamples of household-level weighted inflation. Compute 95% confidence intervals for the gap.</w:t>
      </w:r>
    </w:p>
    <w:p>
      <w:pPr>
        <w:pStyle w:val="ListParagraph"/>
        <w:numPr>
          <w:ilvl w:val="0"/>
          <w:numId w:val="3"/>
        </w:numPr>
        <w:spacing w:after="100" w:line="276"/>
      </w:pPr>
      <w:r>
        <w:rPr>
          <w:rFonts w:ascii="Arial" w:cs="Arial" w:eastAsia="Arial" w:hAnsi="Arial"/>
          <w:sz w:val="22"/>
          <w:szCs w:val="22"/>
        </w:rPr>
        <w:t xml:space="preserve">Report whether the CI excludes zero (statistically significant gap).</w:t>
      </w:r>
    </w:p>
    <w:p>
      <w:pPr>
        <w:pStyle w:val="ListParagraph"/>
        <w:numPr>
          <w:ilvl w:val="0"/>
          <w:numId w:val="3"/>
        </w:numPr>
        <w:spacing w:after="100" w:line="276"/>
      </w:pPr>
      <w:r>
        <w:rPr>
          <w:rFonts w:ascii="Arial" w:cs="Arial" w:eastAsia="Arial" w:hAnsi="Arial"/>
          <w:sz w:val="22"/>
          <w:szCs w:val="22"/>
        </w:rPr>
        <w:t xml:space="preserve">Compute your Laspeyres estimates alongside ONS HCI for matching tenure groups. Create a scatter plot (your estimate vs HCI) with a 45-degree reference line.</w:t>
      </w:r>
    </w:p>
    <w:p>
      <w:pPr>
        <w:pStyle w:val="ListParagraph"/>
        <w:numPr>
          <w:ilvl w:val="0"/>
          <w:numId w:val="3"/>
        </w:numPr>
        <w:spacing w:after="100" w:line="276"/>
      </w:pPr>
      <w:r>
        <w:rPr>
          <w:rFonts w:ascii="Arial" w:cs="Arial" w:eastAsia="Arial" w:hAnsi="Arial"/>
          <w:sz w:val="22"/>
          <w:szCs w:val="22"/>
        </w:rPr>
        <w:t xml:space="preserve">Report correlation and RMSE between your estimates and HCI. This validates that your methodology is sound.</w:t>
      </w:r>
    </w:p>
    <w:p>
      <w:pPr>
        <w:pStyle w:val="ListParagraph"/>
        <w:numPr>
          <w:ilvl w:val="0"/>
          <w:numId w:val="3"/>
        </w:numPr>
        <w:spacing w:after="100" w:line="276"/>
      </w:pPr>
      <w:r>
        <w:rPr>
          <w:rFonts w:ascii="Arial" w:cs="Arial" w:eastAsia="Arial" w:hAnsi="Arial"/>
          <w:sz w:val="22"/>
          <w:szCs w:val="22"/>
        </w:rPr>
        <w:t xml:space="preserve">Discuss any systematic bias (e.g. your estimates may be slightly higher because you use a different housing decomposition).</w:t>
      </w:r>
    </w:p>
    <w:p>
      <w:pPr>
        <w:spacing w:after="120" w:before="200"/>
      </w:pPr>
      <w:r>
        <w:rPr>
          <w:rFonts w:ascii="Arial" w:cs="Arial" w:eastAsia="Arial" w:hAnsi="Arial"/>
          <w:b/>
          <w:bCs/>
          <w:color w:val="404040"/>
          <w:sz w:val="24"/>
          <w:szCs w:val="24"/>
        </w:rPr>
        <w:t xml:space="preserve">Evaluation Framework</w:t>
      </w:r>
    </w:p>
    <w:p>
      <w:pPr>
        <w:spacing w:after="160" w:line="276"/>
      </w:pPr>
      <w:r>
        <w:rPr>
          <w:rFonts w:ascii="Arial" w:cs="Arial" w:eastAsia="Arial" w:hAnsi="Arial"/>
          <w:sz w:val="22"/>
          <w:szCs w:val="22"/>
        </w:rPr>
        <w:t xml:space="preserve">For every model, provide rigorous evaluation following the example reports:</w:t>
      </w:r>
    </w:p>
    <w:p>
      <w:pPr>
        <w:pStyle w:val="ListParagraph"/>
        <w:numPr>
          <w:ilvl w:val="0"/>
          <w:numId w:val="2"/>
        </w:numPr>
        <w:spacing w:after="100" w:line="276"/>
      </w:pPr>
      <w:r>
        <w:rPr>
          <w:rFonts w:ascii="Arial" w:cs="Arial" w:eastAsia="Arial" w:hAnsi="Arial"/>
          <w:b/>
          <w:bCs/>
          <w:sz w:val="22"/>
          <w:szCs w:val="22"/>
        </w:rPr>
        <w:t xml:space="preserve">Baseline comparison: </w:t>
      </w:r>
      <w:r>
        <w:rPr>
          <w:rFonts w:ascii="Arial" w:cs="Arial" w:eastAsia="Arial" w:hAnsi="Arial"/>
          <w:sz w:val="22"/>
          <w:szCs w:val="22"/>
        </w:rPr>
        <w:t xml:space="preserve">Compare against a naive baseline (predict mean inflation for all groups). Both example reports use baselines.</w:t>
      </w:r>
    </w:p>
    <w:p>
      <w:pPr>
        <w:pStyle w:val="ListParagraph"/>
        <w:numPr>
          <w:ilvl w:val="0"/>
          <w:numId w:val="2"/>
        </w:numPr>
        <w:spacing w:after="100" w:line="276"/>
      </w:pPr>
      <w:r>
        <w:rPr>
          <w:rFonts w:ascii="Arial" w:cs="Arial" w:eastAsia="Arial" w:hAnsi="Arial"/>
          <w:b/>
          <w:bCs/>
          <w:sz w:val="22"/>
          <w:szCs w:val="22"/>
        </w:rPr>
        <w:t xml:space="preserve">Appropriate metrics: </w:t>
      </w:r>
      <w:r>
        <w:rPr>
          <w:rFonts w:ascii="Arial" w:cs="Arial" w:eastAsia="Arial" w:hAnsi="Arial"/>
          <w:sz w:val="22"/>
          <w:szCs w:val="22"/>
        </w:rPr>
        <w:t xml:space="preserve">For regression: R², RMSE, MAE. For significance testing: confidence intervals and p-values. For validation: correlation with HCI.</w:t>
      </w:r>
    </w:p>
    <w:p>
      <w:pPr>
        <w:pStyle w:val="ListParagraph"/>
        <w:numPr>
          <w:ilvl w:val="0"/>
          <w:numId w:val="2"/>
        </w:numPr>
        <w:spacing w:after="100" w:line="276"/>
      </w:pPr>
      <w:r>
        <w:rPr>
          <w:rFonts w:ascii="Arial" w:cs="Arial" w:eastAsia="Arial" w:hAnsi="Arial"/>
          <w:b/>
          <w:bCs/>
          <w:sz w:val="22"/>
          <w:szCs w:val="22"/>
        </w:rPr>
        <w:t xml:space="preserve">Clear results table: </w:t>
      </w:r>
      <w:r>
        <w:rPr>
          <w:rFonts w:ascii="Arial" w:cs="Arial" w:eastAsia="Arial" w:hAnsi="Arial"/>
          <w:sz w:val="22"/>
          <w:szCs w:val="22"/>
        </w:rPr>
        <w:t xml:space="preserve">Present all model results in a single comparison table (like the example reports’ Table I/II). This is essential.</w:t>
      </w:r>
    </w:p>
    <w:p>
      <w:pPr>
        <w:pStyle w:val="ListParagraph"/>
        <w:numPr>
          <w:ilvl w:val="0"/>
          <w:numId w:val="2"/>
        </w:numPr>
        <w:spacing w:after="100" w:line="276"/>
      </w:pPr>
      <w:r>
        <w:rPr>
          <w:rFonts w:ascii="Arial" w:cs="Arial" w:eastAsia="Arial" w:hAnsi="Arial"/>
          <w:b/>
          <w:bCs/>
          <w:sz w:val="22"/>
          <w:szCs w:val="22"/>
        </w:rPr>
        <w:t xml:space="preserve">Honest assessment: </w:t>
      </w:r>
      <w:r>
        <w:rPr>
          <w:rFonts w:ascii="Arial" w:cs="Arial" w:eastAsia="Arial" w:hAnsi="Arial"/>
          <w:sz w:val="22"/>
          <w:szCs w:val="22"/>
        </w:rPr>
        <w:t xml:space="preserve">Discuss what worked and what didn’t. If OLS outperforms RF (which is common for small n), explain why.</w:t>
      </w:r>
    </w:p>
    <w:p>
      <w:pPr>
        <w:pStyle w:val="Heading2"/>
        <w:spacing w:after="160" w:before="280"/>
      </w:pPr>
      <w:r>
        <w:rPr>
          <w:rFonts w:ascii="Arial" w:cs="Arial" w:eastAsia="Arial" w:hAnsi="Arial"/>
          <w:b/>
          <w:bCs/>
          <w:color w:val="2E75B6"/>
          <w:sz w:val="26"/>
          <w:szCs w:val="26"/>
        </w:rPr>
        <w:t xml:space="preserve">3.6 Findings</w:t>
      </w:r>
    </w:p>
    <w:p>
      <w:pPr>
        <w:spacing w:after="160" w:line="276"/>
      </w:pPr>
      <w:r>
        <w:rPr>
          <w:rFonts w:ascii="Arial" w:cs="Arial" w:eastAsia="Arial" w:hAnsi="Arial"/>
          <w:b/>
          <w:bCs/>
          <w:sz w:val="22"/>
          <w:szCs w:val="22"/>
        </w:rPr>
        <w:t xml:space="preserve">Length: </w:t>
      </w:r>
      <w:r>
        <w:rPr>
          <w:rFonts w:ascii="Arial" w:cs="Arial" w:eastAsia="Arial" w:hAnsi="Arial"/>
          <w:sz w:val="22"/>
          <w:szCs w:val="22"/>
        </w:rPr>
        <w:t xml:space="preserve">Approximately 1 to 1.5 pages.</w:t>
      </w:r>
    </w:p>
    <w:p>
      <w:pPr>
        <w:spacing w:after="160" w:line="276"/>
      </w:pPr>
      <w:r>
        <w:rPr>
          <w:rFonts w:ascii="Arial" w:cs="Arial" w:eastAsia="Arial" w:hAnsi="Arial"/>
          <w:sz w:val="22"/>
          <w:szCs w:val="22"/>
        </w:rPr>
        <w:t xml:space="preserve">Structure around your research questions:</w:t>
      </w:r>
    </w:p>
    <w:p>
      <w:pPr>
        <w:spacing w:after="120" w:before="200"/>
      </w:pPr>
      <w:r>
        <w:rPr>
          <w:rFonts w:ascii="Arial" w:cs="Arial" w:eastAsia="Arial" w:hAnsi="Arial"/>
          <w:b/>
          <w:bCs/>
          <w:color w:val="404040"/>
          <w:sz w:val="24"/>
          <w:szCs w:val="24"/>
        </w:rPr>
        <w:t xml:space="preserve">Finding 1: Tenure Groups Have Structurally Different Baskets</w:t>
      </w:r>
    </w:p>
    <w:p>
      <w:pPr>
        <w:spacing w:after="160" w:line="276"/>
      </w:pPr>
      <w:r>
        <w:rPr>
          <w:rFonts w:ascii="Arial" w:cs="Arial" w:eastAsia="Arial" w:hAnsi="Arial"/>
          <w:sz w:val="22"/>
          <w:szCs w:val="22"/>
        </w:rPr>
        <w:t xml:space="preserve">Social renters allocate ~25% to food vs ~13% for mortgagors. Energy/housing shares differ dramatically. These are not marginal differences — they represent fundamentally different consumption patterns driven by housing circumstances.</w:t>
      </w:r>
    </w:p>
    <w:p>
      <w:pPr>
        <w:spacing w:after="120" w:before="200"/>
      </w:pPr>
      <w:r>
        <w:rPr>
          <w:rFonts w:ascii="Arial" w:cs="Arial" w:eastAsia="Arial" w:hAnsi="Arial"/>
          <w:b/>
          <w:bCs/>
          <w:color w:val="404040"/>
          <w:sz w:val="24"/>
          <w:szCs w:val="24"/>
        </w:rPr>
        <w:t xml:space="preserve">Finding 2: The 2022–23 Energy Crisis Amplified Tenure Disparities</w:t>
      </w:r>
    </w:p>
    <w:p>
      <w:pPr>
        <w:spacing w:after="160" w:line="276"/>
      </w:pPr>
      <w:r>
        <w:rPr>
          <w:rFonts w:ascii="Arial" w:cs="Arial" w:eastAsia="Arial" w:hAnsi="Arial"/>
          <w:sz w:val="22"/>
          <w:szCs w:val="22"/>
        </w:rPr>
        <w:t xml:space="preserve">Peak inflation gap of 2.0pp between mortgagors (9.9%) and private renters (7.9%). The energy price index hit 175 (2015=100) while rents only reached 133. Tenure groups with higher energy shares bore disproportionate cost. Present your decomposition showing which COICOP categories drove the gap.</w:t>
      </w:r>
    </w:p>
    <w:p>
      <w:pPr>
        <w:spacing w:after="120" w:before="200"/>
      </w:pPr>
      <w:r>
        <w:rPr>
          <w:rFonts w:ascii="Arial" w:cs="Arial" w:eastAsia="Arial" w:hAnsi="Arial"/>
          <w:b/>
          <w:bCs/>
          <w:color w:val="404040"/>
          <w:sz w:val="24"/>
          <w:szCs w:val="24"/>
        </w:rPr>
        <w:t xml:space="preserve">Finding 3: Model Insights on Inflation Drivers</w:t>
      </w:r>
    </w:p>
    <w:p>
      <w:pPr>
        <w:spacing w:after="160" w:line="276"/>
      </w:pPr>
      <w:r>
        <w:rPr>
          <w:rFonts w:ascii="Arial" w:cs="Arial" w:eastAsia="Arial" w:hAnsi="Arial"/>
          <w:sz w:val="22"/>
          <w:szCs w:val="22"/>
        </w:rPr>
        <w:t xml:space="preserve">Present your regression coefficients and SHAP values. Which expenditure categories most strongly predict higher inflation? Does the relationship change during crisis vs non-crisis years? The feature importance chart should directly answer “why do tenure groups face different inflation?”</w:t>
      </w:r>
    </w:p>
    <w:p>
      <w:pPr>
        <w:spacing w:after="120" w:before="200"/>
      </w:pPr>
      <w:r>
        <w:rPr>
          <w:rFonts w:ascii="Arial" w:cs="Arial" w:eastAsia="Arial" w:hAnsi="Arial"/>
          <w:b/>
          <w:bCs/>
          <w:color w:val="404040"/>
          <w:sz w:val="24"/>
          <w:szCs w:val="24"/>
        </w:rPr>
        <w:t xml:space="preserve">Finding 4: Estimates Validated Against ONS HCI</w:t>
      </w:r>
    </w:p>
    <w:p>
      <w:pPr>
        <w:spacing w:after="160" w:line="276"/>
      </w:pPr>
      <w:r>
        <w:rPr>
          <w:rFonts w:ascii="Arial" w:cs="Arial" w:eastAsia="Arial" w:hAnsi="Arial"/>
          <w:sz w:val="22"/>
          <w:szCs w:val="22"/>
        </w:rPr>
        <w:t xml:space="preserve">Your Laspeyres estimates correlate strongly with ONS HCI tenure breakdowns (report the r value). Any systematic differences can be explained by methodological choices (housing decomposition, weight timing).</w:t>
      </w:r>
    </w:p>
    <w:p>
      <w:pPr>
        <w:pBdr>
          <w:left w:val="single" w:color="2E75B6" w:sz="6" w:space="8"/>
        </w:pBdr>
        <w:spacing w:after="160" w:line="276"/>
        <w:ind w:left="360" w:right="360"/>
      </w:pPr>
      <w:r>
        <w:rPr>
          <w:rFonts w:ascii="Arial" w:cs="Arial" w:eastAsia="Arial" w:hAnsi="Arial"/>
          <w:b/>
          <w:bCs/>
          <w:sz w:val="22"/>
          <w:szCs w:val="22"/>
        </w:rPr>
        <w:t xml:space="preserve">Marks Booster: </w:t>
      </w:r>
      <w:r>
        <w:rPr>
          <w:rFonts w:ascii="Arial" w:cs="Arial" w:eastAsia="Arial" w:hAnsi="Arial"/>
          <w:sz w:val="22"/>
          <w:szCs w:val="22"/>
        </w:rPr>
        <w:t xml:space="preserve">Include one unexpected or counterintuitive finding. For example: private renters faced LOWER peak inflation than social renters despite both being “renters” — because private renters have younger HRPs with higher transport and recreation shares, which deflated during COVID and didn’t spike as sharply during the energy crisis.</w:t>
      </w:r>
    </w:p>
    <w:p>
      <w:pPr>
        <w:pStyle w:val="Heading2"/>
        <w:spacing w:after="160" w:before="280"/>
      </w:pPr>
      <w:r>
        <w:rPr>
          <w:rFonts w:ascii="Arial" w:cs="Arial" w:eastAsia="Arial" w:hAnsi="Arial"/>
          <w:b/>
          <w:bCs/>
          <w:color w:val="2E75B6"/>
          <w:sz w:val="26"/>
          <w:szCs w:val="26"/>
        </w:rPr>
        <w:t xml:space="preserve">3.7 Discussion and Conclusion</w:t>
      </w:r>
    </w:p>
    <w:p>
      <w:pPr>
        <w:spacing w:after="160" w:line="276"/>
      </w:pPr>
      <w:r>
        <w:rPr>
          <w:rFonts w:ascii="Arial" w:cs="Arial" w:eastAsia="Arial" w:hAnsi="Arial"/>
          <w:b/>
          <w:bCs/>
          <w:sz w:val="22"/>
          <w:szCs w:val="22"/>
        </w:rPr>
        <w:t xml:space="preserve">Length: </w:t>
      </w:r>
      <w:r>
        <w:rPr>
          <w:rFonts w:ascii="Arial" w:cs="Arial" w:eastAsia="Arial" w:hAnsi="Arial"/>
          <w:sz w:val="22"/>
          <w:szCs w:val="22"/>
        </w:rPr>
        <w:t xml:space="preserve">Approximately 1 to 1.5 pages.</w:t>
      </w:r>
    </w:p>
    <w:p>
      <w:pPr>
        <w:spacing w:after="120" w:before="200"/>
      </w:pPr>
      <w:r>
        <w:rPr>
          <w:rFonts w:ascii="Arial" w:cs="Arial" w:eastAsia="Arial" w:hAnsi="Arial"/>
          <w:b/>
          <w:bCs/>
          <w:color w:val="404040"/>
          <w:sz w:val="24"/>
          <w:szCs w:val="24"/>
        </w:rPr>
        <w:t xml:space="preserve">Limitations</w:t>
      </w:r>
    </w:p>
    <w:p>
      <w:pPr>
        <w:pStyle w:val="ListParagraph"/>
        <w:numPr>
          <w:ilvl w:val="0"/>
          <w:numId w:val="2"/>
        </w:numPr>
        <w:spacing w:after="100" w:line="276"/>
      </w:pPr>
      <w:r>
        <w:rPr>
          <w:rFonts w:ascii="Arial" w:cs="Arial" w:eastAsia="Arial" w:hAnsi="Arial"/>
          <w:b/>
          <w:bCs/>
          <w:sz w:val="22"/>
          <w:szCs w:val="22"/>
        </w:rPr>
        <w:t xml:space="preserve">National prices miss regional variation: </w:t>
      </w:r>
      <w:r>
        <w:rPr>
          <w:rFonts w:ascii="Arial" w:cs="Arial" w:eastAsia="Arial" w:hAnsi="Arial"/>
          <w:sz w:val="22"/>
          <w:szCs w:val="22"/>
        </w:rPr>
        <w:t xml:space="preserve">CPIH indices are national. A London private renter and a Welsh private renter face different actual rents, but your model applies the same national rent index to both. Regional price indices are not published by ONS at sufficient granularity.</w:t>
      </w:r>
    </w:p>
    <w:p>
      <w:pPr>
        <w:pStyle w:val="ListParagraph"/>
        <w:numPr>
          <w:ilvl w:val="0"/>
          <w:numId w:val="2"/>
        </w:numPr>
        <w:spacing w:after="100" w:line="276"/>
      </w:pPr>
      <w:r>
        <w:rPr>
          <w:rFonts w:ascii="Arial" w:cs="Arial" w:eastAsia="Arial" w:hAnsi="Arial"/>
          <w:b/>
          <w:bCs/>
          <w:sz w:val="22"/>
          <w:szCs w:val="22"/>
        </w:rPr>
        <w:t xml:space="preserve">Laspeyres assumes fixed baskets: </w:t>
      </w:r>
      <w:r>
        <w:rPr>
          <w:rFonts w:ascii="Arial" w:cs="Arial" w:eastAsia="Arial" w:hAnsi="Arial"/>
          <w:sz w:val="22"/>
          <w:szCs w:val="22"/>
        </w:rPr>
        <w:t xml:space="preserve">Within each year, households are assumed to maintain their spending patterns. In reality, households substitute away from expensive categories (e.g. switching from beef to chicken when food prices rise). This substitution bias means your estimates may slightly overstate inflation for groups with high food/energy shares.</w:t>
      </w:r>
    </w:p>
    <w:p>
      <w:pPr>
        <w:pStyle w:val="ListParagraph"/>
        <w:numPr>
          <w:ilvl w:val="0"/>
          <w:numId w:val="2"/>
        </w:numPr>
        <w:spacing w:after="100" w:line="276"/>
      </w:pPr>
      <w:r>
        <w:rPr>
          <w:rFonts w:ascii="Arial" w:cs="Arial" w:eastAsia="Arial" w:hAnsi="Arial"/>
          <w:b/>
          <w:bCs/>
          <w:sz w:val="22"/>
          <w:szCs w:val="22"/>
        </w:rPr>
        <w:t xml:space="preserve">Rent-free tenure excluded: </w:t>
      </w:r>
      <w:r>
        <w:rPr>
          <w:rFonts w:ascii="Arial" w:cs="Arial" w:eastAsia="Arial" w:hAnsi="Arial"/>
          <w:sz w:val="22"/>
          <w:szCs w:val="22"/>
        </w:rPr>
        <w:t xml:space="preserve">Only ~50 households/year, below the 100-observation minimum for reliable estimates. This is a transparent methodological choice.</w:t>
      </w:r>
    </w:p>
    <w:p>
      <w:pPr>
        <w:pStyle w:val="ListParagraph"/>
        <w:numPr>
          <w:ilvl w:val="0"/>
          <w:numId w:val="2"/>
        </w:numPr>
        <w:spacing w:after="100" w:line="276"/>
      </w:pPr>
      <w:r>
        <w:rPr>
          <w:rFonts w:ascii="Arial" w:cs="Arial" w:eastAsia="Arial" w:hAnsi="Arial"/>
          <w:b/>
          <w:bCs/>
          <w:sz w:val="22"/>
          <w:szCs w:val="22"/>
        </w:rPr>
        <w:t xml:space="preserve">Survey representativeness: </w:t>
      </w:r>
      <w:r>
        <w:rPr>
          <w:rFonts w:ascii="Arial" w:cs="Arial" w:eastAsia="Arial" w:hAnsi="Arial"/>
          <w:sz w:val="22"/>
          <w:szCs w:val="22"/>
        </w:rPr>
        <w:t xml:space="preserve">LCF samples ~5,000 households/year with grossing weights. COVID years (2019/20, 2020/21) had reduced fieldwork and altered spending patterns.</w:t>
      </w:r>
    </w:p>
    <w:p>
      <w:pPr>
        <w:spacing w:after="120" w:before="200"/>
      </w:pPr>
      <w:r>
        <w:rPr>
          <w:rFonts w:ascii="Arial" w:cs="Arial" w:eastAsia="Arial" w:hAnsi="Arial"/>
          <w:b/>
          <w:bCs/>
          <w:color w:val="404040"/>
          <w:sz w:val="24"/>
          <w:szCs w:val="24"/>
        </w:rPr>
        <w:t xml:space="preserve">Implications for End Users</w:t>
      </w:r>
    </w:p>
    <w:p>
      <w:pPr>
        <w:spacing w:after="160" w:line="276"/>
      </w:pPr>
      <w:r>
        <w:rPr>
          <w:rFonts w:ascii="Arial" w:cs="Arial" w:eastAsia="Arial" w:hAnsi="Arial"/>
          <w:sz w:val="22"/>
          <w:szCs w:val="22"/>
        </w:rPr>
        <w:t xml:space="preserve">Policymakers could use tenure-specific inflation rates to better target cost-of-living support (e.g. energy price caps benefiting high-energy-share households more). Consumer groups could advise vulnerable tenure types on budgeting. The ONS itself publishes HCI as experimental statistics — your work validates and extends this approach.</w:t>
      </w:r>
    </w:p>
    <w:p>
      <w:pPr>
        <w:spacing w:after="120" w:before="200"/>
      </w:pPr>
      <w:r>
        <w:rPr>
          <w:rFonts w:ascii="Arial" w:cs="Arial" w:eastAsia="Arial" w:hAnsi="Arial"/>
          <w:b/>
          <w:bCs/>
          <w:color w:val="404040"/>
          <w:sz w:val="24"/>
          <w:szCs w:val="24"/>
        </w:rPr>
        <w:t xml:space="preserve">Future Work</w:t>
      </w:r>
    </w:p>
    <w:p>
      <w:pPr>
        <w:pStyle w:val="ListParagraph"/>
        <w:numPr>
          <w:ilvl w:val="0"/>
          <w:numId w:val="2"/>
        </w:numPr>
        <w:spacing w:after="100" w:line="276"/>
      </w:pPr>
      <w:r>
        <w:rPr>
          <w:rFonts w:ascii="Arial" w:cs="Arial" w:eastAsia="Arial" w:hAnsi="Arial"/>
          <w:sz w:val="22"/>
          <w:szCs w:val="22"/>
        </w:rPr>
        <w:t xml:space="preserve">Incorporate regional price indices when ONS publishes them at sufficient granularity.</w:t>
      </w:r>
    </w:p>
    <w:p>
      <w:pPr>
        <w:pStyle w:val="ListParagraph"/>
        <w:numPr>
          <w:ilvl w:val="0"/>
          <w:numId w:val="2"/>
        </w:numPr>
        <w:spacing w:after="100" w:line="276"/>
      </w:pPr>
      <w:r>
        <w:rPr>
          <w:rFonts w:ascii="Arial" w:cs="Arial" w:eastAsia="Arial" w:hAnsi="Arial"/>
          <w:sz w:val="22"/>
          <w:szCs w:val="22"/>
        </w:rPr>
        <w:t xml:space="preserve">Construct real income trajectories by combining tenure-specific inflation with wage/benefit data.</w:t>
      </w:r>
    </w:p>
    <w:p>
      <w:pPr>
        <w:pStyle w:val="ListParagraph"/>
        <w:numPr>
          <w:ilvl w:val="0"/>
          <w:numId w:val="2"/>
        </w:numPr>
        <w:spacing w:after="100" w:line="276"/>
      </w:pPr>
      <w:r>
        <w:rPr>
          <w:rFonts w:ascii="Arial" w:cs="Arial" w:eastAsia="Arial" w:hAnsi="Arial"/>
          <w:sz w:val="22"/>
          <w:szCs w:val="22"/>
        </w:rPr>
        <w:t xml:space="preserve">Cross-tabulate tenure with income quintile (e.g. “low-income private renters”) for finer-grained policy targeting.</w:t>
      </w:r>
    </w:p>
    <w:p>
      <w:pPr>
        <w:pStyle w:val="ListParagraph"/>
        <w:numPr>
          <w:ilvl w:val="0"/>
          <w:numId w:val="2"/>
        </w:numPr>
        <w:spacing w:after="100" w:line="276"/>
      </w:pPr>
      <w:r>
        <w:rPr>
          <w:rFonts w:ascii="Arial" w:cs="Arial" w:eastAsia="Arial" w:hAnsi="Arial"/>
          <w:sz w:val="22"/>
          <w:szCs w:val="22"/>
        </w:rPr>
        <w:t xml:space="preserve">Build an interactive dashboard for real-time monitoring of differential inflation.</w:t>
      </w:r>
    </w:p>
    <w:p>
      <w:r>
        <w:br w:type="page"/>
      </w:r>
    </w:p>
    <w:p>
      <w:pPr>
        <w:pStyle w:val="Heading1"/>
        <w:spacing w:after="200" w:before="360"/>
      </w:pPr>
      <w:r>
        <w:rPr>
          <w:rFonts w:ascii="Arial" w:cs="Arial" w:eastAsia="Arial" w:hAnsi="Arial"/>
          <w:b/>
          <w:bCs/>
          <w:color w:val="1F3864"/>
          <w:sz w:val="32"/>
          <w:szCs w:val="32"/>
        </w:rPr>
        <w:t xml:space="preserve">4. Data Sources: What You Have and How They Fit Together</w:t>
      </w:r>
    </w:p>
    <w:p>
      <w:pPr>
        <w:pStyle w:val="Heading2"/>
        <w:spacing w:after="160" w:before="280"/>
      </w:pPr>
      <w:r>
        <w:rPr>
          <w:rFonts w:ascii="Arial" w:cs="Arial" w:eastAsia="Arial" w:hAnsi="Arial"/>
          <w:b/>
          <w:bCs/>
          <w:color w:val="2E75B6"/>
          <w:sz w:val="26"/>
          <w:szCs w:val="26"/>
        </w:rPr>
        <w:t xml:space="preserve">Primary Datasets</w:t>
      </w:r>
    </w:p>
    <w:p>
      <w:pPr>
        <w:pStyle w:val="ListParagraph"/>
        <w:numPr>
          <w:ilvl w:val="0"/>
          <w:numId w:val="3"/>
        </w:numPr>
        <w:spacing w:after="100" w:line="276"/>
      </w:pPr>
      <w:r>
        <w:rPr>
          <w:rFonts w:ascii="Arial" w:cs="Arial" w:eastAsia="Arial" w:hAnsi="Arial"/>
          <w:b/>
          <w:bCs/>
          <w:sz w:val="22"/>
          <w:szCs w:val="22"/>
        </w:rPr>
        <w:t xml:space="preserve">LCF Microdata (Living Costs and Food Survey): </w:t>
      </w:r>
      <w:r>
        <w:rPr>
          <w:rFonts w:ascii="Arial" w:cs="Arial" w:eastAsia="Arial" w:hAnsi="Arial"/>
          <w:sz w:val="22"/>
          <w:szCs w:val="22"/>
        </w:rPr>
        <w:t xml:space="preserve">The foundation of the project. 9 years of household-level expenditure diaries (dvhh) and person-level demographics (dvper) from the UK Data Service. Each year has ~5,000 households with ~22 variables after slimming. The key outputs are 12 COICOP expenditure shares per household plus 3 archetype classifications (tenure type, income quintile, HRP age band).</w:t>
      </w:r>
    </w:p>
    <w:p>
      <w:pPr>
        <w:pStyle w:val="ListParagraph"/>
        <w:numPr>
          <w:ilvl w:val="0"/>
          <w:numId w:val="3"/>
        </w:numPr>
        <w:spacing w:after="100" w:line="276"/>
      </w:pPr>
      <w:r>
        <w:rPr>
          <w:rFonts w:ascii="Arial" w:cs="Arial" w:eastAsia="Arial" w:hAnsi="Arial"/>
          <w:b/>
          <w:bCs/>
          <w:sz w:val="22"/>
          <w:szCs w:val="22"/>
        </w:rPr>
        <w:t xml:space="preserve">CPIH Indices (MM23): </w:t>
      </w:r>
      <w:r>
        <w:rPr>
          <w:rFonts w:ascii="Arial" w:cs="Arial" w:eastAsia="Arial" w:hAnsi="Arial"/>
          <w:sz w:val="22"/>
          <w:szCs w:val="22"/>
        </w:rPr>
        <w:t xml:space="preserve">The ONS master price dataset. 134 months of item-level price indices (2015=100) across 12 COICOP divisions plus sub-indices for actual rents and electricity/gas/fuels. Downloaded as a single wide CSV (~4,000 columns) and reshaped into a monthly panel.</w:t>
      </w:r>
    </w:p>
    <w:p>
      <w:pPr>
        <w:pStyle w:val="ListParagraph"/>
        <w:numPr>
          <w:ilvl w:val="0"/>
          <w:numId w:val="3"/>
        </w:numPr>
        <w:spacing w:after="100" w:line="276"/>
      </w:pPr>
      <w:r>
        <w:rPr>
          <w:rFonts w:ascii="Arial" w:cs="Arial" w:eastAsia="Arial" w:hAnsi="Arial"/>
          <w:b/>
          <w:bCs/>
          <w:sz w:val="22"/>
          <w:szCs w:val="22"/>
        </w:rPr>
        <w:t xml:space="preserve">HCI Validation (Household Costs Indices): </w:t>
      </w:r>
      <w:r>
        <w:rPr>
          <w:rFonts w:ascii="Arial" w:cs="Arial" w:eastAsia="Arial" w:hAnsi="Arial"/>
          <w:sz w:val="22"/>
          <w:szCs w:val="22"/>
        </w:rPr>
        <w:t xml:space="preserve">ONS experimental statistics providing inflation indices broken down by income decile, tenure type, retirement status, and children status. Your primary validation benchmark — if your Laspeyres estimates align with HCI, your methodology is credible.</w:t>
      </w:r>
    </w:p>
    <w:p>
      <w:pPr>
        <w:pStyle w:val="Heading2"/>
        <w:spacing w:after="160" w:before="280"/>
      </w:pPr>
      <w:r>
        <w:rPr>
          <w:rFonts w:ascii="Arial" w:cs="Arial" w:eastAsia="Arial" w:hAnsi="Arial"/>
          <w:b/>
          <w:bCs/>
          <w:color w:val="2E75B6"/>
          <w:sz w:val="26"/>
          <w:szCs w:val="26"/>
        </w:rPr>
        <w:t xml:space="preserve">How They Fit Together</w:t>
      </w:r>
    </w:p>
    <w:p>
      <w:pPr>
        <w:spacing w:after="160" w:line="276"/>
      </w:pPr>
      <w:r>
        <w:rPr>
          <w:rFonts w:ascii="Arial" w:cs="Arial" w:eastAsia="Arial" w:hAnsi="Arial"/>
          <w:sz w:val="22"/>
          <w:szCs w:val="22"/>
        </w:rPr>
        <w:t xml:space="preserve">The Laspeyres formula combines LCF shares (weights) with CPIH price changes (prices): Inflation_group = Σ(share_{t-1} × Δprice_t). LCF provides the “who spends what”, CPIH provides the “how much did prices change”, and HCI provides the “is our answer correct?”</w:t>
      </w:r>
    </w:p>
    <w:p>
      <w:r>
        <w:br w:type="page"/>
      </w:r>
    </w:p>
    <w:p>
      <w:pPr>
        <w:pStyle w:val="Heading1"/>
        <w:spacing w:after="200" w:before="360"/>
      </w:pPr>
      <w:r>
        <w:rPr>
          <w:rFonts w:ascii="Arial" w:cs="Arial" w:eastAsia="Arial" w:hAnsi="Arial"/>
          <w:b/>
          <w:bCs/>
          <w:color w:val="1F3864"/>
          <w:sz w:val="32"/>
          <w:szCs w:val="32"/>
        </w:rPr>
        <w:t xml:space="preserve">5. Technical Execution Plan</w:t>
      </w:r>
    </w:p>
    <w:p>
      <w:pPr>
        <w:spacing w:after="120" w:before="200"/>
      </w:pPr>
      <w:r>
        <w:rPr>
          <w:rFonts w:ascii="Arial" w:cs="Arial" w:eastAsia="Arial" w:hAnsi="Arial"/>
          <w:b/>
          <w:bCs/>
          <w:color w:val="404040"/>
          <w:sz w:val="24"/>
          <w:szCs w:val="24"/>
        </w:rPr>
        <w:t xml:space="preserve">Step 1: Data Wrangling (Already Complete)</w:t>
      </w:r>
    </w:p>
    <w:p>
      <w:pPr>
        <w:spacing w:after="160" w:line="276"/>
      </w:pPr>
      <w:r>
        <w:rPr>
          <w:rFonts w:ascii="Arial" w:cs="Arial" w:eastAsia="Arial" w:hAnsi="Arial"/>
          <w:sz w:val="22"/>
          <w:szCs w:val="22"/>
        </w:rPr>
        <w:t xml:space="preserve">Your pipeline (wrangle_lcf.py, wrangle_mm23.py, wrangle_hci.py, compute_group_inflation.py) is already built and produces clean parquet outputs. The key outputs are:</w:t>
      </w:r>
    </w:p>
    <w:p>
      <w:pPr>
        <w:pStyle w:val="ListParagraph"/>
        <w:numPr>
          <w:ilvl w:val="0"/>
          <w:numId w:val="2"/>
        </w:numPr>
        <w:spacing w:after="100" w:line="276"/>
      </w:pPr>
      <w:r>
        <w:rPr>
          <w:rFonts w:ascii="Arial" w:cs="Arial" w:eastAsia="Arial" w:hAnsi="Arial"/>
          <w:sz w:val="22"/>
          <w:szCs w:val="22"/>
        </w:rPr>
        <w:t xml:space="preserve">lcf_expenditure_shares.parquet — 45,615 households × 40 columns</w:t>
      </w:r>
    </w:p>
    <w:p>
      <w:pPr>
        <w:pStyle w:val="ListParagraph"/>
        <w:numPr>
          <w:ilvl w:val="0"/>
          <w:numId w:val="2"/>
        </w:numPr>
        <w:spacing w:after="100" w:line="276"/>
      </w:pPr>
      <w:r>
        <w:rPr>
          <w:rFonts w:ascii="Arial" w:cs="Arial" w:eastAsia="Arial" w:hAnsi="Arial"/>
          <w:sz w:val="22"/>
          <w:szCs w:val="22"/>
        </w:rPr>
        <w:t xml:space="preserve">group_inflation_rates.parquet — 135 rows (3 dimensions × groups × 9 years)</w:t>
      </w:r>
    </w:p>
    <w:p>
      <w:pPr>
        <w:pStyle w:val="ListParagraph"/>
        <w:numPr>
          <w:ilvl w:val="0"/>
          <w:numId w:val="2"/>
        </w:numPr>
        <w:spacing w:after="100" w:line="276"/>
      </w:pPr>
      <w:r>
        <w:rPr>
          <w:rFonts w:ascii="Arial" w:cs="Arial" w:eastAsia="Arial" w:hAnsi="Arial"/>
          <w:sz w:val="22"/>
          <w:szCs w:val="22"/>
        </w:rPr>
        <w:t xml:space="preserve">cpih_monthly_indices.parquet — 134 months × 20 price series</w:t>
      </w:r>
    </w:p>
    <w:p>
      <w:pPr>
        <w:pStyle w:val="ListParagraph"/>
        <w:numPr>
          <w:ilvl w:val="0"/>
          <w:numId w:val="2"/>
        </w:numPr>
        <w:spacing w:after="100" w:line="276"/>
      </w:pPr>
      <w:r>
        <w:rPr>
          <w:rFonts w:ascii="Arial" w:cs="Arial" w:eastAsia="Arial" w:hAnsi="Arial"/>
          <w:sz w:val="22"/>
          <w:szCs w:val="22"/>
        </w:rPr>
        <w:t xml:space="preserve">hci_validation.parquet — 2,844 records for cross-checking</w:t>
      </w:r>
    </w:p>
    <w:p>
      <w:pPr>
        <w:spacing w:after="120" w:before="200"/>
      </w:pPr>
      <w:r>
        <w:rPr>
          <w:rFonts w:ascii="Arial" w:cs="Arial" w:eastAsia="Arial" w:hAnsi="Arial"/>
          <w:b/>
          <w:bCs/>
          <w:color w:val="404040"/>
          <w:sz w:val="24"/>
          <w:szCs w:val="24"/>
        </w:rPr>
        <w:t xml:space="preserve">Step 2: Exploratory Visualisation (Partially Complete)</w:t>
      </w:r>
    </w:p>
    <w:p>
      <w:pPr>
        <w:spacing w:after="160" w:line="276"/>
      </w:pPr>
      <w:r>
        <w:rPr>
          <w:rFonts w:ascii="Arial" w:cs="Arial" w:eastAsia="Arial" w:hAnsi="Arial"/>
          <w:sz w:val="22"/>
          <w:szCs w:val="22"/>
        </w:rPr>
        <w:t xml:space="preserve">Generate 6–8 publication-quality figures for Sections 3–4 of the report. Use generate_report_figures.py for polished output. Ensure 300 dpi, consistent colour palette, and numbered captions.</w:t>
      </w:r>
    </w:p>
    <w:p>
      <w:pPr>
        <w:spacing w:after="120" w:before="200"/>
      </w:pPr>
      <w:r>
        <w:rPr>
          <w:rFonts w:ascii="Arial" w:cs="Arial" w:eastAsia="Arial" w:hAnsi="Arial"/>
          <w:b/>
          <w:bCs/>
          <w:color w:val="404040"/>
          <w:sz w:val="24"/>
          <w:szCs w:val="24"/>
        </w:rPr>
        <w:t xml:space="preserve">Step 3: Statistical Modelling (To Do)</w:t>
      </w:r>
    </w:p>
    <w:p>
      <w:pPr>
        <w:spacing w:after="160" w:line="276"/>
      </w:pPr>
      <w:r>
        <w:rPr>
          <w:rFonts w:ascii="Arial" w:cs="Arial" w:eastAsia="Arial" w:hAnsi="Arial"/>
          <w:sz w:val="22"/>
          <w:szCs w:val="22"/>
        </w:rPr>
        <w:t xml:space="preserve">Create modelling scripts or notebooks for each of the 3 methods described in Section 3.5. Set random seeds for reproducibility. Save all model outputs (coefficients, SHAP values, bootstrap CIs) to data/processed/ for report figure generation.</w:t>
      </w:r>
    </w:p>
    <w:p>
      <w:pPr>
        <w:spacing w:after="120" w:before="200"/>
      </w:pPr>
      <w:r>
        <w:rPr>
          <w:rFonts w:ascii="Arial" w:cs="Arial" w:eastAsia="Arial" w:hAnsi="Arial"/>
          <w:b/>
          <w:bCs/>
          <w:color w:val="404040"/>
          <w:sz w:val="24"/>
          <w:szCs w:val="24"/>
        </w:rPr>
        <w:t xml:space="preserve">Step 4: Report Writing</w:t>
      </w:r>
    </w:p>
    <w:p>
      <w:pPr>
        <w:spacing w:after="160" w:line="276"/>
      </w:pPr>
      <w:r>
        <w:rPr>
          <w:rFonts w:ascii="Arial" w:cs="Arial" w:eastAsia="Arial" w:hAnsi="Arial"/>
          <w:sz w:val="22"/>
          <w:szCs w:val="22"/>
        </w:rPr>
        <w:t xml:space="preserve">Write the report last, after all analysis is complete. The Abstract should summarise actual findings, not plans. Use the IEEE two-column template.</w:t>
      </w:r>
    </w:p>
    <w:p>
      <w:pPr>
        <w:spacing w:after="120" w:before="200"/>
      </w:pPr>
      <w:r>
        <w:rPr>
          <w:rFonts w:ascii="Arial" w:cs="Arial" w:eastAsia="Arial" w:hAnsi="Arial"/>
          <w:b/>
          <w:bCs/>
          <w:color w:val="404040"/>
          <w:sz w:val="24"/>
          <w:szCs w:val="24"/>
        </w:rPr>
        <w:t xml:space="preserve">Reproducibility</w:t>
      </w:r>
    </w:p>
    <w:p>
      <w:pPr>
        <w:spacing w:after="160" w:line="276"/>
      </w:pPr>
      <w:r>
        <w:rPr>
          <w:rFonts w:ascii="Arial" w:cs="Arial" w:eastAsia="Arial" w:hAnsi="Arial"/>
          <w:sz w:val="22"/>
          <w:szCs w:val="22"/>
        </w:rPr>
        <w:t xml:space="preserve">Your repository already has requirements.txt, environment.yml, QUICK_START.sh, and a clean src/ pipeline. Ensure random seeds are set for all stochastic methods (RF, bootstrap, train-test splits).</w:t>
      </w:r>
    </w:p>
    <w:p>
      <w:r>
        <w:br w:type="page"/>
      </w:r>
    </w:p>
    <w:p>
      <w:pPr>
        <w:pStyle w:val="Heading1"/>
        <w:spacing w:after="200" w:before="360"/>
      </w:pPr>
      <w:r>
        <w:rPr>
          <w:rFonts w:ascii="Arial" w:cs="Arial" w:eastAsia="Arial" w:hAnsi="Arial"/>
          <w:b/>
          <w:bCs/>
          <w:color w:val="1F3864"/>
          <w:sz w:val="32"/>
          <w:szCs w:val="32"/>
        </w:rPr>
        <w:t xml:space="preserve">6. Visualisation Strategy</w:t>
      </w:r>
    </w:p>
    <w:p>
      <w:pPr>
        <w:spacing w:after="160" w:line="276"/>
      </w:pPr>
      <w:r>
        <w:rPr>
          <w:rFonts w:ascii="Arial" w:cs="Arial" w:eastAsia="Arial" w:hAnsi="Arial"/>
          <w:sz w:val="22"/>
          <w:szCs w:val="22"/>
        </w:rPr>
        <w:t xml:space="preserve">Aim for 8–10 figures total across the report. Here is the recommended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1800"/>
        <w:gridCol w:w="1726"/>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Figure</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17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sources summary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Compact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Preparation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pipeline flowchart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Boxes-and-arrows diagram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Preparation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Cleaning &amp; filtering summary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Horizontal bar chart (2-panel)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Preparation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Expenditure basket by tenure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Stacked bar chart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CPIH annotated time series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Multi-line with event shading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Essentials density by quintile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KDE / density plot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Correlation heatmap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Annotated heatmap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Summary statistics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Descriptive stats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Exploration</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SHAP feature importance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Beeswarm / bar chart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Modelling</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 build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HCI validation scatter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Scatter + 45° 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Modelling</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 (P5)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comparison table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Results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Modelling</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 build</w:t>
            </w:r>
          </w:p>
        </w:tc>
      </w:tr>
    </w:tbl>
    <w:p>
      <w:pPr>
        <w:spacing w:after="160" w:line="276"/>
      </w:pPr>
      <w:r>
        <w:t xml:space="preserve"/>
      </w:r>
    </w:p>
    <w:p>
      <w:pPr>
        <w:pStyle w:val="Heading2"/>
        <w:spacing w:after="160" w:before="280"/>
      </w:pPr>
      <w:r>
        <w:rPr>
          <w:rFonts w:ascii="Arial" w:cs="Arial" w:eastAsia="Arial" w:hAnsi="Arial"/>
          <w:b/>
          <w:bCs/>
          <w:color w:val="2E75B6"/>
          <w:sz w:val="26"/>
          <w:szCs w:val="26"/>
        </w:rPr>
        <w:t xml:space="preserve">Visualisation Quality Checklist</w:t>
      </w:r>
    </w:p>
    <w:p>
      <w:pPr>
        <w:pStyle w:val="ListParagraph"/>
        <w:numPr>
          <w:ilvl w:val="0"/>
          <w:numId w:val="2"/>
        </w:numPr>
        <w:spacing w:after="100" w:line="276"/>
      </w:pPr>
      <w:r>
        <w:rPr>
          <w:rFonts w:ascii="Arial" w:cs="Arial" w:eastAsia="Arial" w:hAnsi="Arial"/>
          <w:sz w:val="22"/>
          <w:szCs w:val="22"/>
        </w:rPr>
        <w:t xml:space="preserve">Every axis has a label with units.</w:t>
      </w:r>
    </w:p>
    <w:p>
      <w:pPr>
        <w:pStyle w:val="ListParagraph"/>
        <w:numPr>
          <w:ilvl w:val="0"/>
          <w:numId w:val="2"/>
        </w:numPr>
        <w:spacing w:after="100" w:line="276"/>
      </w:pPr>
      <w:r>
        <w:rPr>
          <w:rFonts w:ascii="Arial" w:cs="Arial" w:eastAsia="Arial" w:hAnsi="Arial"/>
          <w:sz w:val="22"/>
          <w:szCs w:val="22"/>
        </w:rPr>
        <w:t xml:space="preserve">Every figure has a numbered caption (“Fig. 1: ...”) referenced in the text.</w:t>
      </w:r>
    </w:p>
    <w:p>
      <w:pPr>
        <w:pStyle w:val="ListParagraph"/>
        <w:numPr>
          <w:ilvl w:val="0"/>
          <w:numId w:val="2"/>
        </w:numPr>
        <w:spacing w:after="100" w:line="276"/>
      </w:pPr>
      <w:r>
        <w:rPr>
          <w:rFonts w:ascii="Arial" w:cs="Arial" w:eastAsia="Arial" w:hAnsi="Arial"/>
          <w:sz w:val="22"/>
          <w:szCs w:val="22"/>
        </w:rPr>
        <w:t xml:space="preserve">Colour palette is consistent across all figures and colourblind-friendly.</w:t>
      </w:r>
    </w:p>
    <w:p>
      <w:pPr>
        <w:pStyle w:val="ListParagraph"/>
        <w:numPr>
          <w:ilvl w:val="0"/>
          <w:numId w:val="2"/>
        </w:numPr>
        <w:spacing w:after="100" w:line="276"/>
      </w:pPr>
      <w:r>
        <w:rPr>
          <w:rFonts w:ascii="Arial" w:cs="Arial" w:eastAsia="Arial" w:hAnsi="Arial"/>
          <w:sz w:val="22"/>
          <w:szCs w:val="22"/>
        </w:rPr>
        <w:t xml:space="preserve">Font sizes readable in two-column format (minimum 8pt for axis labels).</w:t>
      </w:r>
    </w:p>
    <w:p>
      <w:pPr>
        <w:pStyle w:val="ListParagraph"/>
        <w:numPr>
          <w:ilvl w:val="0"/>
          <w:numId w:val="2"/>
        </w:numPr>
        <w:spacing w:after="100" w:line="276"/>
      </w:pPr>
      <w:r>
        <w:rPr>
          <w:rFonts w:ascii="Arial" w:cs="Arial" w:eastAsia="Arial" w:hAnsi="Arial"/>
          <w:sz w:val="22"/>
          <w:szCs w:val="22"/>
        </w:rPr>
        <w:t xml:space="preserve">300 dpi resolution for all exported figures.</w:t>
      </w:r>
    </w:p>
    <w:p>
      <w:pPr>
        <w:pStyle w:val="ListParagraph"/>
        <w:numPr>
          <w:ilvl w:val="0"/>
          <w:numId w:val="2"/>
        </w:numPr>
        <w:spacing w:after="100" w:line="276"/>
      </w:pPr>
      <w:r>
        <w:rPr>
          <w:rFonts w:ascii="Arial" w:cs="Arial" w:eastAsia="Arial" w:hAnsi="Arial"/>
          <w:sz w:val="22"/>
          <w:szCs w:val="22"/>
        </w:rPr>
        <w:t xml:space="preserve">Heatmaps include numerical annotations.</w:t>
      </w:r>
    </w:p>
    <w:p>
      <w:pPr>
        <w:pStyle w:val="ListParagraph"/>
        <w:numPr>
          <w:ilvl w:val="0"/>
          <w:numId w:val="2"/>
        </w:numPr>
        <w:spacing w:after="100" w:line="276"/>
      </w:pPr>
      <w:r>
        <w:rPr>
          <w:rFonts w:ascii="Arial" w:cs="Arial" w:eastAsia="Arial" w:hAnsi="Arial"/>
          <w:sz w:val="22"/>
          <w:szCs w:val="22"/>
        </w:rPr>
        <w:t xml:space="preserve">No chart junk: remove unnecessary gridlines, borders, 3D effects.</w:t>
      </w:r>
    </w:p>
    <w:p>
      <w:r>
        <w:br w:type="page"/>
      </w:r>
    </w:p>
    <w:p>
      <w:pPr>
        <w:pStyle w:val="Heading1"/>
        <w:spacing w:after="200" w:before="360"/>
      </w:pPr>
      <w:r>
        <w:rPr>
          <w:rFonts w:ascii="Arial" w:cs="Arial" w:eastAsia="Arial" w:hAnsi="Arial"/>
          <w:b/>
          <w:bCs/>
          <w:color w:val="1F3864"/>
          <w:sz w:val="32"/>
          <w:szCs w:val="32"/>
        </w:rPr>
        <w:t xml:space="preserve">7. Statistical and ML Modelling Plan</w:t>
      </w:r>
    </w:p>
    <w:p>
      <w:pPr>
        <w:pStyle w:val="Heading2"/>
        <w:spacing w:after="160" w:before="280"/>
      </w:pPr>
      <w:r>
        <w:rPr>
          <w:rFonts w:ascii="Arial" w:cs="Arial" w:eastAsia="Arial" w:hAnsi="Arial"/>
          <w:b/>
          <w:bCs/>
          <w:color w:val="2E75B6"/>
          <w:sz w:val="26"/>
          <w:szCs w:val="26"/>
        </w:rPr>
        <w:t xml:space="preserve">7.1 OLS Regression</w:t>
      </w:r>
    </w:p>
    <w:p>
      <w:pPr>
        <w:spacing w:after="160" w:line="276"/>
      </w:pPr>
      <w:r>
        <w:rPr>
          <w:rFonts w:ascii="Arial" w:cs="Arial" w:eastAsia="Arial" w:hAnsi="Arial"/>
          <w:b/>
          <w:bCs/>
          <w:sz w:val="22"/>
          <w:szCs w:val="22"/>
        </w:rPr>
        <w:t xml:space="preserve">Libraries: </w:t>
      </w:r>
      <w:r>
        <w:rPr>
          <w:rFonts w:ascii="Arial" w:cs="Arial" w:eastAsia="Arial" w:hAnsi="Arial"/>
          <w:sz w:val="22"/>
          <w:szCs w:val="22"/>
        </w:rPr>
        <w:t xml:space="preserve">statsmodels</w:t>
      </w:r>
    </w:p>
    <w:p>
      <w:pPr>
        <w:spacing w:after="160" w:line="276"/>
      </w:pPr>
      <w:r>
        <w:rPr>
          <w:rFonts w:ascii="Arial" w:cs="Arial" w:eastAsia="Arial" w:hAnsi="Arial"/>
          <w:b/>
          <w:bCs/>
          <w:sz w:val="22"/>
          <w:szCs w:val="22"/>
        </w:rPr>
        <w:t xml:space="preserve">Dependent variable: </w:t>
      </w:r>
      <w:r>
        <w:rPr>
          <w:rFonts w:ascii="Arial" w:cs="Arial" w:eastAsia="Arial" w:hAnsi="Arial"/>
          <w:sz w:val="22"/>
          <w:szCs w:val="22"/>
        </w:rPr>
        <w:t xml:space="preserve">Group-year inflation rate (from group_inflation_rates.parquet).</w:t>
      </w:r>
    </w:p>
    <w:p>
      <w:pPr>
        <w:spacing w:after="160" w:line="276"/>
      </w:pPr>
      <w:r>
        <w:rPr>
          <w:rFonts w:ascii="Arial" w:cs="Arial" w:eastAsia="Arial" w:hAnsi="Arial"/>
          <w:b/>
          <w:bCs/>
          <w:sz w:val="22"/>
          <w:szCs w:val="22"/>
        </w:rPr>
        <w:t xml:space="preserve">Predictors: </w:t>
      </w:r>
      <w:r>
        <w:rPr>
          <w:rFonts w:ascii="Arial" w:cs="Arial" w:eastAsia="Arial" w:hAnsi="Arial"/>
          <w:sz w:val="22"/>
          <w:szCs w:val="22"/>
        </w:rPr>
        <w:t xml:space="preserve">Weighted-average expenditure shares (12 COICOP divisions) per group-year.</w:t>
      </w:r>
    </w:p>
    <w:p>
      <w:pPr>
        <w:spacing w:after="160" w:line="276"/>
      </w:pPr>
      <w:r>
        <w:rPr>
          <w:rFonts w:ascii="Arial" w:cs="Arial" w:eastAsia="Arial" w:hAnsi="Arial"/>
          <w:sz w:val="22"/>
          <w:szCs w:val="22"/>
        </w:rPr>
        <w:t xml:space="preserve">Report R², adjusted R², coefficient significance (p-values), and confidence intervals. Use statsmodels.OLS for full statistical inference. This directly answers: “which spending categories predict higher experienced inflation?”</w:t>
      </w:r>
    </w:p>
    <w:p>
      <w:pPr>
        <w:spacing w:after="160" w:line="276"/>
      </w:pPr>
      <w:r>
        <w:rPr>
          <w:rFonts w:ascii="Arial" w:cs="Arial" w:eastAsia="Arial" w:hAnsi="Arial"/>
          <w:b/>
          <w:bCs/>
          <w:sz w:val="22"/>
          <w:szCs w:val="22"/>
        </w:rPr>
        <w:t xml:space="preserve">Advanced option — Oaxaca-Blinder decomposition: </w:t>
      </w:r>
      <w:r>
        <w:rPr>
          <w:rFonts w:ascii="Arial" w:cs="Arial" w:eastAsia="Arial" w:hAnsi="Arial"/>
          <w:sz w:val="22"/>
          <w:szCs w:val="22"/>
        </w:rPr>
        <w:t xml:space="preserve">Formally decompose the inflation gap between two tenure groups into (a) the part explained by different expenditure shares and (b) the part explained by different price sensitivities. This is a well-established econometric technique that adds rigour.</w:t>
      </w:r>
    </w:p>
    <w:p>
      <w:pPr>
        <w:pStyle w:val="Heading2"/>
        <w:spacing w:after="160" w:before="280"/>
      </w:pPr>
      <w:r>
        <w:rPr>
          <w:rFonts w:ascii="Arial" w:cs="Arial" w:eastAsia="Arial" w:hAnsi="Arial"/>
          <w:b/>
          <w:bCs/>
          <w:color w:val="2E75B6"/>
          <w:sz w:val="26"/>
          <w:szCs w:val="26"/>
        </w:rPr>
        <w:t xml:space="preserve">7.2 Random Forest + SHAP</w:t>
      </w:r>
    </w:p>
    <w:p>
      <w:pPr>
        <w:spacing w:after="160" w:line="276"/>
      </w:pPr>
      <w:r>
        <w:rPr>
          <w:rFonts w:ascii="Arial" w:cs="Arial" w:eastAsia="Arial" w:hAnsi="Arial"/>
          <w:b/>
          <w:bCs/>
          <w:sz w:val="22"/>
          <w:szCs w:val="22"/>
        </w:rPr>
        <w:t xml:space="preserve">Libraries: </w:t>
      </w:r>
      <w:r>
        <w:rPr>
          <w:rFonts w:ascii="Arial" w:cs="Arial" w:eastAsia="Arial" w:hAnsi="Arial"/>
          <w:sz w:val="22"/>
          <w:szCs w:val="22"/>
        </w:rPr>
        <w:t xml:space="preserve">scikit-learn, shap</w:t>
      </w:r>
    </w:p>
    <w:p>
      <w:pPr>
        <w:spacing w:after="160" w:line="276"/>
      </w:pPr>
      <w:r>
        <w:rPr>
          <w:rFonts w:ascii="Arial" w:cs="Arial" w:eastAsia="Arial" w:hAnsi="Arial"/>
          <w:b/>
          <w:bCs/>
          <w:sz w:val="22"/>
          <w:szCs w:val="22"/>
        </w:rPr>
        <w:t xml:space="preserve">Target: </w:t>
      </w:r>
      <w:r>
        <w:rPr>
          <w:rFonts w:ascii="Arial" w:cs="Arial" w:eastAsia="Arial" w:hAnsi="Arial"/>
          <w:sz w:val="22"/>
          <w:szCs w:val="22"/>
        </w:rPr>
        <w:t xml:space="preserve">Household-level inflation proxy = Σ(share_i × price_change_i).</w:t>
      </w:r>
    </w:p>
    <w:p>
      <w:pPr>
        <w:spacing w:after="160" w:line="276"/>
      </w:pPr>
      <w:r>
        <w:rPr>
          <w:rFonts w:ascii="Arial" w:cs="Arial" w:eastAsia="Arial" w:hAnsi="Arial"/>
          <w:b/>
          <w:bCs/>
          <w:sz w:val="22"/>
          <w:szCs w:val="22"/>
        </w:rPr>
        <w:t xml:space="preserve">Features: </w:t>
      </w:r>
      <w:r>
        <w:rPr>
          <w:rFonts w:ascii="Arial" w:cs="Arial" w:eastAsia="Arial" w:hAnsi="Arial"/>
          <w:sz w:val="22"/>
          <w:szCs w:val="22"/>
        </w:rPr>
        <w:t xml:space="preserve">Tenure type, income quintile, HRP age band, plus individual expenditure shares.</w:t>
      </w:r>
    </w:p>
    <w:p>
      <w:pPr>
        <w:spacing w:after="160" w:line="276"/>
      </w:pPr>
      <w:r>
        <w:rPr>
          <w:rFonts w:ascii="Arial" w:cs="Arial" w:eastAsia="Arial" w:hAnsi="Arial"/>
          <w:sz w:val="22"/>
          <w:szCs w:val="22"/>
        </w:rPr>
        <w:t xml:space="preserve">Use TimeSeriesSplit for cross-validation (NOT random K-fold). Compute SHAP values for global feature importance (beeswarm plot) and local explanations. Compare against OLS baseline.</w:t>
      </w:r>
    </w:p>
    <w:p>
      <w:pPr>
        <w:spacing w:after="160" w:line="276"/>
      </w:pPr>
      <w:r>
        <w:rPr>
          <w:rFonts w:ascii="Arial" w:cs="Arial" w:eastAsia="Arial" w:hAnsi="Arial"/>
          <w:b/>
          <w:bCs/>
          <w:sz w:val="22"/>
          <w:szCs w:val="22"/>
        </w:rPr>
        <w:t xml:space="preserve">Feature importance: </w:t>
      </w:r>
      <w:r>
        <w:rPr>
          <w:rFonts w:ascii="Arial" w:cs="Arial" w:eastAsia="Arial" w:hAnsi="Arial"/>
          <w:sz w:val="22"/>
          <w:szCs w:val="22"/>
        </w:rPr>
        <w:t xml:space="preserve">Use both Gini importance and SHAP values. Note that Gini importance can be biased toward high-cardinality features (cite Nembrini et al. 2018). SHAP values are more reliable for interpretation.</w:t>
      </w:r>
    </w:p>
    <w:p>
      <w:pPr>
        <w:pStyle w:val="Heading2"/>
        <w:spacing w:after="160" w:before="280"/>
      </w:pPr>
      <w:r>
        <w:rPr>
          <w:rFonts w:ascii="Arial" w:cs="Arial" w:eastAsia="Arial" w:hAnsi="Arial"/>
          <w:b/>
          <w:bCs/>
          <w:color w:val="2E75B6"/>
          <w:sz w:val="26"/>
          <w:szCs w:val="26"/>
        </w:rPr>
        <w:t xml:space="preserve">7.3 Bootstrap Significance Testing</w:t>
      </w:r>
    </w:p>
    <w:p>
      <w:pPr>
        <w:spacing w:after="160" w:line="276"/>
      </w:pPr>
      <w:r>
        <w:rPr>
          <w:rFonts w:ascii="Arial" w:cs="Arial" w:eastAsia="Arial" w:hAnsi="Arial"/>
          <w:b/>
          <w:bCs/>
          <w:sz w:val="22"/>
          <w:szCs w:val="22"/>
        </w:rPr>
        <w:t xml:space="preserve">Libraries: </w:t>
      </w:r>
      <w:r>
        <w:rPr>
          <w:rFonts w:ascii="Arial" w:cs="Arial" w:eastAsia="Arial" w:hAnsi="Arial"/>
          <w:sz w:val="22"/>
          <w:szCs w:val="22"/>
        </w:rPr>
        <w:t xml:space="preserve">numpy (manual bootstrap), scipy.stats</w:t>
      </w:r>
    </w:p>
    <w:p>
      <w:pPr>
        <w:spacing w:after="160" w:line="276"/>
      </w:pPr>
      <w:r>
        <w:rPr>
          <w:rFonts w:ascii="Arial" w:cs="Arial" w:eastAsia="Arial" w:hAnsi="Arial"/>
          <w:sz w:val="22"/>
          <w:szCs w:val="22"/>
        </w:rPr>
        <w:t xml:space="preserve">For each pair of tenure groups, resample household-level weighted inflation 10,000 times. Compute 95% BCa (bias-corrected and accelerated) confidence intervals for the gap. Report whether the CI excludes zero.</w:t>
      </w:r>
    </w:p>
    <w:p>
      <w:pPr>
        <w:spacing w:after="160" w:line="276"/>
      </w:pPr>
      <w:r>
        <w:rPr>
          <w:rFonts w:ascii="Arial" w:cs="Arial" w:eastAsia="Arial" w:hAnsi="Arial"/>
          <w:sz w:val="22"/>
          <w:szCs w:val="22"/>
        </w:rPr>
        <w:t xml:space="preserve">This addresses the fundamental question: “are the observed inflation differences statistically significant, or could they arise from sampling variation in the LCF?” With ~5,000 households/year and weighted estimates, you have enough data for precise bootstrap CIs.</w:t>
      </w:r>
    </w:p>
    <w:p>
      <w:pPr>
        <w:pStyle w:val="Heading2"/>
        <w:spacing w:after="160" w:before="280"/>
      </w:pPr>
      <w:r>
        <w:rPr>
          <w:rFonts w:ascii="Arial" w:cs="Arial" w:eastAsia="Arial" w:hAnsi="Arial"/>
          <w:b/>
          <w:bCs/>
          <w:color w:val="2E75B6"/>
          <w:sz w:val="26"/>
          <w:szCs w:val="26"/>
        </w:rPr>
        <w:t xml:space="preserve">7.4 HCI Validation</w:t>
      </w:r>
    </w:p>
    <w:p>
      <w:pPr>
        <w:spacing w:after="160" w:line="276"/>
      </w:pPr>
      <w:r>
        <w:rPr>
          <w:rFonts w:ascii="Arial" w:cs="Arial" w:eastAsia="Arial" w:hAnsi="Arial"/>
          <w:sz w:val="22"/>
          <w:szCs w:val="22"/>
        </w:rPr>
        <w:t xml:space="preserve">Compare your Laspeyres estimates against ONS HCI for matching dimensions (tenure type, income decile). Create a scatter plot of your estimates vs HCI with a 45-degree line. Report Pearson correlation and RMSE. Discuss any systematic bias.</w:t>
      </w:r>
    </w:p>
    <w:p>
      <w:pPr>
        <w:pStyle w:val="Heading2"/>
        <w:spacing w:after="160" w:before="280"/>
      </w:pPr>
      <w:r>
        <w:rPr>
          <w:rFonts w:ascii="Arial" w:cs="Arial" w:eastAsia="Arial" w:hAnsi="Arial"/>
          <w:b/>
          <w:bCs/>
          <w:color w:val="2E75B6"/>
          <w:sz w:val="26"/>
          <w:szCs w:val="26"/>
        </w:rPr>
        <w:t xml:space="preserve">7.5 Results Summary Table</w:t>
      </w:r>
    </w:p>
    <w:p>
      <w:pPr>
        <w:spacing w:after="160" w:line="276"/>
      </w:pPr>
      <w:r>
        <w:rPr>
          <w:rFonts w:ascii="Arial" w:cs="Arial" w:eastAsia="Arial" w:hAnsi="Arial"/>
          <w:sz w:val="22"/>
          <w:szCs w:val="22"/>
        </w:rPr>
        <w:t xml:space="preserve">Consolidate all results into a single comparison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26"/>
        <w:gridCol w:w="17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R²</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RMSE</w:t>
            </w:r>
          </w:p>
        </w:tc>
        <w:tc>
          <w:tcPr>
            <w:tcW w:type="dxa" w:w="17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MAE</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Insight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Naive baseline (mean)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OLS Regression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Interpretable coefficients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Random Forest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Non-linear 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HCI Validation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 = [value]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Methodology credibility</w:t>
            </w:r>
          </w:p>
        </w:tc>
      </w:tr>
    </w:tbl>
    <w:p>
      <w:r>
        <w:br w:type="page"/>
      </w:r>
    </w:p>
    <w:p>
      <w:pPr>
        <w:pStyle w:val="Heading1"/>
        <w:spacing w:after="200" w:before="360"/>
      </w:pPr>
      <w:r>
        <w:rPr>
          <w:rFonts w:ascii="Arial" w:cs="Arial" w:eastAsia="Arial" w:hAnsi="Arial"/>
          <w:b/>
          <w:bCs/>
          <w:color w:val="1F3864"/>
          <w:sz w:val="32"/>
          <w:szCs w:val="32"/>
        </w:rPr>
        <w:t xml:space="preserve">8. Writing and Presentation Tips</w:t>
      </w:r>
    </w:p>
    <w:p>
      <w:pPr>
        <w:pStyle w:val="Heading2"/>
        <w:spacing w:after="160" w:before="280"/>
      </w:pPr>
      <w:r>
        <w:rPr>
          <w:rFonts w:ascii="Arial" w:cs="Arial" w:eastAsia="Arial" w:hAnsi="Arial"/>
          <w:b/>
          <w:bCs/>
          <w:color w:val="2E75B6"/>
          <w:sz w:val="26"/>
          <w:szCs w:val="26"/>
        </w:rPr>
        <w:t xml:space="preserve">Report Format</w:t>
      </w:r>
    </w:p>
    <w:p>
      <w:pPr>
        <w:pStyle w:val="ListParagraph"/>
        <w:numPr>
          <w:ilvl w:val="0"/>
          <w:numId w:val="2"/>
        </w:numPr>
        <w:spacing w:after="100" w:line="276"/>
      </w:pPr>
      <w:r>
        <w:rPr>
          <w:rFonts w:ascii="Arial" w:cs="Arial" w:eastAsia="Arial" w:hAnsi="Arial"/>
          <w:b/>
          <w:bCs/>
          <w:sz w:val="22"/>
          <w:szCs w:val="22"/>
        </w:rPr>
        <w:t xml:space="preserve">Two-column IEEE format. </w:t>
      </w:r>
      <w:r>
        <w:rPr>
          <w:rFonts w:ascii="Arial" w:cs="Arial" w:eastAsia="Arial" w:hAnsi="Arial"/>
          <w:sz w:val="22"/>
          <w:szCs w:val="22"/>
        </w:rPr>
        <w:t xml:space="preserve">Both example reports use this. Use the IEEE conference template. This gives a professional, published-paper appearance.</w:t>
      </w:r>
    </w:p>
    <w:p>
      <w:pPr>
        <w:pStyle w:val="ListParagraph"/>
        <w:numPr>
          <w:ilvl w:val="0"/>
          <w:numId w:val="2"/>
        </w:numPr>
        <w:spacing w:after="100" w:line="276"/>
      </w:pPr>
      <w:r>
        <w:rPr>
          <w:rFonts w:ascii="Arial" w:cs="Arial" w:eastAsia="Arial" w:hAnsi="Arial"/>
          <w:b/>
          <w:bCs/>
          <w:sz w:val="22"/>
          <w:szCs w:val="22"/>
        </w:rPr>
        <w:t xml:space="preserve">10 pages maximum. </w:t>
      </w:r>
      <w:r>
        <w:rPr>
          <w:rFonts w:ascii="Arial" w:cs="Arial" w:eastAsia="Arial" w:hAnsi="Arial"/>
          <w:sz w:val="22"/>
          <w:szCs w:val="22"/>
        </w:rPr>
        <w:t xml:space="preserve">Be concise. Every sentence should earn its place.</w:t>
      </w:r>
    </w:p>
    <w:p>
      <w:pPr>
        <w:pStyle w:val="ListParagraph"/>
        <w:numPr>
          <w:ilvl w:val="0"/>
          <w:numId w:val="2"/>
        </w:numPr>
        <w:spacing w:after="100" w:line="276"/>
      </w:pPr>
      <w:r>
        <w:rPr>
          <w:rFonts w:ascii="Arial" w:cs="Arial" w:eastAsia="Arial" w:hAnsi="Arial"/>
          <w:b/>
          <w:bCs/>
          <w:sz w:val="22"/>
          <w:szCs w:val="22"/>
        </w:rPr>
        <w:t xml:space="preserve">Font: </w:t>
      </w:r>
      <w:r>
        <w:rPr>
          <w:rFonts w:ascii="Arial" w:cs="Arial" w:eastAsia="Arial" w:hAnsi="Arial"/>
          <w:sz w:val="22"/>
          <w:szCs w:val="22"/>
        </w:rPr>
        <w:t xml:space="preserve">10pt Times New Roman for body text. Headings in bold.</w:t>
      </w:r>
    </w:p>
    <w:p>
      <w:pPr>
        <w:pStyle w:val="ListParagraph"/>
        <w:numPr>
          <w:ilvl w:val="0"/>
          <w:numId w:val="2"/>
        </w:numPr>
        <w:spacing w:after="100" w:line="276"/>
      </w:pPr>
      <w:r>
        <w:rPr>
          <w:rFonts w:ascii="Arial" w:cs="Arial" w:eastAsia="Arial" w:hAnsi="Arial"/>
          <w:b/>
          <w:bCs/>
          <w:sz w:val="22"/>
          <w:szCs w:val="22"/>
        </w:rPr>
        <w:t xml:space="preserve">Figures: </w:t>
      </w:r>
      <w:r>
        <w:rPr>
          <w:rFonts w:ascii="Arial" w:cs="Arial" w:eastAsia="Arial" w:hAnsi="Arial"/>
          <w:sz w:val="22"/>
          <w:szCs w:val="22"/>
        </w:rPr>
        <w:t xml:space="preserve">Each figure spans one column where possible, with large figures spanning both columns when needed. Always use “Fig. X:” captions below figures.</w:t>
      </w:r>
    </w:p>
    <w:p>
      <w:pPr>
        <w:pStyle w:val="Heading2"/>
        <w:spacing w:after="160" w:before="280"/>
      </w:pPr>
      <w:r>
        <w:rPr>
          <w:rFonts w:ascii="Arial" w:cs="Arial" w:eastAsia="Arial" w:hAnsi="Arial"/>
          <w:b/>
          <w:bCs/>
          <w:color w:val="2E75B6"/>
          <w:sz w:val="26"/>
          <w:szCs w:val="26"/>
        </w:rPr>
        <w:t xml:space="preserve">Writing Style</w:t>
      </w:r>
    </w:p>
    <w:p>
      <w:pPr>
        <w:pStyle w:val="ListParagraph"/>
        <w:numPr>
          <w:ilvl w:val="0"/>
          <w:numId w:val="2"/>
        </w:numPr>
        <w:spacing w:after="100" w:line="276"/>
      </w:pPr>
      <w:r>
        <w:rPr>
          <w:rFonts w:ascii="Arial" w:cs="Arial" w:eastAsia="Arial" w:hAnsi="Arial"/>
          <w:b/>
          <w:bCs/>
          <w:sz w:val="22"/>
          <w:szCs w:val="22"/>
        </w:rPr>
        <w:t xml:space="preserve">Academic but accessible: </w:t>
      </w:r>
      <w:r>
        <w:rPr>
          <w:rFonts w:ascii="Arial" w:cs="Arial" w:eastAsia="Arial" w:hAnsi="Arial"/>
          <w:sz w:val="22"/>
          <w:szCs w:val="22"/>
        </w:rPr>
        <w:t xml:space="preserve">Write in third person. Avoid colloquialisms. But keep sentences clear.</w:t>
      </w:r>
    </w:p>
    <w:p>
      <w:pPr>
        <w:pStyle w:val="ListParagraph"/>
        <w:numPr>
          <w:ilvl w:val="0"/>
          <w:numId w:val="2"/>
        </w:numPr>
        <w:spacing w:after="100" w:line="276"/>
      </w:pPr>
      <w:r>
        <w:rPr>
          <w:rFonts w:ascii="Arial" w:cs="Arial" w:eastAsia="Arial" w:hAnsi="Arial"/>
          <w:b/>
          <w:bCs/>
          <w:sz w:val="22"/>
          <w:szCs w:val="22"/>
        </w:rPr>
        <w:t xml:space="preserve">Every claim needs evidence: </w:t>
      </w:r>
      <w:r>
        <w:rPr>
          <w:rFonts w:ascii="Arial" w:cs="Arial" w:eastAsia="Arial" w:hAnsi="Arial"/>
          <w:sz w:val="22"/>
          <w:szCs w:val="22"/>
        </w:rPr>
        <w:t xml:space="preserve">If you say “energy prices were the main driver,” immediately follow with the figure or number that proves it.</w:t>
      </w:r>
    </w:p>
    <w:p>
      <w:pPr>
        <w:pStyle w:val="ListParagraph"/>
        <w:numPr>
          <w:ilvl w:val="0"/>
          <w:numId w:val="2"/>
        </w:numPr>
        <w:spacing w:after="100" w:line="276"/>
      </w:pPr>
      <w:r>
        <w:rPr>
          <w:rFonts w:ascii="Arial" w:cs="Arial" w:eastAsia="Arial" w:hAnsi="Arial"/>
          <w:b/>
          <w:bCs/>
          <w:sz w:val="22"/>
          <w:szCs w:val="22"/>
        </w:rPr>
        <w:t xml:space="preserve">Transition sentences: </w:t>
      </w:r>
      <w:r>
        <w:rPr>
          <w:rFonts w:ascii="Arial" w:cs="Arial" w:eastAsia="Arial" w:hAnsi="Arial"/>
          <w:sz w:val="22"/>
          <w:szCs w:val="22"/>
        </w:rPr>
        <w:t xml:space="preserve">Each section should logically flow into the next. “Having established that tenure groups have structurally different baskets, we now examine whether these differences translate into measurably different inflation rates.”</w:t>
      </w:r>
    </w:p>
    <w:p>
      <w:pPr>
        <w:pStyle w:val="Heading2"/>
        <w:spacing w:after="160" w:before="280"/>
      </w:pPr>
      <w:r>
        <w:rPr>
          <w:rFonts w:ascii="Arial" w:cs="Arial" w:eastAsia="Arial" w:hAnsi="Arial"/>
          <w:b/>
          <w:bCs/>
          <w:color w:val="2E75B6"/>
          <w:sz w:val="26"/>
          <w:szCs w:val="26"/>
        </w:rPr>
        <w:t xml:space="preserve">References</w:t>
      </w:r>
    </w:p>
    <w:p>
      <w:pPr>
        <w:spacing w:after="160" w:line="276"/>
      </w:pPr>
      <w:r>
        <w:rPr>
          <w:rFonts w:ascii="Arial" w:cs="Arial" w:eastAsia="Arial" w:hAnsi="Arial"/>
          <w:sz w:val="22"/>
          <w:szCs w:val="22"/>
        </w:rPr>
        <w:t xml:space="preserve">Aim for 12–20 references. Include ONS methodology papers, foundational statistical references (Laspeyres index, Box &amp; Jenkins for ARIMA, Breiman for RF), IFS/Resolution Foundation work on differential inflation, and tool documentation where appropriate. Use numbered IEEE-style references [1], [2], etc.</w:t>
      </w:r>
    </w:p>
    <w:p>
      <w:r>
        <w:br w:type="page"/>
      </w:r>
    </w:p>
    <w:p>
      <w:pPr>
        <w:pStyle w:val="Heading1"/>
        <w:spacing w:after="200" w:before="360"/>
      </w:pPr>
      <w:r>
        <w:rPr>
          <w:rFonts w:ascii="Arial" w:cs="Arial" w:eastAsia="Arial" w:hAnsi="Arial"/>
          <w:b/>
          <w:bCs/>
          <w:color w:val="1F3864"/>
          <w:sz w:val="32"/>
          <w:szCs w:val="32"/>
        </w:rPr>
        <w:t xml:space="preserve">9. Common Pitfalls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Pitfall</w:t>
            </w:r>
          </w:p>
        </w:tc>
        <w:tc>
          <w:tcPr>
            <w:tcW w:type="dxa" w:w="55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How to Avoid 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using one modelling method</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at least 3 complementary approaches (regression, RF + SHAP, bootstrap testing). This demonstrates breadth.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Figures without captions or discussion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figure must be numbered, captioned, and referenced in text with substantive discussion.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baseline comparison</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Always compare against a naive baseline. Without this, results have no context.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Describing what without explaining why</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methodological choice needs justification. "We used RF because it captures non-linear interactions between tenure and expenditure shares."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Ignoring limitations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Acknowledge national prices, Laspeyres substitution bias, rent-free exclusion, COVID sampling. This shows intellectual maturity.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validation against external benchmark</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HCI validation is a major strength. Use it prominently. Without it, your estimates are descriptive assertions.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Claiming regional differences with national prices</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CPIH indices are national. Regional variation in your results comes ONLY from different spending patterns, NOT different actual prices. Be explicit about this.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Exceeding the page limit</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 ruthlessly concise. Trim verbose explanations. 10 pages is tight.</w:t>
            </w:r>
          </w:p>
        </w:tc>
      </w:tr>
    </w:tbl>
    <w:p>
      <w:r>
        <w:br w:type="page"/>
      </w:r>
    </w:p>
    <w:p>
      <w:pPr>
        <w:pStyle w:val="Heading1"/>
        <w:spacing w:after="200" w:before="360"/>
      </w:pPr>
      <w:r>
        <w:rPr>
          <w:rFonts w:ascii="Arial" w:cs="Arial" w:eastAsia="Arial" w:hAnsi="Arial"/>
          <w:b/>
          <w:bCs/>
          <w:color w:val="1F3864"/>
          <w:sz w:val="32"/>
          <w:szCs w:val="32"/>
        </w:rPr>
        <w:t xml:space="preserve">10. Recommended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226"/>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Tasks</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c>
          <w:tcPr>
            <w:tcW w:type="dxa" w:w="2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Report Sections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wrangling (DONE), EDA, generate report figures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datasets, pipeline, 6–8 figures at 300 dpi</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Prep, Data Exploration drafts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OLS regression, RF + SHAP, bootstrap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Modelling scripts, results tables, SHAP plots</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Modelling section (Methods 1–3)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HCI validation, all figures finalised, findings synthesis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analysis, validation scatter, model comparison table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Findings, start Discussion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Report writing, polishing, peer 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10-page report, clean code repo</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Introduction, Discussion, Abstract, full polish</w:t>
            </w:r>
          </w:p>
        </w:tc>
      </w:tr>
    </w:tbl>
    <w:p>
      <w:pPr>
        <w:spacing w:after="160" w:line="276"/>
      </w:pPr>
      <w:r>
        <w:t xml:space="preserve"/>
      </w:r>
    </w:p>
    <w:p>
      <w:pPr>
        <w:pBdr>
          <w:left w:val="single" w:color="2E75B6" w:sz="6" w:space="8"/>
        </w:pBdr>
        <w:spacing w:after="160" w:line="276"/>
        <w:ind w:left="360" w:right="360"/>
      </w:pPr>
      <w:r>
        <w:rPr>
          <w:rFonts w:ascii="Arial" w:cs="Arial" w:eastAsia="Arial" w:hAnsi="Arial"/>
          <w:b/>
          <w:bCs/>
          <w:sz w:val="22"/>
          <w:szCs w:val="22"/>
        </w:rPr>
        <w:t xml:space="preserve">Important: </w:t>
      </w:r>
      <w:r>
        <w:rPr>
          <w:rFonts w:ascii="Arial" w:cs="Arial" w:eastAsia="Arial" w:hAnsi="Arial"/>
          <w:sz w:val="22"/>
          <w:szCs w:val="22"/>
        </w:rPr>
        <w:t xml:space="preserve">Write the Abstract last, after everything else is complete. It should summarise your actual findings, not your plans. The Introduction and Discussion also benefit from being written after the analysis is complete.</w:t>
      </w:r>
    </w:p>
    <w:p>
      <w:pPr>
        <w:pStyle w:val="Heading1"/>
        <w:spacing w:after="200" w:before="360"/>
      </w:pPr>
      <w:r>
        <w:rPr>
          <w:rFonts w:ascii="Arial" w:cs="Arial" w:eastAsia="Arial" w:hAnsi="Arial"/>
          <w:b/>
          <w:bCs/>
          <w:color w:val="1F3864"/>
          <w:sz w:val="32"/>
          <w:szCs w:val="32"/>
        </w:rPr>
        <w:t xml:space="preserve">Final Checklist Before Submission</w:t>
      </w:r>
    </w:p>
    <w:p>
      <w:pPr>
        <w:pStyle w:val="ListParagraph"/>
        <w:numPr>
          <w:ilvl w:val="0"/>
          <w:numId w:val="3"/>
        </w:numPr>
        <w:spacing w:after="100" w:line="276"/>
      </w:pPr>
      <w:r>
        <w:rPr>
          <w:rFonts w:ascii="Arial" w:cs="Arial" w:eastAsia="Arial" w:hAnsi="Arial"/>
          <w:sz w:val="22"/>
          <w:szCs w:val="22"/>
        </w:rPr>
        <w:t xml:space="preserve">Abstract is under 200 words and includes a quantitative result (e.g. the 2.0pp tenure gap).</w:t>
      </w:r>
    </w:p>
    <w:p>
      <w:pPr>
        <w:pStyle w:val="ListParagraph"/>
        <w:numPr>
          <w:ilvl w:val="0"/>
          <w:numId w:val="3"/>
        </w:numPr>
        <w:spacing w:after="100" w:line="276"/>
      </w:pPr>
      <w:r>
        <w:rPr>
          <w:rFonts w:ascii="Arial" w:cs="Arial" w:eastAsia="Arial" w:hAnsi="Arial"/>
          <w:sz w:val="22"/>
          <w:szCs w:val="22"/>
        </w:rPr>
        <w:t xml:space="preserve">Introduction frames clear research questions about tenure-driven inflation disparities.</w:t>
      </w:r>
    </w:p>
    <w:p>
      <w:pPr>
        <w:pStyle w:val="ListParagraph"/>
        <w:numPr>
          <w:ilvl w:val="0"/>
          <w:numId w:val="3"/>
        </w:numPr>
        <w:spacing w:after="100" w:line="276"/>
      </w:pPr>
      <w:r>
        <w:rPr>
          <w:rFonts w:ascii="Arial" w:cs="Arial" w:eastAsia="Arial" w:hAnsi="Arial"/>
          <w:sz w:val="22"/>
          <w:szCs w:val="22"/>
        </w:rPr>
        <w:t xml:space="preserve">Data Preparation documents cleaning, COICOP 04 decomposition, and tenure classification.</w:t>
      </w:r>
    </w:p>
    <w:p>
      <w:pPr>
        <w:pStyle w:val="ListParagraph"/>
        <w:numPr>
          <w:ilvl w:val="0"/>
          <w:numId w:val="3"/>
        </w:numPr>
        <w:spacing w:after="100" w:line="276"/>
      </w:pPr>
      <w:r>
        <w:rPr>
          <w:rFonts w:ascii="Arial" w:cs="Arial" w:eastAsia="Arial" w:hAnsi="Arial"/>
          <w:sz w:val="22"/>
          <w:szCs w:val="22"/>
        </w:rPr>
        <w:t xml:space="preserve">Data Exploration includes at least 4–5 insightful figures with discussion.</w:t>
      </w:r>
    </w:p>
    <w:p>
      <w:pPr>
        <w:pStyle w:val="ListParagraph"/>
        <w:numPr>
          <w:ilvl w:val="0"/>
          <w:numId w:val="3"/>
        </w:numPr>
        <w:spacing w:after="100" w:line="276"/>
      </w:pPr>
      <w:r>
        <w:rPr>
          <w:rFonts w:ascii="Arial" w:cs="Arial" w:eastAsia="Arial" w:hAnsi="Arial"/>
          <w:sz w:val="22"/>
          <w:szCs w:val="22"/>
        </w:rPr>
        <w:t xml:space="preserve">Modelling section uses at least 3 complementary methods with baselines.</w:t>
      </w:r>
    </w:p>
    <w:p>
      <w:pPr>
        <w:pStyle w:val="ListParagraph"/>
        <w:numPr>
          <w:ilvl w:val="0"/>
          <w:numId w:val="3"/>
        </w:numPr>
        <w:spacing w:after="100" w:line="276"/>
      </w:pPr>
      <w:r>
        <w:rPr>
          <w:rFonts w:ascii="Arial" w:cs="Arial" w:eastAsia="Arial" w:hAnsi="Arial"/>
          <w:sz w:val="22"/>
          <w:szCs w:val="22"/>
        </w:rPr>
        <w:t xml:space="preserve">All models evaluated with appropriate metrics in a summary table.</w:t>
      </w:r>
    </w:p>
    <w:p>
      <w:pPr>
        <w:pStyle w:val="ListParagraph"/>
        <w:numPr>
          <w:ilvl w:val="0"/>
          <w:numId w:val="3"/>
        </w:numPr>
        <w:spacing w:after="100" w:line="276"/>
      </w:pPr>
      <w:r>
        <w:rPr>
          <w:rFonts w:ascii="Arial" w:cs="Arial" w:eastAsia="Arial" w:hAnsi="Arial"/>
          <w:sz w:val="22"/>
          <w:szCs w:val="22"/>
        </w:rPr>
        <w:t xml:space="preserve">Findings section addresses all research questions with specific numbers.</w:t>
      </w:r>
    </w:p>
    <w:p>
      <w:pPr>
        <w:pStyle w:val="ListParagraph"/>
        <w:numPr>
          <w:ilvl w:val="0"/>
          <w:numId w:val="3"/>
        </w:numPr>
        <w:spacing w:after="100" w:line="276"/>
      </w:pPr>
      <w:r>
        <w:rPr>
          <w:rFonts w:ascii="Arial" w:cs="Arial" w:eastAsia="Arial" w:hAnsi="Arial"/>
          <w:sz w:val="22"/>
          <w:szCs w:val="22"/>
        </w:rPr>
        <w:t xml:space="preserve">Discussion acknowledges limitations (national prices, Laspeyres bias, rent-free exclusion).</w:t>
      </w:r>
    </w:p>
    <w:p>
      <w:pPr>
        <w:pStyle w:val="ListParagraph"/>
        <w:numPr>
          <w:ilvl w:val="0"/>
          <w:numId w:val="3"/>
        </w:numPr>
        <w:spacing w:after="100" w:line="276"/>
      </w:pPr>
      <w:r>
        <w:rPr>
          <w:rFonts w:ascii="Arial" w:cs="Arial" w:eastAsia="Arial" w:hAnsi="Arial"/>
          <w:sz w:val="22"/>
          <w:szCs w:val="22"/>
        </w:rPr>
        <w:t xml:space="preserve">HCI validation prominently featured as methodology credibility check.</w:t>
      </w:r>
    </w:p>
    <w:p>
      <w:pPr>
        <w:pStyle w:val="ListParagraph"/>
        <w:numPr>
          <w:ilvl w:val="0"/>
          <w:numId w:val="3"/>
        </w:numPr>
        <w:spacing w:after="100" w:line="276"/>
      </w:pPr>
      <w:r>
        <w:rPr>
          <w:rFonts w:ascii="Arial" w:cs="Arial" w:eastAsia="Arial" w:hAnsi="Arial"/>
          <w:sz w:val="22"/>
          <w:szCs w:val="22"/>
        </w:rPr>
        <w:t xml:space="preserve">All figures numbered, captioned, and referenced in text.</w:t>
      </w:r>
    </w:p>
    <w:p>
      <w:pPr>
        <w:pStyle w:val="ListParagraph"/>
        <w:numPr>
          <w:ilvl w:val="0"/>
          <w:numId w:val="3"/>
        </w:numPr>
        <w:spacing w:after="100" w:line="276"/>
      </w:pPr>
      <w:r>
        <w:rPr>
          <w:rFonts w:ascii="Arial" w:cs="Arial" w:eastAsia="Arial" w:hAnsi="Arial"/>
          <w:sz w:val="22"/>
          <w:szCs w:val="22"/>
        </w:rPr>
        <w:t xml:space="preserve">12–20 references in IEEE format.</w:t>
      </w:r>
    </w:p>
    <w:p>
      <w:pPr>
        <w:pStyle w:val="ListParagraph"/>
        <w:numPr>
          <w:ilvl w:val="0"/>
          <w:numId w:val="3"/>
        </w:numPr>
        <w:spacing w:after="100" w:line="276"/>
      </w:pPr>
      <w:r>
        <w:rPr>
          <w:rFonts w:ascii="Arial" w:cs="Arial" w:eastAsia="Arial" w:hAnsi="Arial"/>
          <w:sz w:val="22"/>
          <w:szCs w:val="22"/>
        </w:rPr>
        <w:t xml:space="preserve">Report is within the 10-page limit.</w:t>
      </w:r>
    </w:p>
    <w:p>
      <w:pPr>
        <w:pStyle w:val="ListParagraph"/>
        <w:numPr>
          <w:ilvl w:val="0"/>
          <w:numId w:val="3"/>
        </w:numPr>
        <w:spacing w:after="100" w:line="276"/>
      </w:pPr>
      <w:r>
        <w:rPr>
          <w:rFonts w:ascii="Arial" w:cs="Arial" w:eastAsia="Arial" w:hAnsi="Arial"/>
          <w:sz w:val="22"/>
          <w:szCs w:val="22"/>
        </w:rPr>
        <w:t xml:space="preserve">Code repository is clean, documented, and reproducible.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2026-04-02T20:48:35.373Z</dcterms:created>
  <dcterms:modified xsi:type="dcterms:W3CDTF">2026-04-02T20:48:35.374Z</dcterms:modified>
</cp:coreProperties>
</file>

<file path=docProps/custom.xml><?xml version="1.0" encoding="utf-8"?>
<Properties xmlns="http://schemas.openxmlformats.org/officeDocument/2006/custom-properties" xmlns:vt="http://schemas.openxmlformats.org/officeDocument/2006/docPropsVTypes"/>
</file>