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80"/>
        <w:ind w:left="120" w:right="120"/>
      </w:pPr>
      <w:r>
        <w:rPr>
          <w:sz w:val="8"/>
          <w:szCs w:val="8"/>
        </w:rPr>
        <w:t xml:space="preserve">
</w:t>
      </w:r>
    </w:p>
    <w:p>
      <w:pPr>
        <w:shd w:fill="1F4E79" w:val="clear"/>
        <w:ind w:left="120" w:right="120"/>
        <w:jc w:val="center"/>
      </w:pPr>
      <w:r>
        <w:rPr>
          <w:b/>
          <w:bCs/>
          <w:color w:val="FFFFFF"/>
          <w:sz w:val="36"/>
          <w:szCs w:val="36"/>
        </w:rPr>
        <w:t xml:space="preserve">REPORT BLUEPRINT</w:t>
      </w:r>
    </w:p>
    <w:p>
      <w:pPr>
        <w:shd w:fill="1F4E79" w:val="clear"/>
        <w:spacing w:after="0"/>
        <w:ind w:left="120" w:right="120"/>
        <w:jc w:val="center"/>
      </w:pPr>
      <w:r>
        <w:rPr>
          <w:i/>
          <w:iCs/>
          <w:color w:val="BDD7EE"/>
          <w:sz w:val="26"/>
          <w:szCs w:val="26"/>
        </w:rPr>
        <w:t xml:space="preserve">“One Size Fits None? Housing Tenure and the Burden of UK Inflation, 2015–2023”</w:t>
      </w:r>
    </w:p>
    <w:p>
      <w:pPr>
        <w:shd w:fill="1F4E79" w:val="clear"/>
        <w:spacing w:after="40"/>
        <w:ind w:left="120" w:right="120"/>
        <w:jc w:val="center"/>
      </w:pPr>
      <w:r>
        <w:rPr>
          <w:color w:val="BDD7EE"/>
          <w:sz w:val="20"/>
          <w:szCs w:val="20"/>
        </w:rPr>
        <w:t xml:space="preserve">MSc Applied Data Science  —  10-Page IEEE Two-Column Report</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Quick-Reference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MARKING WEIGHT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IEEE two-column, 10 pages incl. refs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LCF 2015/16–2023/24, MM23 CPIH, ONS HCI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Problem 15% | Wrangling 15% | Modelling 40% | Discussion 15% | Presentation 15%</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334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Word Budget</w:t>
            </w:r>
          </w:p>
        </w:tc>
        <w:tc>
          <w:tcPr>
            <w:tcW w:type="dxa" w:w="3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Content</w:t>
            </w:r>
          </w:p>
        </w:tc>
      </w:tr>
      <w:tr>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 Abstract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0.25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150 words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sentences: gap, data, method,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II. Introduction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0.75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~480 words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CPIH limits, HCI evidence, RQ, end-user</w:t>
            </w:r>
          </w:p>
        </w:tc>
      </w:tr>
      <w:tr>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III. Data Prep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1.25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~800 words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LCF wrangling, MM23, OLS decomposition, QC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IV. Data Exploration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2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~1,100 words + 3 figs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Basket heterogeneity, 8-dim scan, price env</w:t>
            </w:r>
          </w:p>
        </w:tc>
      </w:tr>
      <w:tr>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Modelling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3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~1,500 words + 7 figs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Laspeyres + K-means + HCI 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 Discussion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1.5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~900 words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(4 groups), limitations, conclusion</w:t>
            </w:r>
          </w:p>
        </w:tc>
      </w:tr>
      <w:tr>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VII. References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0.5 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refs</w:t>
            </w:r>
          </w:p>
        </w:tc>
        <w:tc>
          <w:tcPr>
            <w:tcW w:type="dxa" w:w="3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IEEE numeric format</w:t>
            </w:r>
          </w:p>
        </w:tc>
      </w:tr>
    </w:tbl>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I. Abstract  (≈ 150 words, no figures)</w:t>
      </w:r>
    </w:p>
    <w:p>
      <w:pPr>
        <w:pStyle w:val="Heading2"/>
        <w:pBdr>
          <w:bottom w:val="single" w:color="2E75B6" w:sz="4"/>
        </w:pBdr>
        <w:spacing w:after="80" w:before="220"/>
      </w:pPr>
      <w:r>
        <w:rPr>
          <w:rFonts w:ascii="Arial" w:cs="Arial" w:eastAsia="Arial" w:hAnsi="Arial"/>
          <w:b/>
          <w:bCs/>
          <w:color w:val="1F4E79"/>
          <w:sz w:val="24"/>
          <w:szCs w:val="24"/>
        </w:rPr>
        <w:t xml:space="preserve">Purpose and Scope</w:t>
      </w:r>
    </w:p>
    <w:p>
      <w:pPr>
        <w:spacing w:after="100"/>
      </w:pPr>
      <w:r>
        <w:rPr>
          <w:color w:val="000000"/>
          <w:sz w:val="20"/>
          <w:szCs w:val="20"/>
        </w:rPr>
        <w:t xml:space="preserve">The abstract is the only part a rushed policy analyst will definitely read. Write it last, after all results are known. It must stand alone without acronyms (except CPIH on first use). Target 150 words in exactly 4 sentences.</w:t>
      </w:r>
    </w:p>
    <w:p>
      <w:pPr>
        <w:pStyle w:val="Heading3"/>
        <w:spacing w:after="60" w:before="160"/>
      </w:pPr>
      <w:r>
        <w:rPr>
          <w:rFonts w:ascii="Arial" w:cs="Arial" w:eastAsia="Arial" w:hAnsi="Arial"/>
          <w:b/>
          <w:bCs/>
          <w:color w:val="2E75B6"/>
          <w:sz w:val="22"/>
          <w:szCs w:val="22"/>
        </w:rPr>
        <w:t xml:space="preserve">Sentence-by-sentence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Sentence</w:t>
            </w:r>
          </w:p>
        </w:tc>
        <w:tc>
          <w:tcPr>
            <w:tcW w:type="dxa" w:w="79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must say</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  —  Gap</w:t>
            </w:r>
          </w:p>
        </w:tc>
        <w:tc>
          <w:tcPr>
            <w:tcW w:type="dxa" w:w="7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Consumer Prices Index including owner occupiers’ housing costs (CPIH) weights UK expenditure to a single ‘average’ basket, yet households differ fundamentally in how they allocate spending — a structural mismatch that systematically advantages or disadvantages specific groups when sub-component prices diverge.</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  —  Data</w:t>
            </w:r>
          </w:p>
        </w:tc>
        <w:tc>
          <w:tcPr>
            <w:tcW w:type="dxa" w:w="7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Using 45,965 households from the Living Costs and Food Survey (2015/16–2023/24), harmonised MM23 CPIH sub-indices, and ONS Household Costs Indices (HCI) for validation, we construct tenure-specific Laspeyres inflation series across four housing tenure groups (mortgage holders, outright owners, private renters, social renters) and apply K-means clustering to household expenditure share vectors.</w:t>
            </w:r>
          </w:p>
        </w:tc>
      </w:tr>
      <w:tr>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  —  Finding</w:t>
            </w:r>
          </w:p>
        </w:tc>
        <w:tc>
          <w:tcPr>
            <w:tcW w:type="dxa" w:w="7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Tenure-driven inflation differentials reach 2.0 percentage points in FY2022 — four times larger than income-quintile differentials — with mortgage holders most exposed during the energy crisis (9.9%) but private renters bearing the greatest burden by FY2024 (4.0%); K-means identifies two natural expenditure clusters that align sharply with the rent/no-rent divide, confirming tenure as the primary axis of expenditure heterogeneity.</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  —  Policy</w:t>
            </w:r>
          </w:p>
        </w:tc>
        <w:tc>
          <w:tcPr>
            <w:tcW w:type="dxa" w:w="7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findings imply that the single CPIH headline conceals substantial distributional variation and that tenure-disaggregated price monitoring is necessary for evidence-based design of energy price caps, Housing Benefit uprating, and the mortgage interest support scheme.</w:t>
            </w:r>
          </w:p>
        </w:tc>
      </w:tr>
    </w:tbl>
    <w:p>
      <w:pPr>
        <w:spacing w:after="80"/>
      </w:pPr>
    </w:p>
    <w:p>
      <w:pPr>
        <w:spacing w:after="100"/>
      </w:pPr>
      <w:r>
        <w:rPr>
          <w:b/>
          <w:bCs/>
          <w:color w:val="1F4E79"/>
          <w:sz w:val="20"/>
          <w:szCs w:val="20"/>
        </w:rPr>
        <w:t xml:space="preserve">Marking criterion satisfied: </w:t>
      </w:r>
      <w:r>
        <w:rPr>
          <w:color w:val="000000"/>
          <w:sz w:val="20"/>
          <w:szCs w:val="20"/>
        </w:rPr>
        <w:t xml:space="preserve">Problem Understanding (15 marks) — frames WHY single basket is insufficient, not just THAT it is; names HCI as ONS’s own acknowledgement of the limitation.</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II. Introduction  (≈ 0.75 page, ~480 words, no figures)</w:t>
      </w:r>
    </w:p>
    <w:p>
      <w:pPr>
        <w:pStyle w:val="Heading2"/>
        <w:pBdr>
          <w:bottom w:val="single" w:color="2E75B6" w:sz="4"/>
        </w:pBdr>
        <w:spacing w:after="80" w:before="220"/>
      </w:pPr>
      <w:r>
        <w:rPr>
          <w:rFonts w:ascii="Arial" w:cs="Arial" w:eastAsia="Arial" w:hAnsi="Arial"/>
          <w:b/>
          <w:bCs/>
          <w:color w:val="1F4E79"/>
          <w:sz w:val="24"/>
          <w:szCs w:val="24"/>
        </w:rPr>
        <w:t xml:space="preserve">Paragraph-by-paragraph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74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Words</w:t>
            </w:r>
          </w:p>
        </w:tc>
        <w:tc>
          <w:tcPr>
            <w:tcW w:type="dxa" w:w="6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  Hook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with the ONS’ own description of CPIH as measuring inflation “for the average household”. Immediately challenge it: in the UK, 35% of households rent, 30% hold a mortgage, 30% own outright — and these groups devote structurally different shares of expenditure to rent, energy, food, and transport. There is no “average household”.</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  The problem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~120</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sz w:val="20"/>
                <w:szCs w:val="20"/>
              </w:rPr>
              <w:t xml:space="preserve">Explain the basket-weight mechanism: when energy prices surge, a household spending 15% of income on energy (social renters) suffers proportionally more than one spending 10% (private renters). The CPIH’s fixed aggregate weights obscure this. Cite the 2022 energy crisis as a stress test: headline CPIH peaked at ~11% but the effective rate varied materially by tenure. Reference </w:t>
            </w:r>
            <w:r>
              <w:rPr>
                <w:i/>
                <w:iCs/>
                <w:color w:val="595959"/>
                <w:sz w:val="20"/>
                <w:szCs w:val="20"/>
              </w:rPr>
              <w:t xml:space="preserve">[ONS CPIH technical manual]</w:t>
            </w:r>
            <w:r>
              <w:rPr>
                <w:sz w:val="20"/>
                <w:szCs w:val="20"/>
              </w:rPr>
              <w:t xml:space="preserve"> and note that ONS itself publishes experimental Household Costs Indices disaggregated by tenure, income decile, and retirement status — an implicit acknowledgement that a single index is insufficient.</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  End-user framing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analysis is designed for a policy analyst at ONS or HM Treasury who must assess which household groups are most exposed to inflation shocks and whether the headline CPIH index adequately represents all households. The practical output is a tenure-disaggregated inflation monitor with explicit validation against the HCI.</w:t>
            </w:r>
          </w:p>
        </w:tc>
      </w:tr>
      <w:tr>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  Research questions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sz w:val="20"/>
                <w:szCs w:val="20"/>
              </w:rPr>
              <w:t xml:space="preserve">Enumerate as </w:t>
            </w:r>
            <w:r>
              <w:rPr>
                <w:b/>
                <w:bCs/>
                <w:sz w:val="20"/>
                <w:szCs w:val="20"/>
              </w:rPr>
              <w:t xml:space="preserve">three numbered RQs</w:t>
            </w:r>
            <w:r>
              <w:rPr>
                <w:sz w:val="20"/>
                <w:szCs w:val="20"/>
              </w:rPr>
              <w:t xml:space="preserve">:
(1) Do tenure groups experience materially different inflation rates after controlling for expenditure basket composition?
(2) What COICOP divisions drive the divergence, and how does this change over time?
(3) Do data-driven expenditure clusters align with the a-priori tenure classification, or does the data suggest a different grouping?</w:t>
            </w:r>
          </w:p>
        </w:tc>
      </w:tr>
      <w:tr>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  Contributions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 two contributions: (a) a replicated and extended Laspeyres tenure-inflation series validated against the ONS HCI with a direct 4-to-4 group mapping; (b) K-means expenditure clustering that provides a data-driven cross-check on whether tenure is the ‘right’ grouping variable.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¶6  Roadmap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One sentence: “Section III describes data preparation; IV presents the exploratory analysis motivating tenure as the primary axis; V details the two analytical strands and their evaluation; VI discusses policy implications and limitations.”</w:t>
            </w:r>
          </w:p>
        </w:tc>
      </w:tr>
    </w:tbl>
    <w:p>
      <w:pPr>
        <w:spacing w:after="80"/>
      </w:pPr>
    </w:p>
    <w:p>
      <w:pPr>
        <w:spacing w:after="100"/>
      </w:pPr>
      <w:r>
        <w:rPr>
          <w:b/>
          <w:bCs/>
          <w:color w:val="1F4E79"/>
          <w:sz w:val="20"/>
          <w:szCs w:val="20"/>
        </w:rPr>
        <w:t xml:space="preserve">Key references for this section: </w:t>
      </w:r>
      <w:r>
        <w:rPr>
          <w:color w:val="000000"/>
          <w:sz w:val="20"/>
          <w:szCs w:val="20"/>
        </w:rPr>
        <w:t xml:space="preserve">[1] ONS, “CPIH compendium,” 2023. [2] ONS, “Household Costs Indices, UK” (experimental series), 2023. [3] Levell &amp; Oldfield, “Differential inflation across UK households,” IFS, 2011.</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III. Data Preparation  (≈ 1.25 pages, ~800 words, 1 table)</w:t>
      </w:r>
    </w:p>
    <w:p>
      <w:pPr>
        <w:pStyle w:val="Heading2"/>
        <w:pBdr>
          <w:bottom w:val="single" w:color="2E75B6" w:sz="4"/>
        </w:pBdr>
        <w:spacing w:after="80" w:before="220"/>
      </w:pPr>
      <w:r>
        <w:rPr>
          <w:rFonts w:ascii="Arial" w:cs="Arial" w:eastAsia="Arial" w:hAnsi="Arial"/>
          <w:b/>
          <w:bCs/>
          <w:color w:val="1F4E79"/>
          <w:sz w:val="24"/>
          <w:szCs w:val="24"/>
        </w:rPr>
        <w:t xml:space="preserve">Sub-sections</w:t>
      </w:r>
    </w:p>
    <w:p>
      <w:pPr>
        <w:pStyle w:val="Heading3"/>
        <w:spacing w:after="60" w:before="160"/>
      </w:pPr>
      <w:r>
        <w:rPr>
          <w:rFonts w:ascii="Arial" w:cs="Arial" w:eastAsia="Arial" w:hAnsi="Arial"/>
          <w:b/>
          <w:bCs/>
          <w:color w:val="2E75B6"/>
          <w:sz w:val="22"/>
          <w:szCs w:val="22"/>
        </w:rPr>
        <w:t xml:space="preserve">A. Living Costs and Food Survey (LCF)</w:t>
      </w:r>
    </w:p>
    <w:p>
      <w:pPr>
        <w:spacing w:after="100"/>
      </w:pPr>
      <w:r>
        <w:rPr>
          <w:color w:val="000000"/>
          <w:sz w:val="20"/>
          <w:szCs w:val="20"/>
        </w:rPr>
        <w:t xml:space="preserve">Cover these points in ~300 words:</w:t>
      </w:r>
    </w:p>
    <w:p>
      <w:pPr>
        <w:pStyle w:val="ListParagraph"/>
        <w:numPr>
          <w:ilvl w:val="0"/>
          <w:numId w:val="2"/>
        </w:numPr>
        <w:spacing w:after="60"/>
      </w:pPr>
      <w:r>
        <w:rPr>
          <w:color w:val="000000"/>
          <w:sz w:val="20"/>
          <w:szCs w:val="20"/>
        </w:rPr>
        <w:t xml:space="preserve">9 financial years (2015/16–2023/24), each released as a separate Stata (.dta) file with inconsistent column naming across waves. Harmonisation required mapping ~200 raw expenditure codes to 12 COICOP divisions using a lookup table aligned to the ONS COICOP 2018 update.</w:t>
      </w:r>
    </w:p>
    <w:p>
      <w:pPr>
        <w:pStyle w:val="ListParagraph"/>
        <w:numPr>
          <w:ilvl w:val="0"/>
          <w:numId w:val="2"/>
        </w:numPr>
        <w:spacing w:after="60"/>
      </w:pPr>
      <w:r>
        <w:rPr>
          <w:color w:val="000000"/>
          <w:sz w:val="20"/>
          <w:szCs w:val="20"/>
        </w:rPr>
        <w:t xml:space="preserve">Household weights (</w:t>
      </w:r>
    </w:p>
    <w:p>
      <w:pPr>
        <w:pStyle w:val="ListParagraph"/>
        <w:numPr>
          <w:ilvl w:val="1"/>
          <w:numId w:val="2"/>
        </w:numPr>
        <w:spacing w:after="60"/>
      </w:pPr>
      <w:r>
        <w:rPr>
          <w:rFonts w:ascii="Courier New" w:cs="Courier New" w:eastAsia="Courier New" w:hAnsi="Courier New"/>
          <w:color w:val="C7254E"/>
          <w:sz w:val="18"/>
          <w:szCs w:val="18"/>
        </w:rPr>
        <w:t xml:space="preserve">household_weight</w:t>
      </w:r>
      <w:r>
        <w:rPr>
          <w:color w:val="000000"/>
          <w:sz w:val="20"/>
          <w:szCs w:val="20"/>
        </w:rPr>
        <w:t xml:space="preserve"> column) applied throughout. Weighted sample = ~45,965 households; unweighted pooled N stated in text.</w:t>
      </w:r>
    </w:p>
    <w:p>
      <w:pPr>
        <w:pStyle w:val="ListParagraph"/>
        <w:numPr>
          <w:ilvl w:val="false"/>
          <w:numId w:val="2"/>
        </w:numPr>
        <w:spacing w:after="60"/>
      </w:pPr>
      <w:r>
        <w:rPr>
          <w:color w:val="000000"/>
          <w:sz w:val="20"/>
          <w:szCs w:val="20"/>
        </w:rPr>
        <w:t xml:space="preserve">Tenure classification: raw codes collapsed to 5 groups; </w:t>
      </w:r>
    </w:p>
    <w:p>
      <w:pPr>
        <w:pStyle w:val="ListParagraph"/>
        <w:numPr>
          <w:ilvl w:val="1"/>
          <w:numId w:val="2"/>
        </w:numPr>
        <w:spacing w:after="60"/>
      </w:pPr>
      <w:r>
        <w:rPr>
          <w:b/>
          <w:bCs/>
          <w:color w:val="C00000"/>
          <w:sz w:val="20"/>
          <w:szCs w:val="20"/>
        </w:rPr>
        <w:t xml:space="preserve">rent_free excluded</w:t>
      </w:r>
      <w:r>
        <w:rPr>
          <w:color w:val="000000"/>
          <w:sz w:val="20"/>
          <w:szCs w:val="20"/>
        </w:rPr>
        <w:t xml:space="preserve"> (n ≈ 461, &lt;1%) due to uninterpretable expenditure patterns; analysis proceeds on 4 groups.</w:t>
      </w:r>
    </w:p>
    <w:p>
      <w:pPr>
        <w:pStyle w:val="ListParagraph"/>
        <w:numPr>
          <w:ilvl w:val="0"/>
          <w:numId w:val="2"/>
        </w:numPr>
        <w:spacing w:after="60"/>
      </w:pPr>
      <w:r>
        <w:rPr>
          <w:color w:val="000000"/>
          <w:sz w:val="20"/>
          <w:szCs w:val="20"/>
        </w:rPr>
        <w:t xml:space="preserve">Expenditure shares computed as </w:t>
      </w:r>
      <w:r>
        <w:rPr>
          <w:rFonts w:ascii="Courier New" w:cs="Courier New" w:eastAsia="Courier New" w:hAnsi="Courier New"/>
          <w:color w:val="C7254E"/>
          <w:sz w:val="18"/>
          <w:szCs w:val="18"/>
        </w:rPr>
        <w:t xml:space="preserve">share_k = exp_k / total_exp</w:t>
      </w:r>
      <w:r>
        <w:rPr>
          <w:color w:val="000000"/>
          <w:sz w:val="20"/>
          <w:szCs w:val="20"/>
        </w:rPr>
        <w:t xml:space="preserve">; Winsorised at 2nd and 98th percentile per COICOP division per year to suppress outlier survey codes.</w:t>
      </w:r>
    </w:p>
    <w:p>
      <w:pPr>
        <w:pStyle w:val="ListParagraph"/>
        <w:numPr>
          <w:ilvl w:val="0"/>
          <w:numId w:val="2"/>
        </w:numPr>
        <w:spacing w:after="60"/>
      </w:pPr>
      <w:r>
        <w:rPr>
          <w:color w:val="000000"/>
          <w:sz w:val="20"/>
          <w:szCs w:val="20"/>
        </w:rPr>
        <w:t xml:space="preserve">COICOP 04 decomposition: ONS CPIH publishes separate </w:t>
      </w:r>
    </w:p>
    <w:p>
      <w:pPr>
        <w:pStyle w:val="ListParagraph"/>
        <w:numPr>
          <w:ilvl w:val="1"/>
          <w:numId w:val="2"/>
        </w:numPr>
        <w:spacing w:after="60"/>
      </w:pPr>
      <w:r>
        <w:rPr>
          <w:b/>
          <w:bCs/>
          <w:color w:val="1F4E79"/>
          <w:sz w:val="20"/>
          <w:szCs w:val="20"/>
        </w:rPr>
        <w:t xml:space="preserve">actual_rents</w:t>
      </w:r>
      <w:r>
        <w:rPr>
          <w:color w:val="000000"/>
          <w:sz w:val="20"/>
          <w:szCs w:val="20"/>
        </w:rPr>
        <w:t xml:space="preserve"> and </w:t>
      </w:r>
      <w:r>
        <w:rPr>
          <w:b/>
          <w:bCs/>
          <w:color w:val="1F4E79"/>
          <w:sz w:val="20"/>
          <w:szCs w:val="20"/>
        </w:rPr>
        <w:t xml:space="preserve">non-rent housing &amp; fuel</w:t>
      </w:r>
      <w:r>
        <w:rPr>
          <w:color w:val="000000"/>
          <w:sz w:val="20"/>
          <w:szCs w:val="20"/>
        </w:rPr>
        <w:t xml:space="preserve"> indices from FY2017; for FY2015–2016, the non-rent component is recovered via OLS decomposition on the composite COICOP 04 index (detail in ¿III.C below).</w:t>
      </w:r>
    </w:p>
    <w:p>
      <w:pPr>
        <w:pStyle w:val="Heading3"/>
        <w:spacing w:after="60" w:before="160"/>
      </w:pPr>
      <w:r>
        <w:rPr>
          <w:rFonts w:ascii="Arial" w:cs="Arial" w:eastAsia="Arial" w:hAnsi="Arial"/>
          <w:b/>
          <w:bCs/>
          <w:color w:val="2E75B6"/>
          <w:sz w:val="22"/>
          <w:szCs w:val="22"/>
        </w:rPr>
        <w:t xml:space="preserve">B. MM23 CPIH Sub-Indices</w:t>
      </w:r>
    </w:p>
    <w:p>
      <w:pPr>
        <w:spacing w:after="100"/>
      </w:pPr>
      <w:r>
        <w:rPr>
          <w:color w:val="000000"/>
          <w:sz w:val="20"/>
          <w:szCs w:val="20"/>
        </w:rPr>
        <w:t xml:space="preserve">~150 words:</w:t>
      </w:r>
    </w:p>
    <w:p>
      <w:pPr>
        <w:pStyle w:val="ListParagraph"/>
        <w:numPr>
          <w:ilvl w:val="0"/>
          <w:numId w:val="2"/>
        </w:numPr>
        <w:spacing w:after="60"/>
      </w:pPr>
      <w:r>
        <w:rPr>
          <w:color w:val="000000"/>
          <w:sz w:val="20"/>
          <w:szCs w:val="20"/>
        </w:rPr>
        <w:t xml:space="preserve">ONS MM23 macro dataset; monthly data extracted for 14 COICOP division-level indices plus the all-items CPIH.</w:t>
      </w:r>
    </w:p>
    <w:p>
      <w:pPr>
        <w:pStyle w:val="ListParagraph"/>
        <w:numPr>
          <w:ilvl w:val="0"/>
          <w:numId w:val="2"/>
        </w:numPr>
        <w:spacing w:after="60"/>
      </w:pPr>
      <w:r>
        <w:rPr>
          <w:color w:val="000000"/>
          <w:sz w:val="20"/>
          <w:szCs w:val="20"/>
        </w:rPr>
        <w:t xml:space="preserve">Aggregated to financial-year means (April–March); annual price changes computed as (mean_t / mean_{t-1}) − 1.</w:t>
      </w:r>
    </w:p>
    <w:p>
      <w:pPr>
        <w:pStyle w:val="ListParagraph"/>
        <w:numPr>
          <w:ilvl w:val="0"/>
          <w:numId w:val="2"/>
        </w:numPr>
        <w:spacing w:after="60"/>
      </w:pPr>
      <w:r>
        <w:rPr>
          <w:color w:val="000000"/>
          <w:sz w:val="20"/>
          <w:szCs w:val="20"/>
        </w:rPr>
        <w:t xml:space="preserve">Two derived series: </w:t>
      </w:r>
      <w:r>
        <w:rPr>
          <w:rFonts w:ascii="Courier New" w:cs="Courier New" w:eastAsia="Courier New" w:hAnsi="Courier New"/>
          <w:color w:val="C7254E"/>
          <w:sz w:val="18"/>
          <w:szCs w:val="18"/>
        </w:rPr>
        <w:t xml:space="preserve">actual_rents</w:t>
      </w:r>
      <w:r>
        <w:rPr>
          <w:color w:val="000000"/>
          <w:sz w:val="20"/>
          <w:szCs w:val="20"/>
        </w:rPr>
        <w:t xml:space="preserve"> (CPIH 04.1) and </w:t>
      </w:r>
      <w:r>
        <w:rPr>
          <w:rFonts w:ascii="Courier New" w:cs="Courier New" w:eastAsia="Courier New" w:hAnsi="Courier New"/>
          <w:color w:val="C7254E"/>
          <w:sz w:val="18"/>
          <w:szCs w:val="18"/>
        </w:rPr>
        <w:t xml:space="preserve">non_rent_housing_fuel</w:t>
      </w:r>
      <w:r>
        <w:rPr>
          <w:color w:val="000000"/>
          <w:sz w:val="20"/>
          <w:szCs w:val="20"/>
        </w:rPr>
        <w:t xml:space="preserve"> (CPIH 04 minus 04.1), the latter estimated via OLS for early years.</w:t>
      </w:r>
    </w:p>
    <w:p>
      <w:pPr>
        <w:pStyle w:val="Heading3"/>
        <w:spacing w:after="60" w:before="160"/>
      </w:pPr>
      <w:r>
        <w:rPr>
          <w:rFonts w:ascii="Arial" w:cs="Arial" w:eastAsia="Arial" w:hAnsi="Arial"/>
          <w:b/>
          <w:bCs/>
          <w:color w:val="2E75B6"/>
          <w:sz w:val="22"/>
          <w:szCs w:val="22"/>
        </w:rPr>
        <w:t xml:space="preserve">C. The Non-Rent Housing &amp; Fuel OLS Derivation — Methodological Note</w:t>
      </w:r>
    </w:p>
    <w:p>
      <w:pPr>
        <w:spacing w:after="100"/>
      </w:pPr>
      <w:r>
        <w:rPr>
          <w:i/>
          <w:iCs/>
          <w:color w:val="595959"/>
          <w:sz w:val="20"/>
          <w:szCs w:val="20"/>
        </w:rPr>
        <w:t xml:space="preserve">This is a methodological showcase point worth highlighting in the report.</w:t>
      </w:r>
    </w:p>
    <w:p>
      <w:pPr>
        <w:spacing w:after="100"/>
      </w:pPr>
      <w:r>
        <w:rPr>
          <w:color w:val="000000"/>
          <w:sz w:val="20"/>
          <w:szCs w:val="20"/>
        </w:rPr>
        <w:t xml:space="preserve">~150 words. Explain that ONS CPIH publishes COICOP 04 (Housing, Fuel &amp; Power) as a composite index. For years where the </w:t>
      </w:r>
      <w:r>
        <w:rPr>
          <w:rFonts w:ascii="Courier New" w:cs="Courier New" w:eastAsia="Courier New" w:hAnsi="Courier New"/>
          <w:color w:val="C7254E"/>
          <w:sz w:val="18"/>
          <w:szCs w:val="18"/>
        </w:rPr>
        <w:t xml:space="preserve">actual_rents</w:t>
      </w:r>
      <w:r>
        <w:rPr>
          <w:color w:val="000000"/>
          <w:sz w:val="20"/>
          <w:szCs w:val="20"/>
        </w:rPr>
        <w:t xml:space="preserve"> sub-index is available separately (from 2017 onward), the residual </w:t>
      </w:r>
      <w:r>
        <w:rPr>
          <w:rFonts w:ascii="Courier New" w:cs="Courier New" w:eastAsia="Courier New" w:hAnsi="Courier New"/>
          <w:color w:val="C7254E"/>
          <w:sz w:val="18"/>
          <w:szCs w:val="18"/>
        </w:rPr>
        <w:t xml:space="preserve">non_rent_housing_fuel</w:t>
      </w:r>
      <w:r>
        <w:rPr>
          <w:color w:val="000000"/>
          <w:sz w:val="20"/>
          <w:szCs w:val="20"/>
        </w:rPr>
        <w:t xml:space="preserve"> component (energy, water, maintenance) is recovered as: </w:t>
      </w:r>
      <w:r>
        <w:rPr>
          <w:rFonts w:ascii="Courier New" w:cs="Courier New" w:eastAsia="Courier New" w:hAnsi="Courier New"/>
          <w:color w:val="C7254E"/>
          <w:sz w:val="18"/>
          <w:szCs w:val="18"/>
        </w:rPr>
        <w:t xml:space="preserve">p_04_non_rent = (w_04 × p_04 − w_04.1 × p_04.1) / w_04_non_rent</w:t>
      </w:r>
      <w:r>
        <w:rPr>
          <w:color w:val="000000"/>
          <w:sz w:val="20"/>
          <w:szCs w:val="20"/>
        </w:rPr>
        <w:t xml:space="preserve">. For FY2015–2016 where the sub-index is unavailable, an OLS regression of observed COICOP 04 index values on known component indices (electricity, gas, other fuel) is used to impute the series. This decomposition is essential to correctly assign rent shares vs. energy shares to each tenure group’s Laspeyres basket — without it, private renters’ inflation would be overstated (their high COICOP 04 share is driven by rent, not energy).</w:t>
      </w:r>
    </w:p>
    <w:p>
      <w:pPr>
        <w:pStyle w:val="Heading3"/>
        <w:spacing w:after="60" w:before="160"/>
      </w:pPr>
      <w:r>
        <w:rPr>
          <w:rFonts w:ascii="Arial" w:cs="Arial" w:eastAsia="Arial" w:hAnsi="Arial"/>
          <w:b/>
          <w:bCs/>
          <w:color w:val="2E75B6"/>
          <w:sz w:val="22"/>
          <w:szCs w:val="22"/>
        </w:rPr>
        <w:t xml:space="preserve">D. ONS HCI Data</w:t>
      </w:r>
    </w:p>
    <w:p>
      <w:pPr>
        <w:spacing w:after="100"/>
      </w:pPr>
      <w:r>
        <w:rPr>
          <w:color w:val="000000"/>
          <w:sz w:val="20"/>
          <w:szCs w:val="20"/>
        </w:rPr>
        <w:t xml:space="preserve">~60 words. ONS Household Costs Indices are experimental statistics published quarterly; extracted annual (CY) indices for 4 tenure groups (Mortgagor, Outright owner, Private renter, Social renter) providing a direct 4-to-4 benchmark match. Also extracted income decile and pensioner-status groupings for secondary validation checks.</w:t>
      </w:r>
    </w:p>
    <w:p>
      <w:pPr>
        <w:pStyle w:val="Heading3"/>
        <w:spacing w:after="60" w:before="160"/>
      </w:pPr>
      <w:r>
        <w:rPr>
          <w:rFonts w:ascii="Arial" w:cs="Arial" w:eastAsia="Arial" w:hAnsi="Arial"/>
          <w:b/>
          <w:bCs/>
          <w:color w:val="2E75B6"/>
          <w:sz w:val="22"/>
          <w:szCs w:val="22"/>
        </w:rPr>
        <w:t xml:space="preserve">E. Quality Checks (briefly — charts in Data Exploration section)</w:t>
      </w:r>
    </w:p>
    <w:p>
      <w:pPr>
        <w:spacing w:after="100"/>
      </w:pPr>
      <w:r>
        <w:rPr>
          <w:color w:val="000000"/>
          <w:sz w:val="20"/>
          <w:szCs w:val="20"/>
        </w:rPr>
        <w:t xml:space="preserve">~60 words. State three checks: (1) share sums validate to 1.0 ± 0.01 for &gt;99% of households; (2) cell sizes ≥ 30 households per tenure×year cell (minimum observed: 48); (3) weight distributions are stable across years with no anomalous spikes. Reference Figure 1 (in Section IV).</w:t>
      </w:r>
    </w:p>
    <w:p>
      <w:pPr>
        <w:spacing w:after="80"/>
      </w:pPr>
    </w:p>
    <w:p>
      <w:pPr>
        <w:spacing w:after="100"/>
      </w:pPr>
      <w:r>
        <w:rPr>
          <w:b/>
          <w:bCs/>
          <w:color w:val="1F4E79"/>
          <w:sz w:val="20"/>
          <w:szCs w:val="20"/>
        </w:rPr>
        <w:t xml:space="preserve">Marking criterion satisfied: </w:t>
      </w:r>
      <w:r>
        <w:rPr>
          <w:color w:val="000000"/>
          <w:sz w:val="20"/>
          <w:szCs w:val="20"/>
        </w:rPr>
        <w:t xml:space="preserve">Data Wrangling (15 marks) — the OLS derivation, 9-year harmonisation, and Winsorisation are non-trivial wrangling steps that should be named explicitly and briefly justified.</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IV. Data Exploration  (≈ 2 pages, ~1,100 words, 4 figures)</w:t>
      </w:r>
    </w:p>
    <w:p>
      <w:pPr>
        <w:pStyle w:val="Heading2"/>
        <w:pBdr>
          <w:bottom w:val="single" w:color="2E75B6" w:sz="4"/>
        </w:pBdr>
        <w:spacing w:after="80" w:before="220"/>
      </w:pPr>
      <w:r>
        <w:rPr>
          <w:rFonts w:ascii="Arial" w:cs="Arial" w:eastAsia="Arial" w:hAnsi="Arial"/>
          <w:b/>
          <w:bCs/>
          <w:color w:val="1F4E79"/>
          <w:sz w:val="24"/>
          <w:szCs w:val="24"/>
        </w:rPr>
        <w:t xml:space="preserve">Narrative arc of this section</w:t>
      </w:r>
    </w:p>
    <w:p>
      <w:pPr>
        <w:spacing w:after="100"/>
      </w:pPr>
      <w:r>
        <w:rPr>
          <w:color w:val="000000"/>
          <w:sz w:val="20"/>
          <w:szCs w:val="20"/>
        </w:rPr>
        <w:t xml:space="preserve">This section should read as a </w:t>
      </w:r>
      <w:r>
        <w:rPr>
          <w:b/>
          <w:bCs/>
          <w:color w:val="000000"/>
          <w:sz w:val="20"/>
          <w:szCs w:val="20"/>
        </w:rPr>
        <w:t xml:space="preserve">detective story</w:t>
      </w:r>
      <w:r>
        <w:rPr>
          <w:color w:val="000000"/>
          <w:sz w:val="20"/>
          <w:szCs w:val="20"/>
        </w:rPr>
        <w:t xml:space="preserve">: you began by asking “which household characteristic creates the most inflation heterogeneity?” You systematically scanned 8 dimensions, found tenure dominates, then characterised the tenure basket differences and the price environment that makes them consequential. End the section with the explicit conclusion: “tenure type is the primary axis of expenditure heterogeneity and therefore the focus of the modelling strand.”</w:t>
      </w:r>
    </w:p>
    <w:p>
      <w:pPr>
        <w:pStyle w:val="Heading3"/>
        <w:spacing w:after="60" w:before="160"/>
      </w:pPr>
      <w:r>
        <w:rPr>
          <w:rFonts w:ascii="Arial" w:cs="Arial" w:eastAsia="Arial" w:hAnsi="Arial"/>
          <w:b/>
          <w:bCs/>
          <w:color w:val="2E75B6"/>
          <w:sz w:val="22"/>
          <w:szCs w:val="22"/>
        </w:rPr>
        <w:t xml:space="preserve">A. The Expenditure Basket by Tenure (Fig 1 — stacked bar chart)</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data/processed/charts/02_expenditure_patterns/p2_5_basket_tenure.png</w:t>
      </w:r>
    </w:p>
    <w:p>
      <w:pPr>
        <w:spacing w:after="100"/>
      </w:pPr>
      <w:r>
        <w:rPr>
          <w:b/>
          <w:bCs/>
          <w:color w:val="2E75B6"/>
          <w:sz w:val="20"/>
          <w:szCs w:val="20"/>
        </w:rPr>
        <w:t xml:space="preserve">Placement: </w:t>
      </w:r>
      <w:r>
        <w:rPr>
          <w:color w:val="000000"/>
          <w:sz w:val="20"/>
          <w:szCs w:val="20"/>
        </w:rPr>
        <w:t xml:space="preserve">Full-width (spanning both columns), early in Section IV.</w:t>
      </w:r>
    </w:p>
    <w:p>
      <w:pPr>
        <w:spacing w:after="100"/>
      </w:pPr>
      <w:r>
        <w:rPr>
          <w:color w:val="000000"/>
          <w:sz w:val="20"/>
          <w:szCs w:val="20"/>
        </w:rPr>
        <w:t xml:space="preserve">~280 words. Walk through the figure column by column. The key numbers to state in text:</w:t>
      </w:r>
    </w:p>
    <w:p>
      <w:pPr>
        <w:pStyle w:val="ListParagraph"/>
        <w:numPr>
          <w:ilvl w:val="0"/>
          <w:numId w:val="2"/>
        </w:numPr>
        <w:spacing w:after="60"/>
      </w:pPr>
      <w:r>
        <w:rPr>
          <w:b/>
          <w:bCs/>
          <w:color w:val="000000"/>
          <w:sz w:val="20"/>
          <w:szCs w:val="20"/>
        </w:rPr>
        <w:t xml:space="preserve">Private renters: </w:t>
      </w:r>
      <w:r>
        <w:rPr>
          <w:color w:val="000000"/>
          <w:sz w:val="20"/>
          <w:szCs w:val="20"/>
        </w:rPr>
        <w:t xml:space="preserve">30.5% actual rent, 40.3% total COICOP 04 (housing/fuel/power). Near-zero discretionary spending on transport (10.9%) and recreation (7.7%).</w:t>
      </w:r>
    </w:p>
    <w:p>
      <w:pPr>
        <w:pStyle w:val="ListParagraph"/>
        <w:numPr>
          <w:ilvl w:val="0"/>
          <w:numId w:val="2"/>
        </w:numPr>
        <w:spacing w:after="60"/>
      </w:pPr>
      <w:r>
        <w:rPr>
          <w:b/>
          <w:bCs/>
          <w:color w:val="000000"/>
          <w:sz w:val="20"/>
          <w:szCs w:val="20"/>
        </w:rPr>
        <w:t xml:space="preserve">Social renters: </w:t>
      </w:r>
      <w:r>
        <w:rPr>
          <w:color w:val="000000"/>
          <w:sz w:val="20"/>
          <w:szCs w:val="20"/>
        </w:rPr>
        <w:t xml:space="preserve">16.9% actual rent, 18.3% food, 15.1% energy. Highest food AND energy shares of any group — “double exposed” to essential goods inflation.</w:t>
      </w:r>
    </w:p>
    <w:p>
      <w:pPr>
        <w:pStyle w:val="ListParagraph"/>
        <w:numPr>
          <w:ilvl w:val="0"/>
          <w:numId w:val="2"/>
        </w:numPr>
        <w:spacing w:after="60"/>
      </w:pPr>
      <w:r>
        <w:rPr>
          <w:b/>
          <w:bCs/>
          <w:color w:val="000000"/>
          <w:sz w:val="20"/>
          <w:szCs w:val="20"/>
        </w:rPr>
        <w:t xml:space="preserve">Outright owners: </w:t>
      </w:r>
      <w:r>
        <w:rPr>
          <w:color w:val="000000"/>
          <w:sz w:val="20"/>
          <w:szCs w:val="20"/>
        </w:rPr>
        <w:t xml:space="preserve">18.2% transport, 13.6% recreation, zero rent. Highest discretionary spending; lowest food share (15.2%).</w:t>
      </w:r>
    </w:p>
    <w:p>
      <w:pPr>
        <w:pStyle w:val="ListParagraph"/>
        <w:numPr>
          <w:ilvl w:val="0"/>
          <w:numId w:val="2"/>
        </w:numPr>
        <w:spacing w:after="60"/>
      </w:pPr>
      <w:r>
        <w:rPr>
          <w:b/>
          <w:bCs/>
          <w:color w:val="000000"/>
          <w:sz w:val="20"/>
          <w:szCs w:val="20"/>
        </w:rPr>
        <w:t xml:space="preserve">Mortgage holders: </w:t>
      </w:r>
      <w:r>
        <w:rPr>
          <w:color w:val="000000"/>
          <w:sz w:val="20"/>
          <w:szCs w:val="20"/>
        </w:rPr>
        <w:t xml:space="preserve">17.1% food, 14.2% transport, 14.3% non-rent energy — a ‘balanced’ basket closest to the CPIH average.</w:t>
      </w:r>
    </w:p>
    <w:p>
      <w:pPr>
        <w:spacing w:after="100"/>
      </w:pPr>
      <w:r>
        <w:rPr>
          <w:color w:val="000000"/>
          <w:sz w:val="20"/>
          <w:szCs w:val="20"/>
        </w:rPr>
        <w:t xml:space="preserve">Conclude: “The rent-to-zero contrast between private renters (30.5%) and outright owners (0%) is the single largest structural difference in the dataset. This basket difference is largely invisible to CPIH.”</w:t>
      </w:r>
    </w:p>
    <w:p>
      <w:pPr>
        <w:pStyle w:val="Heading3"/>
        <w:spacing w:after="60" w:before="160"/>
      </w:pPr>
      <w:r>
        <w:rPr>
          <w:rFonts w:ascii="Arial" w:cs="Arial" w:eastAsia="Arial" w:hAnsi="Arial"/>
          <w:b/>
          <w:bCs/>
          <w:color w:val="2E75B6"/>
          <w:sz w:val="22"/>
          <w:szCs w:val="22"/>
        </w:rPr>
        <w:t xml:space="preserve">B. Systematic Scan: Tenure Dominates All 8 Dimensions (Fig 2)</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data/processed/charts/02_expenditure_patterns/p2_dimension_gap_comparison.png</w:t>
      </w:r>
    </w:p>
    <w:p>
      <w:pPr>
        <w:spacing w:after="100"/>
      </w:pPr>
      <w:r>
        <w:rPr>
          <w:b/>
          <w:bCs/>
          <w:color w:val="2E75B6"/>
          <w:sz w:val="20"/>
          <w:szCs w:val="20"/>
        </w:rPr>
        <w:t xml:space="preserve">Placement: </w:t>
      </w:r>
      <w:r>
        <w:rPr>
          <w:color w:val="000000"/>
          <w:sz w:val="20"/>
          <w:szCs w:val="20"/>
        </w:rPr>
        <w:t xml:space="preserve">Single column, right column, alongside ¿IV.A prose.</w:t>
      </w:r>
    </w:p>
    <w:p>
      <w:pPr>
        <w:spacing w:after="100"/>
      </w:pPr>
      <w:r>
        <w:rPr>
          <w:color w:val="000000"/>
          <w:sz w:val="20"/>
          <w:szCs w:val="20"/>
        </w:rPr>
        <w:t xml:space="preserve">~200 words. Explain the metric: for each of 8 household classification dimensions, compute the weighted-mean expenditure share per group and take max−min across groups (the ‘total variation’ score).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Variation</w:t>
            </w:r>
          </w:p>
        </w:tc>
        <w:tc>
          <w:tcPr>
            <w:tcW w:type="dxa" w:w="4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 driver</w:t>
            </w:r>
          </w:p>
        </w:tc>
      </w:tr>
      <w:tr>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Tenure type</w:t>
            </w:r>
          </w:p>
        </w:tc>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0.305</w:t>
            </w:r>
          </w:p>
        </w:tc>
        <w:tc>
          <w:tcPr>
            <w:tcW w:type="dxa" w:w="43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Rent share (private rent vs. outright owner)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Income quintile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0.181</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Food &amp; recreation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HRP age band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0.157</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Transport, recreation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Household composition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0.143</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Food, children’s goods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Employment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0.121</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Housing, recreation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0.098</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Housing (London premium)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Pensioner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0.089</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Health, recreation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Care-impacted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0.047</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Health</w:t>
            </w:r>
          </w:p>
        </w:tc>
      </w:tr>
    </w:tbl>
    <w:p>
      <w:pPr>
        <w:spacing w:after="80"/>
      </w:pPr>
    </w:p>
    <w:p>
      <w:pPr>
        <w:spacing w:after="100"/>
      </w:pPr>
      <w:r>
        <w:rPr>
          <w:color w:val="000000"/>
          <w:sz w:val="20"/>
          <w:szCs w:val="20"/>
        </w:rPr>
        <w:t xml:space="preserve">Key sentence: “Tenure generates 0.305 total share variation — nearly twice the income-quintile figure (0.181). This motivates housing tenure as the primary analytical lens.”</w:t>
      </w:r>
    </w:p>
    <w:p>
      <w:pPr>
        <w:pStyle w:val="Heading3"/>
        <w:spacing w:after="60" w:before="160"/>
      </w:pPr>
      <w:r>
        <w:rPr>
          <w:rFonts w:ascii="Arial" w:cs="Arial" w:eastAsia="Arial" w:hAnsi="Arial"/>
          <w:b/>
          <w:bCs/>
          <w:color w:val="2E75B6"/>
          <w:sz w:val="22"/>
          <w:szCs w:val="22"/>
        </w:rPr>
        <w:t xml:space="preserve">C. Food &amp; Energy Density Plot (Fig 3)</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data/processed/charts/02_expenditure_patterns/p2_6_food_energy_density.png</w:t>
      </w:r>
    </w:p>
    <w:p>
      <w:pPr>
        <w:spacing w:after="100"/>
      </w:pPr>
      <w:r>
        <w:rPr>
          <w:b/>
          <w:bCs/>
          <w:color w:val="2E75B6"/>
          <w:sz w:val="20"/>
          <w:szCs w:val="20"/>
        </w:rPr>
        <w:t xml:space="preserve">Placement: </w:t>
      </w:r>
      <w:r>
        <w:rPr>
          <w:color w:val="000000"/>
          <w:sz w:val="20"/>
          <w:szCs w:val="20"/>
        </w:rPr>
        <w:t xml:space="preserve">Single column, left column.</w:t>
      </w:r>
    </w:p>
    <w:p>
      <w:pPr>
        <w:spacing w:after="100"/>
      </w:pPr>
      <w:r>
        <w:rPr>
          <w:color w:val="000000"/>
          <w:sz w:val="20"/>
          <w:szCs w:val="20"/>
        </w:rPr>
        <w:t xml:space="preserve">~150 words. Describe the kernel density estimates of food and energy share distributions per tenure group. Social renters have the highest and narrowest food+energy mode — less variance because they have less discretion. Private renters have a bimodal energy distribution: a ‘bills included’ subgroup at near-zero and a ‘bills excluded’ subgroup at ~12%. Cite this as evidence that the aggregate private-rent category is itself heterogeneous (acknowledge in Section VI as a limitation).</w:t>
      </w:r>
    </w:p>
    <w:p>
      <w:pPr>
        <w:pStyle w:val="Heading3"/>
        <w:spacing w:after="60" w:before="160"/>
      </w:pPr>
      <w:r>
        <w:rPr>
          <w:rFonts w:ascii="Arial" w:cs="Arial" w:eastAsia="Arial" w:hAnsi="Arial"/>
          <w:b/>
          <w:bCs/>
          <w:color w:val="2E75B6"/>
          <w:sz w:val="22"/>
          <w:szCs w:val="22"/>
        </w:rPr>
        <w:t xml:space="preserve">D. The Price Environment (Fig 4)</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data/processed/charts/03_price_environment/p3_10_annual_price_change.png</w:t>
      </w:r>
    </w:p>
    <w:p>
      <w:pPr>
        <w:spacing w:after="100"/>
      </w:pPr>
      <w:r>
        <w:rPr>
          <w:b/>
          <w:bCs/>
          <w:color w:val="2E75B6"/>
          <w:sz w:val="20"/>
          <w:szCs w:val="20"/>
        </w:rPr>
        <w:t xml:space="preserve">Placement: </w:t>
      </w:r>
      <w:r>
        <w:rPr>
          <w:color w:val="000000"/>
          <w:sz w:val="20"/>
          <w:szCs w:val="20"/>
        </w:rPr>
        <w:t xml:space="preserve">Full-width.</w:t>
      </w:r>
    </w:p>
    <w:p>
      <w:pPr>
        <w:spacing w:after="100"/>
      </w:pPr>
      <w:r>
        <w:rPr>
          <w:color w:val="000000"/>
          <w:sz w:val="20"/>
          <w:szCs w:val="20"/>
        </w:rPr>
        <w:t xml:space="preserve">~200 words. Describe the annual % change in CPIH sub-indices. Highlight:</w:t>
      </w:r>
    </w:p>
    <w:p>
      <w:pPr>
        <w:pStyle w:val="ListParagraph"/>
        <w:numPr>
          <w:ilvl w:val="0"/>
          <w:numId w:val="2"/>
        </w:numPr>
        <w:spacing w:after="60"/>
      </w:pPr>
      <w:r>
        <w:rPr>
          <w:color w:val="000000"/>
          <w:sz w:val="20"/>
          <w:szCs w:val="20"/>
        </w:rPr>
        <w:t xml:space="preserve">Energy (electricity_gas_fuels): +29% in FY2022 — the dominant shock driver.</w:t>
      </w:r>
    </w:p>
    <w:p>
      <w:pPr>
        <w:pStyle w:val="ListParagraph"/>
        <w:numPr>
          <w:ilvl w:val="0"/>
          <w:numId w:val="2"/>
        </w:numPr>
        <w:spacing w:after="60"/>
      </w:pPr>
      <w:r>
        <w:rPr>
          <w:color w:val="000000"/>
          <w:sz w:val="20"/>
          <w:szCs w:val="20"/>
        </w:rPr>
        <w:t xml:space="preserve">Actual rents: relatively stable 2015–2021 (~2% p.a.), then accelerating strongly from FY2022 to &gt;6% by FY2024 — the lagged shock that hits private renters.</w:t>
      </w:r>
    </w:p>
    <w:p>
      <w:pPr>
        <w:pStyle w:val="ListParagraph"/>
        <w:numPr>
          <w:ilvl w:val="0"/>
          <w:numId w:val="2"/>
        </w:numPr>
        <w:spacing w:after="60"/>
      </w:pPr>
      <w:r>
        <w:rPr>
          <w:color w:val="000000"/>
          <w:sz w:val="20"/>
          <w:szCs w:val="20"/>
        </w:rPr>
        <w:t xml:space="preserve">Food: +11% in FY2023, hitting food-heavy groups (social renters, households with children).</w:t>
      </w:r>
    </w:p>
    <w:p>
      <w:pPr>
        <w:pStyle w:val="ListParagraph"/>
        <w:numPr>
          <w:ilvl w:val="0"/>
          <w:numId w:val="2"/>
        </w:numPr>
        <w:spacing w:after="60"/>
      </w:pPr>
      <w:r>
        <w:rPr>
          <w:color w:val="000000"/>
          <w:sz w:val="20"/>
          <w:szCs w:val="20"/>
        </w:rPr>
        <w:t xml:space="preserve">Transport: volatile but non-directional over the period.</w:t>
      </w:r>
    </w:p>
    <w:p>
      <w:pPr>
        <w:spacing w:after="100"/>
      </w:pPr>
      <w:r>
        <w:rPr>
          <w:color w:val="000000"/>
          <w:sz w:val="20"/>
          <w:szCs w:val="20"/>
        </w:rPr>
        <w:t xml:space="preserve">Conclude: “The temporal sequencing matters: energy dominates 2022, rent dominates 2023–2024, and food amplifies both. This sequencing produces the ‘shifting burden’ finding in Section V.”</w:t>
      </w:r>
    </w:p>
    <w:p>
      <w:pPr>
        <w:spacing w:after="80"/>
      </w:pPr>
    </w:p>
    <w:p>
      <w:pPr>
        <w:spacing w:after="100"/>
      </w:pPr>
      <w:r>
        <w:rPr>
          <w:b/>
          <w:bCs/>
          <w:color w:val="1F4E79"/>
          <w:sz w:val="20"/>
          <w:szCs w:val="20"/>
        </w:rPr>
        <w:t xml:space="preserve">Marking criterion satisfied: </w:t>
      </w:r>
      <w:r>
        <w:rPr>
          <w:color w:val="000000"/>
          <w:sz w:val="20"/>
          <w:szCs w:val="20"/>
        </w:rPr>
        <w:t xml:space="preserve">Data Exploration (15 marks) — systematic 8-dimension scan, not just a ‘look at the data’. The fact that tenure was chosen analytically (highest variation) rather than assumed is a key differentiator.</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V. Data Modelling &amp; Analysis  (≈ 3 pages, ~1,500 words, 7 figures)</w:t>
      </w:r>
    </w:p>
    <w:p>
      <w:pPr>
        <w:pStyle w:val="Heading2"/>
        <w:pBdr>
          <w:bottom w:val="single" w:color="2E75B6" w:sz="4"/>
        </w:pBdr>
        <w:spacing w:after="80" w:before="220"/>
      </w:pPr>
      <w:r>
        <w:rPr>
          <w:rFonts w:ascii="Arial" w:cs="Arial" w:eastAsia="Arial" w:hAnsi="Arial"/>
          <w:b/>
          <w:bCs/>
          <w:color w:val="1F4E79"/>
          <w:sz w:val="24"/>
          <w:szCs w:val="24"/>
        </w:rPr>
        <w:t xml:space="preserve">Overview of two analytical strands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STRAND 1: Laspeyres Inflation Series</w:t>
            </w:r>
          </w:p>
        </w:tc>
        <w:tc>
          <w:tcPr>
            <w:tcW w:type="dxa" w:w="487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STRAND 2: K-Means Expenditure Clustering</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Statistical method: weighted Laspeyres price index with lagged expenditure weights. Produces annual inflation rates per tenure group, gap series, COICOP decompositions, cumulative PPP indices.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ML method: K-means clustering on 14-dimensional expenditure share vectors. Discovers natural household groupings independent of the a-priori tenure classification.</w:t>
            </w:r>
          </w:p>
        </w:tc>
      </w:tr>
    </w:tbl>
    <w:p>
      <w:pPr>
        <w:spacing w:after="120"/>
      </w:pPr>
    </w:p>
    <w:p>
      <w:pPr>
        <w:pStyle w:val="Heading2"/>
        <w:pBdr>
          <w:bottom w:val="single" w:color="2E75B6" w:sz="4"/>
        </w:pBdr>
        <w:spacing w:after="80" w:before="220"/>
      </w:pPr>
      <w:r>
        <w:rPr>
          <w:rFonts w:ascii="Arial" w:cs="Arial" w:eastAsia="Arial" w:hAnsi="Arial"/>
          <w:b/>
          <w:bCs/>
          <w:color w:val="1F4E79"/>
          <w:sz w:val="24"/>
          <w:szCs w:val="24"/>
        </w:rPr>
        <w:t xml:space="preserve">Strand 1: Laspeyres Inflation Series</w:t>
      </w:r>
    </w:p>
    <w:p>
      <w:pPr>
        <w:pStyle w:val="Heading3"/>
        <w:spacing w:after="60" w:before="160"/>
      </w:pPr>
      <w:r>
        <w:rPr>
          <w:rFonts w:ascii="Arial" w:cs="Arial" w:eastAsia="Arial" w:hAnsi="Arial"/>
          <w:b/>
          <w:bCs/>
          <w:color w:val="2E75B6"/>
          <w:sz w:val="22"/>
          <w:szCs w:val="22"/>
        </w:rPr>
        <w:t xml:space="preserve">V.A Methodology (~200 words)</w:t>
      </w:r>
    </w:p>
    <w:p>
      <w:pPr>
        <w:spacing w:after="100"/>
      </w:pPr>
      <w:r>
        <w:rPr>
          <w:color w:val="000000"/>
          <w:sz w:val="20"/>
          <w:szCs w:val="20"/>
        </w:rPr>
        <w:t xml:space="preserve">State the formula clearly: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2E75B6" w:sz="2"/>
              <w:left w:val="single" w:color="2E75B6" w:sz="2"/>
              <w:bottom w:val="single" w:color="2E75B6" w:sz="2"/>
              <w:right w:val="single" w:color="2E75B6" w:sz="2"/>
            </w:tcBorders>
            <w:shd w:fill="F2F2F2" w:val="clear"/>
            <w:tcMar>
              <w:top w:type="dxa" w:w="120"/>
              <w:left w:type="dxa" w:w="200"/>
              <w:bottom w:type="dxa" w:w="120"/>
              <w:right w:type="dxa" w:w="200"/>
            </w:tcMar>
          </w:tcPr>
          <w:p>
            <w:pPr>
              <w:jc w:val="center"/>
            </w:pPr>
            <w:r>
              <w:rPr>
                <w:rFonts w:ascii="Times New Roman" w:cs="Times New Roman" w:eastAsia="Times New Roman" w:hAnsi="Times New Roman"/>
                <w:b/>
                <w:bCs/>
                <w:sz w:val="28"/>
                <w:szCs w:val="28"/>
              </w:rPr>
              <w:t xml:space="preserve">π</w:t>
            </w:r>
            <w:r>
              <w:rPr>
                <w:b w:val="false"/>
                <w:bCs w:val="false"/>
                <w:sz w:val="20"/>
                <w:szCs w:val="20"/>
                <w:vertAlign w:val="subscript"/>
              </w:rPr>
              <w:t xml:space="preserve">g,t</w:t>
            </w:r>
            <w:r>
              <w:rPr>
                <w:rFonts w:ascii="Times New Roman" w:cs="Times New Roman" w:eastAsia="Times New Roman" w:hAnsi="Times New Roman"/>
                <w:b/>
                <w:bCs/>
                <w:sz w:val="28"/>
                <w:szCs w:val="28"/>
              </w:rPr>
              <w:t xml:space="preserve">  =  Σ</w:t>
            </w:r>
            <w:r>
              <w:rPr>
                <w:sz w:val="20"/>
                <w:szCs w:val="20"/>
                <w:vertAlign w:val="subscript"/>
              </w:rPr>
              <w:t xml:space="preserve">k</w:t>
            </w:r>
            <w:r>
              <w:rPr>
                <w:rFonts w:ascii="Times New Roman" w:cs="Times New Roman" w:eastAsia="Times New Roman" w:hAnsi="Times New Roman"/>
                <w:b/>
                <w:bCs/>
                <w:sz w:val="22"/>
                <w:szCs w:val="22"/>
              </w:rPr>
              <w:t xml:space="preserve">  ̅w</w:t>
            </w:r>
            <w:r>
              <w:rPr>
                <w:sz w:val="20"/>
                <w:szCs w:val="20"/>
                <w:vertAlign w:val="subscript"/>
              </w:rPr>
              <w:t xml:space="preserve">g,k,t−1</w:t>
            </w:r>
            <w:r>
              <w:rPr>
                <w:rFonts w:ascii="Times New Roman" w:cs="Times New Roman" w:eastAsia="Times New Roman" w:hAnsi="Times New Roman"/>
                <w:b/>
                <w:bCs/>
                <w:sz w:val="22"/>
                <w:szCs w:val="22"/>
              </w:rPr>
              <w:t xml:space="preserve">  ×  Δp</w:t>
            </w:r>
            <w:r>
              <w:rPr>
                <w:sz w:val="20"/>
                <w:szCs w:val="20"/>
                <w:vertAlign w:val="subscript"/>
              </w:rPr>
              <w:t xml:space="preserve">k,t</w:t>
            </w:r>
          </w:p>
          <w:p>
            <w:pPr>
              <w:spacing w:before="60"/>
              <w:jc w:val="center"/>
            </w:pPr>
            <w:r>
              <w:rPr>
                <w:color w:val="595959"/>
                <w:sz w:val="18"/>
                <w:szCs w:val="18"/>
              </w:rPr>
              <w:t xml:space="preserve">where  ̅w = weighted-mean expenditure share of group g in COICOP k, lagged one year</w:t>
            </w:r>
          </w:p>
          <w:p>
            <w:pPr>
              <w:jc w:val="center"/>
            </w:pPr>
            <w:r>
              <w:rPr>
                <w:color w:val="595959"/>
                <w:sz w:val="18"/>
                <w:szCs w:val="18"/>
              </w:rPr>
              <w:t xml:space="preserve">Δpₓₕ = annual % change in CPIH sub-index k in FY t</w:t>
            </w:r>
          </w:p>
        </w:tc>
      </w:tr>
    </w:tbl>
    <w:p>
      <w:pPr>
        <w:spacing w:after="80"/>
      </w:pPr>
    </w:p>
    <w:p>
      <w:pPr>
        <w:spacing w:after="100"/>
      </w:pPr>
      <w:r>
        <w:rPr>
          <w:color w:val="000000"/>
          <w:sz w:val="20"/>
          <w:szCs w:val="20"/>
        </w:rPr>
        <w:t xml:space="preserve">Explain lagged weights: using the prior year’s average expenditure shares prevents endogeneity (prices affecting reported spending). Weights are weighted means across all LCF respondents in group g and year t−1, using household survey weights. CPIH sub-index price changes are computed from MM23 financial-year mean indices. No NumPy or SciPy solver needed for this step — it is a weighted dot product.</w:t>
      </w:r>
    </w:p>
    <w:p>
      <w:pPr>
        <w:pStyle w:val="Heading3"/>
        <w:spacing w:after="60" w:before="160"/>
      </w:pPr>
      <w:r>
        <w:rPr>
          <w:rFonts w:ascii="Arial" w:cs="Arial" w:eastAsia="Arial" w:hAnsi="Arial"/>
          <w:b/>
          <w:bCs/>
          <w:color w:val="2E75B6"/>
          <w:sz w:val="22"/>
          <w:szCs w:val="22"/>
        </w:rPr>
        <w:t xml:space="preserve">V.B Tenure Inflation Series (Fig 5)</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data/processed/charts/04_group_inflation/p4_series_tenure_type.png</w:t>
      </w:r>
    </w:p>
    <w:p>
      <w:pPr>
        <w:spacing w:after="100"/>
      </w:pPr>
      <w:r>
        <w:rPr>
          <w:b/>
          <w:bCs/>
          <w:color w:val="2E75B6"/>
          <w:sz w:val="20"/>
          <w:szCs w:val="20"/>
        </w:rPr>
        <w:t xml:space="preserve">Placement: </w:t>
      </w:r>
      <w:r>
        <w:rPr>
          <w:color w:val="000000"/>
          <w:sz w:val="20"/>
          <w:szCs w:val="20"/>
        </w:rPr>
        <w:t xml:space="preserve">Full-width, first figure in modelling section.</w:t>
      </w:r>
    </w:p>
    <w:p>
      <w:pPr>
        <w:spacing w:after="100"/>
      </w:pPr>
      <w:r>
        <w:rPr>
          <w:color w:val="000000"/>
          <w:sz w:val="20"/>
          <w:szCs w:val="20"/>
        </w:rPr>
        <w:t xml:space="preserve">~150 words. Describe the four tenure series against the CPIH headline overlay. Key observations:</w:t>
      </w:r>
    </w:p>
    <w:p>
      <w:pPr>
        <w:pStyle w:val="ListParagraph"/>
        <w:numPr>
          <w:ilvl w:val="0"/>
          <w:numId w:val="2"/>
        </w:numPr>
        <w:spacing w:after="60"/>
      </w:pPr>
      <w:r>
        <w:rPr>
          <w:b/>
          <w:bCs/>
          <w:color w:val="000000"/>
          <w:sz w:val="20"/>
          <w:szCs w:val="20"/>
        </w:rPr>
        <w:t xml:space="preserve">FY2022 energy crisis: </w:t>
      </w:r>
      <w:r>
        <w:rPr>
          <w:color w:val="000000"/>
          <w:sz w:val="20"/>
          <w:szCs w:val="20"/>
        </w:rPr>
        <w:t xml:space="preserve">Mortgage holders peak at 9.89%; outright owners 9.53%; social renters 9.10%; private renters 7.88%. The gap = 2.01pp.</w:t>
      </w:r>
    </w:p>
    <w:p>
      <w:pPr>
        <w:pStyle w:val="ListParagraph"/>
        <w:numPr>
          <w:ilvl w:val="0"/>
          <w:numId w:val="2"/>
        </w:numPr>
        <w:spacing w:after="60"/>
      </w:pPr>
      <w:r>
        <w:rPr>
          <w:b/>
          <w:bCs/>
          <w:color w:val="000000"/>
          <w:sz w:val="20"/>
          <w:szCs w:val="20"/>
        </w:rPr>
        <w:t xml:space="preserve">Shifting burden: </w:t>
      </w:r>
      <w:r>
        <w:rPr>
          <w:color w:val="000000"/>
          <w:sz w:val="20"/>
          <w:szCs w:val="20"/>
        </w:rPr>
        <w:t xml:space="preserve">By FY2024, private renters lead at 3.99% vs. 2.14% for outright owners (gap = 1.85pp) as rent inflation dominates the post-crisis period.</w:t>
      </w:r>
    </w:p>
    <w:p>
      <w:pPr>
        <w:pStyle w:val="ListParagraph"/>
        <w:numPr>
          <w:ilvl w:val="0"/>
          <w:numId w:val="2"/>
        </w:numPr>
        <w:spacing w:after="60"/>
      </w:pPr>
      <w:r>
        <w:rPr>
          <w:b/>
          <w:bCs/>
          <w:color w:val="000000"/>
          <w:sz w:val="20"/>
          <w:szCs w:val="20"/>
        </w:rPr>
        <w:t xml:space="preserve">Pre-crisis (2016–2021): </w:t>
      </w:r>
      <w:r>
        <w:rPr>
          <w:color w:val="000000"/>
          <w:sz w:val="20"/>
          <w:szCs w:val="20"/>
        </w:rPr>
        <w:t xml:space="preserve">Differentials are small (≤1.0pp). The crisis amplifies latent basket differences.</w:t>
      </w:r>
    </w:p>
    <w:p>
      <w:pPr>
        <w:pStyle w:val="Heading3"/>
        <w:spacing w:after="60" w:before="160"/>
      </w:pPr>
      <w:r>
        <w:rPr>
          <w:rFonts w:ascii="Arial" w:cs="Arial" w:eastAsia="Arial" w:hAnsi="Arial"/>
          <w:b/>
          <w:bCs/>
          <w:color w:val="2E75B6"/>
          <w:sz w:val="22"/>
          <w:szCs w:val="22"/>
        </w:rPr>
        <w:t xml:space="preserve">V.C Gap Bar Chart (Fig 6) — optional inline</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data/processed/charts/04_group_inflation/p4_gap_tenure_type.png</w:t>
      </w:r>
    </w:p>
    <w:p>
      <w:pPr>
        <w:spacing w:after="100"/>
      </w:pPr>
      <w:r>
        <w:rPr>
          <w:b/>
          <w:bCs/>
          <w:color w:val="2E75B6"/>
          <w:sz w:val="20"/>
          <w:szCs w:val="20"/>
        </w:rPr>
        <w:t xml:space="preserve">Placement: </w:t>
      </w:r>
      <w:r>
        <w:rPr>
          <w:color w:val="000000"/>
          <w:sz w:val="20"/>
          <w:szCs w:val="20"/>
        </w:rPr>
        <w:t xml:space="preserve">Single column. Can be inlined alongside V.B prose to save space.</w:t>
      </w:r>
    </w:p>
    <w:p>
      <w:pPr>
        <w:spacing w:after="100"/>
      </w:pPr>
      <w:r>
        <w:rPr>
          <w:color w:val="000000"/>
          <w:sz w:val="20"/>
          <w:szCs w:val="20"/>
        </w:rPr>
        <w:t xml:space="preserve">~60 words. Show that the FY2022 gap (2.01pp) and FY2024 gap (1.85pp) are the two largest in the series. Pre-crisis gaps are ≤0.6pp, confirming the crisis is the key amplifier.</w:t>
      </w:r>
    </w:p>
    <w:p>
      <w:pPr>
        <w:pStyle w:val="Heading3"/>
        <w:spacing w:after="60" w:before="160"/>
      </w:pPr>
      <w:r>
        <w:rPr>
          <w:rFonts w:ascii="Arial" w:cs="Arial" w:eastAsia="Arial" w:hAnsi="Arial"/>
          <w:b/>
          <w:bCs/>
          <w:color w:val="2E75B6"/>
          <w:sz w:val="22"/>
          <w:szCs w:val="22"/>
        </w:rPr>
        <w:t xml:space="preserve">V.D Crisis-Year COICOP Decomposition (Fig 7)</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data/processed/charts/04_group_inflation/p4_decomp_tenure_type.png</w:t>
      </w:r>
    </w:p>
    <w:p>
      <w:pPr>
        <w:spacing w:after="100"/>
      </w:pPr>
      <w:r>
        <w:rPr>
          <w:b/>
          <w:bCs/>
          <w:color w:val="2E75B6"/>
          <w:sz w:val="20"/>
          <w:szCs w:val="20"/>
        </w:rPr>
        <w:t xml:space="preserve">Placement: </w:t>
      </w:r>
      <w:r>
        <w:rPr>
          <w:color w:val="000000"/>
          <w:sz w:val="20"/>
          <w:szCs w:val="20"/>
        </w:rPr>
        <w:t xml:space="preserve">Full-width.</w:t>
      </w:r>
    </w:p>
    <w:p>
      <w:pPr>
        <w:spacing w:after="100"/>
      </w:pPr>
      <w:r>
        <w:rPr>
          <w:color w:val="000000"/>
          <w:sz w:val="20"/>
          <w:szCs w:val="20"/>
        </w:rPr>
        <w:t xml:space="preserve">~200 words. This is the most analytically rich figure in Strand 1. For FY2022, show each COICOP division’s </w:t>
      </w:r>
      <w:r>
        <w:rPr>
          <w:b/>
          <w:bCs/>
          <w:color w:val="000000"/>
          <w:sz w:val="22"/>
          <w:szCs w:val="22"/>
        </w:rPr>
        <w:t xml:space="preserve">contribution</w:t>
      </w:r>
      <w:r>
        <w:rPr>
          <w:color w:val="000000"/>
          <w:sz w:val="20"/>
          <w:szCs w:val="20"/>
        </w:rPr>
        <w:t xml:space="preserve"> (share × price change) to each group’s total inflation rate. Key insights:</w:t>
      </w:r>
    </w:p>
    <w:p>
      <w:pPr>
        <w:pStyle w:val="ListParagraph"/>
        <w:numPr>
          <w:ilvl w:val="0"/>
          <w:numId w:val="2"/>
        </w:numPr>
        <w:spacing w:after="60"/>
      </w:pPr>
      <w:r>
        <w:rPr>
          <w:color w:val="000000"/>
          <w:sz w:val="20"/>
          <w:szCs w:val="20"/>
        </w:rPr>
        <w:t xml:space="preserve">Non-rent energy is the largest single contributor for all groups, but the contribution is largest for social renters (15.1% energy share × high price change).</w:t>
      </w:r>
    </w:p>
    <w:p>
      <w:pPr>
        <w:pStyle w:val="ListParagraph"/>
        <w:numPr>
          <w:ilvl w:val="0"/>
          <w:numId w:val="2"/>
        </w:numPr>
        <w:spacing w:after="60"/>
      </w:pPr>
      <w:r>
        <w:rPr>
          <w:color w:val="000000"/>
          <w:sz w:val="20"/>
          <w:szCs w:val="20"/>
        </w:rPr>
        <w:t xml:space="preserve">Food contributes more to social renters (18.3% share) than to outright owners (15.2%).</w:t>
      </w:r>
    </w:p>
    <w:p>
      <w:pPr>
        <w:pStyle w:val="ListParagraph"/>
        <w:numPr>
          <w:ilvl w:val="0"/>
          <w:numId w:val="2"/>
        </w:numPr>
        <w:spacing w:after="60"/>
      </w:pPr>
      <w:r>
        <w:rPr>
          <w:color w:val="000000"/>
          <w:sz w:val="20"/>
          <w:szCs w:val="20"/>
        </w:rPr>
        <w:t xml:space="preserve">The mortgage group’s premium over private renters in FY2022 comes partly from their higher energy share (14.3% vs. 9.8%) since private renters’ high COICOP 04 share is dominated by actual rents (which were barely rising in 2022).</w:t>
      </w:r>
    </w:p>
    <w:p>
      <w:pPr>
        <w:pStyle w:val="ListParagraph"/>
        <w:numPr>
          <w:ilvl w:val="0"/>
          <w:numId w:val="2"/>
        </w:numPr>
        <w:spacing w:after="60"/>
      </w:pPr>
      <w:r>
        <w:rPr>
          <w:color w:val="000000"/>
          <w:sz w:val="20"/>
          <w:szCs w:val="20"/>
        </w:rPr>
        <w:t xml:space="preserve">By FY2024, the decomposition reverses: actual rents now contribute strongly to private renters’ inflation, producing the burden shift.</w:t>
      </w:r>
    </w:p>
    <w:p>
      <w:pPr>
        <w:spacing w:after="100"/>
      </w:pPr>
      <w:r>
        <w:rPr>
          <w:i/>
          <w:iCs/>
          <w:color w:val="595959"/>
          <w:sz w:val="20"/>
          <w:szCs w:val="20"/>
        </w:rPr>
        <w:t xml:space="preserve">This is the most important single figure in the report. It directly answers RQ2.</w:t>
      </w:r>
    </w:p>
    <w:p>
      <w:pPr>
        <w:pStyle w:val="Heading3"/>
        <w:spacing w:after="60" w:before="160"/>
      </w:pPr>
      <w:r>
        <w:rPr>
          <w:rFonts w:ascii="Arial" w:cs="Arial" w:eastAsia="Arial" w:hAnsi="Arial"/>
          <w:b/>
          <w:bCs/>
          <w:color w:val="2E75B6"/>
          <w:sz w:val="22"/>
          <w:szCs w:val="22"/>
        </w:rPr>
        <w:t xml:space="preserve">V.E Cumulative PPP Index (Fig 8)</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data/processed/charts/04_group_inflation/p4_cumulative_tenure_type.png</w:t>
      </w:r>
    </w:p>
    <w:p>
      <w:pPr>
        <w:spacing w:after="100"/>
      </w:pPr>
      <w:r>
        <w:rPr>
          <w:b/>
          <w:bCs/>
          <w:color w:val="2E75B6"/>
          <w:sz w:val="20"/>
          <w:szCs w:val="20"/>
        </w:rPr>
        <w:t xml:space="preserve">Placement: </w:t>
      </w:r>
      <w:r>
        <w:rPr>
          <w:color w:val="000000"/>
          <w:sz w:val="20"/>
          <w:szCs w:val="20"/>
        </w:rPr>
        <w:t xml:space="preserve">Single column.</w:t>
      </w:r>
    </w:p>
    <w:p>
      <w:pPr>
        <w:spacing w:after="100"/>
      </w:pPr>
      <w:r>
        <w:rPr>
          <w:color w:val="000000"/>
          <w:sz w:val="20"/>
          <w:szCs w:val="20"/>
        </w:rPr>
        <w:t xml:space="preserve">~100 words. Index all groups to 100 in FY2015. By FY2024, private renters’ cumulative inflation is highest, their purchasing power has eroded the most in real terms. Outright owners have the lowest cumulative erosion. State the numbers. Note this is a visual summary of compounding differentials, not a new analytical result.</w:t>
      </w:r>
    </w:p>
    <w:p>
      <w:pPr>
        <w:spacing w:after="80"/>
      </w:pPr>
    </w:p>
    <w:p>
      <w:pPr>
        <w:pBdr>
          <w:bottom w:val="single" w:color="2E75B6" w:sz="6" w:space="1"/>
        </w:pBdr>
        <w:spacing w:after="120"/>
      </w:pPr>
    </w:p>
    <w:p>
      <w:pPr>
        <w:spacing w:after="40"/>
      </w:pPr>
    </w:p>
    <w:p>
      <w:pPr>
        <w:pStyle w:val="Heading2"/>
        <w:pBdr>
          <w:bottom w:val="single" w:color="2E75B6" w:sz="4"/>
        </w:pBdr>
        <w:spacing w:after="80" w:before="220"/>
      </w:pPr>
      <w:r>
        <w:rPr>
          <w:rFonts w:ascii="Arial" w:cs="Arial" w:eastAsia="Arial" w:hAnsi="Arial"/>
          <w:b/>
          <w:bCs/>
          <w:color w:val="1F4E79"/>
          <w:sz w:val="24"/>
          <w:szCs w:val="24"/>
        </w:rPr>
        <w:t xml:space="preserve">Strand 2: K-Means Expenditure Clustering</w:t>
      </w:r>
    </w:p>
    <w:p>
      <w:pPr>
        <w:pStyle w:val="Heading3"/>
        <w:spacing w:after="60" w:before="160"/>
      </w:pPr>
      <w:r>
        <w:rPr>
          <w:rFonts w:ascii="Arial" w:cs="Arial" w:eastAsia="Arial" w:hAnsi="Arial"/>
          <w:b/>
          <w:bCs/>
          <w:color w:val="2E75B6"/>
          <w:sz w:val="22"/>
          <w:szCs w:val="22"/>
        </w:rPr>
        <w:t xml:space="preserve">V.F Rationale and Setup (~150 words)</w:t>
      </w:r>
    </w:p>
    <w:p>
      <w:pPr>
        <w:spacing w:after="100"/>
      </w:pPr>
      <w:r>
        <w:rPr>
          <w:color w:val="000000"/>
          <w:sz w:val="20"/>
          <w:szCs w:val="20"/>
        </w:rPr>
        <w:t xml:space="preserve">Motivate the question: the Laspeyres analysis imposes the 4-group tenure classification. K-means asks: </w:t>
      </w:r>
      <w:r>
        <w:rPr>
          <w:i/>
          <w:iCs/>
          <w:color w:val="595959"/>
          <w:sz w:val="20"/>
          <w:szCs w:val="20"/>
        </w:rPr>
        <w:t xml:space="preserve">if we let the data decide, do households naturally cluster in a way that aligns with tenure? Or is the ONS tenure classification an imperfect proxy for a different underlying structure?</w:t>
      </w:r>
    </w:p>
    <w:p>
      <w:pPr>
        <w:spacing w:after="100"/>
      </w:pPr>
      <w:r>
        <w:rPr>
          <w:color w:val="000000"/>
          <w:sz w:val="20"/>
          <w:szCs w:val="20"/>
        </w:rPr>
        <w:t xml:space="preserve">Input: 14-dimensional expenditure share vectors (12 COICOP divisions + actual_rent + energy_other) for all 45,504 households in the 4-tenure sample. No labels used. Weighted by survey household weight.</w:t>
      </w:r>
    </w:p>
    <w:p>
      <w:pPr>
        <w:spacing w:after="100"/>
      </w:pPr>
      <w:r>
        <w:rPr>
          <w:color w:val="000000"/>
          <w:sz w:val="20"/>
          <w:szCs w:val="20"/>
        </w:rPr>
        <w:t xml:space="preserve">Note the absence of SciPy: all distance computations use NumPy. The k-means objective is minimised using Lloyd’s algorithm implemented in scikit-learn (</w:t>
      </w:r>
      <w:r>
        <w:rPr>
          <w:rFonts w:ascii="Courier New" w:cs="Courier New" w:eastAsia="Courier New" w:hAnsi="Courier New"/>
          <w:color w:val="C7254E"/>
          <w:sz w:val="18"/>
          <w:szCs w:val="18"/>
        </w:rPr>
        <w:t xml:space="preserve">sklearn.cluster.KMeans</w:t>
      </w:r>
      <w:r>
        <w:rPr>
          <w:color w:val="000000"/>
          <w:sz w:val="20"/>
          <w:szCs w:val="20"/>
        </w:rPr>
        <w:t xml:space="preserve">), which has no SciPy dependency. Silhouette coefficients computed via scikit-learn’s </w:t>
      </w:r>
      <w:r>
        <w:rPr>
          <w:rFonts w:ascii="Courier New" w:cs="Courier New" w:eastAsia="Courier New" w:hAnsi="Courier New"/>
          <w:color w:val="C7254E"/>
          <w:sz w:val="18"/>
          <w:szCs w:val="18"/>
        </w:rPr>
        <w:t xml:space="preserve">silhouette_score</w:t>
      </w:r>
      <w:r>
        <w:rPr>
          <w:color w:val="000000"/>
          <w:sz w:val="20"/>
          <w:szCs w:val="20"/>
        </w:rPr>
        <w:t xml:space="preserve">. Confirm this respects the no-scipy constraint.</w:t>
      </w:r>
    </w:p>
    <w:p>
      <w:pPr>
        <w:pStyle w:val="Heading3"/>
        <w:spacing w:after="60" w:before="160"/>
      </w:pPr>
      <w:r>
        <w:rPr>
          <w:rFonts w:ascii="Arial" w:cs="Arial" w:eastAsia="Arial" w:hAnsi="Arial"/>
          <w:b/>
          <w:bCs/>
          <w:color w:val="2E75B6"/>
          <w:sz w:val="22"/>
          <w:szCs w:val="22"/>
        </w:rPr>
        <w:t xml:space="preserve">V.G Silhouette Analysis — Choosing k (Fig 9)</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data/processed/charts/06_clustering/p6_silhouette_analysis.png</w:t>
      </w:r>
    </w:p>
    <w:p>
      <w:pPr>
        <w:spacing w:after="100"/>
      </w:pPr>
      <w:r>
        <w:rPr>
          <w:b/>
          <w:bCs/>
          <w:color w:val="2E75B6"/>
          <w:sz w:val="20"/>
          <w:szCs w:val="20"/>
        </w:rPr>
        <w:t xml:space="preserve">Placement: </w:t>
      </w:r>
      <w:r>
        <w:rPr>
          <w:color w:val="000000"/>
          <w:sz w:val="20"/>
          <w:szCs w:val="20"/>
        </w:rPr>
        <w:t xml:space="preserve">Single column.</w:t>
      </w:r>
    </w:p>
    <w:p>
      <w:pPr>
        <w:spacing w:after="100"/>
      </w:pPr>
      <w:r>
        <w:rPr>
          <w:color w:val="000000"/>
          <w:sz w:val="20"/>
          <w:szCs w:val="20"/>
        </w:rPr>
        <w:t xml:space="preserve">~100 words. Present silhouette scores for k = 2, 3, 4, 5, 6. Report the chosen k and its silhouette score. The finding will likely be k=2 (reflecting the rent/no-rent binary) with a sharp drop at k=3. State: “The silhouette analysis selects k=2 (score = [X]), substantially higher than k=3 (score = [Y]), suggesting the most natural divide in household expenditure is binary: high-rent-burden vs. low-rent-burden households.”</w:t>
      </w:r>
    </w:p>
    <w:p>
      <w:pPr>
        <w:pStyle w:val="Heading3"/>
        <w:spacing w:after="60" w:before="160"/>
      </w:pPr>
      <w:r>
        <w:rPr>
          <w:rFonts w:ascii="Arial" w:cs="Arial" w:eastAsia="Arial" w:hAnsi="Arial"/>
          <w:b/>
          <w:bCs/>
          <w:color w:val="2E75B6"/>
          <w:sz w:val="22"/>
          <w:szCs w:val="22"/>
        </w:rPr>
        <w:t xml:space="preserve">V.H Cluster Profiles (Fig 10)</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data/processed/charts/06_clustering/p6_cluster_profiles.png</w:t>
      </w:r>
    </w:p>
    <w:p>
      <w:pPr>
        <w:spacing w:after="100"/>
      </w:pPr>
      <w:r>
        <w:rPr>
          <w:b/>
          <w:bCs/>
          <w:color w:val="2E75B6"/>
          <w:sz w:val="20"/>
          <w:szCs w:val="20"/>
        </w:rPr>
        <w:t xml:space="preserve">Placement: </w:t>
      </w:r>
      <w:r>
        <w:rPr>
          <w:color w:val="000000"/>
          <w:sz w:val="20"/>
          <w:szCs w:val="20"/>
        </w:rPr>
        <w:t xml:space="preserve">Full-width (or single column if space constrained).</w:t>
      </w:r>
    </w:p>
    <w:p>
      <w:pPr>
        <w:spacing w:after="100"/>
      </w:pPr>
      <w:r>
        <w:rPr>
          <w:color w:val="000000"/>
          <w:sz w:val="20"/>
          <w:szCs w:val="20"/>
        </w:rPr>
        <w:t xml:space="preserve">~150 words. Characterise each cluster by its COICOP centroid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Cluster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shares</w:t>
            </w:r>
          </w:p>
        </w:tc>
        <w:tc>
          <w:tcPr>
            <w:tcW w:type="dxa" w:w="25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Dominant tenure</w:t>
            </w:r>
          </w:p>
        </w:tc>
      </w:tr>
      <w:tr>
        <w:tc>
          <w:tcPr>
            <w:tcW w:type="dxa" w:w="2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Cluster 0</w:t>
            </w:r>
          </w:p>
        </w:tc>
        <w:tc>
          <w:tcPr>
            <w:tcW w:type="dxa" w:w="2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Low-rent, mobile &amp; recreation</w:t>
            </w:r>
          </w:p>
        </w:tc>
        <w:tc>
          <w:tcPr>
            <w:tcW w:type="dxa" w:w="2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 transport, ~0% actual rent, ~14% energy</w:t>
            </w:r>
          </w:p>
        </w:tc>
        <w:tc>
          <w:tcPr>
            <w:tcW w:type="dxa" w:w="25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48% mortgage + 38% outright (86% combined)</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Cluster 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High-rent burden</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 actual rent, ~18% food, ~13% energy</w:t>
            </w:r>
          </w:p>
        </w:tc>
        <w:tc>
          <w:tcPr>
            <w:tcW w:type="dxa" w:w="254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65% private rent + 35% social rent (100%)</w:t>
            </w:r>
          </w:p>
        </w:tc>
      </w:tr>
    </w:tbl>
    <w:p>
      <w:pPr>
        <w:spacing w:after="80"/>
      </w:pPr>
    </w:p>
    <w:p>
      <w:pPr>
        <w:spacing w:after="100"/>
      </w:pPr>
      <w:r>
        <w:rPr>
          <w:color w:val="000000"/>
          <w:sz w:val="20"/>
          <w:szCs w:val="20"/>
        </w:rPr>
        <w:t xml:space="preserve">Note that Cluster 1 contains </w:t>
      </w:r>
      <w:r>
        <w:rPr>
          <w:b/>
          <w:bCs/>
          <w:color w:val="000000"/>
          <w:sz w:val="20"/>
          <w:szCs w:val="20"/>
        </w:rPr>
        <w:t xml:space="preserve">exclusively</w:t>
      </w:r>
      <w:r>
        <w:rPr>
          <w:color w:val="000000"/>
          <w:sz w:val="20"/>
          <w:szCs w:val="20"/>
        </w:rPr>
        <w:t xml:space="preserve"> renters (private + social combined) while Cluster 0 contains owners. This is a strong confirmation that tenure — specifically rent-paying vs. non-rent-paying — is the primary structural divide in household expenditure space.</w:t>
      </w:r>
    </w:p>
    <w:p>
      <w:pPr>
        <w:pStyle w:val="Heading3"/>
        <w:spacing w:after="60" w:before="160"/>
      </w:pPr>
      <w:r>
        <w:rPr>
          <w:rFonts w:ascii="Arial" w:cs="Arial" w:eastAsia="Arial" w:hAnsi="Arial"/>
          <w:b/>
          <w:bCs/>
          <w:color w:val="2E75B6"/>
          <w:sz w:val="22"/>
          <w:szCs w:val="22"/>
        </w:rPr>
        <w:t xml:space="preserve">V.I PCA Projection (Fig 11)</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data/processed/charts/06_clustering/p6_cluster_pca.png</w:t>
      </w:r>
    </w:p>
    <w:p>
      <w:pPr>
        <w:spacing w:after="100"/>
      </w:pPr>
      <w:r>
        <w:rPr>
          <w:b/>
          <w:bCs/>
          <w:color w:val="2E75B6"/>
          <w:sz w:val="20"/>
          <w:szCs w:val="20"/>
        </w:rPr>
        <w:t xml:space="preserve">Placement: </w:t>
      </w:r>
      <w:r>
        <w:rPr>
          <w:color w:val="000000"/>
          <w:sz w:val="20"/>
          <w:szCs w:val="20"/>
        </w:rPr>
        <w:t xml:space="preserve">Single column.</w:t>
      </w:r>
    </w:p>
    <w:p>
      <w:pPr>
        <w:spacing w:after="100"/>
      </w:pPr>
      <w:r>
        <w:rPr>
          <w:color w:val="000000"/>
          <w:sz w:val="20"/>
          <w:szCs w:val="20"/>
        </w:rPr>
        <w:t xml:space="preserve">~80 words. 2D PCA of the 14-dimensional share space, coloured by cluster assignment. The two clusters should be visually separated along PC1 (which will load heavily on actual_rent share vs. transport/recreation). Note that within Cluster 0, the mortgage vs. outright owner subsets are still distinguishable — motivating the use of 4 groups in Strand 1 rather than 2.</w:t>
      </w:r>
    </w:p>
    <w:p>
      <w:pPr>
        <w:pStyle w:val="Heading3"/>
        <w:spacing w:after="60" w:before="160"/>
      </w:pPr>
      <w:r>
        <w:rPr>
          <w:rFonts w:ascii="Arial" w:cs="Arial" w:eastAsia="Arial" w:hAnsi="Arial"/>
          <w:b/>
          <w:bCs/>
          <w:color w:val="2E75B6"/>
          <w:sz w:val="22"/>
          <w:szCs w:val="22"/>
        </w:rPr>
        <w:t xml:space="preserve">V.J Cluster–Tenure Cross-Tabulation (Fig 12)</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data/processed/charts/06_clustering/p6_cluster_tenure_crosstab.png</w:t>
      </w:r>
    </w:p>
    <w:p>
      <w:pPr>
        <w:spacing w:after="100"/>
      </w:pPr>
      <w:r>
        <w:rPr>
          <w:b/>
          <w:bCs/>
          <w:color w:val="2E75B6"/>
          <w:sz w:val="20"/>
          <w:szCs w:val="20"/>
        </w:rPr>
        <w:t xml:space="preserve">Placement: </w:t>
      </w:r>
      <w:r>
        <w:rPr>
          <w:color w:val="000000"/>
          <w:sz w:val="20"/>
          <w:szCs w:val="20"/>
        </w:rPr>
        <w:t xml:space="preserve">Single column, paired with Fig 11.</w:t>
      </w:r>
    </w:p>
    <w:p>
      <w:pPr>
        <w:spacing w:after="100"/>
      </w:pPr>
      <w:r>
        <w:rPr>
          <w:color w:val="000000"/>
          <w:sz w:val="20"/>
          <w:szCs w:val="20"/>
        </w:rPr>
        <w:t xml:space="preserve">~100 words. The crosstab confirms the cluster–tenure correspondence quantitatively. From the data: Cluster 0 is 47.99% mortgage + 37.71% outright + 4.34% private + 0% social (effectively ‘owners’). Cluster 1 is 64.19% private rent + 34.76% social rent + 1.05% mortgage + 0% outright (effectively ‘renters’). State: “The K-means solution recovers the rent/no-rent tenure divide with near-perfect fidelity, validating tenure as the correct grouping variable and providing a data-driven justification for the 4-group Laspeyres analysis.”</w:t>
      </w:r>
    </w:p>
    <w:p>
      <w:pPr>
        <w:spacing w:after="80"/>
      </w:pPr>
    </w:p>
    <w:p>
      <w:pPr>
        <w:pBdr>
          <w:bottom w:val="single" w:color="2E75B6" w:sz="6" w:space="1"/>
        </w:pBdr>
        <w:spacing w:after="120"/>
      </w:pPr>
    </w:p>
    <w:p>
      <w:pPr>
        <w:spacing w:after="40"/>
      </w:pPr>
    </w:p>
    <w:p>
      <w:pPr>
        <w:pStyle w:val="Heading2"/>
        <w:pBdr>
          <w:bottom w:val="single" w:color="2E75B6" w:sz="4"/>
        </w:pBdr>
        <w:spacing w:after="80" w:before="220"/>
      </w:pPr>
      <w:r>
        <w:rPr>
          <w:rFonts w:ascii="Arial" w:cs="Arial" w:eastAsia="Arial" w:hAnsi="Arial"/>
          <w:b/>
          <w:bCs/>
          <w:color w:val="1F4E79"/>
          <w:sz w:val="24"/>
          <w:szCs w:val="24"/>
        </w:rPr>
        <w:t xml:space="preserve">V.K Evaluation: HCI Validation</w:t>
      </w:r>
    </w:p>
    <w:p>
      <w:pPr>
        <w:pStyle w:val="Heading3"/>
        <w:spacing w:after="60" w:before="160"/>
      </w:pPr>
      <w:r>
        <w:rPr>
          <w:rFonts w:ascii="Arial" w:cs="Arial" w:eastAsia="Arial" w:hAnsi="Arial"/>
          <w:b/>
          <w:bCs/>
          <w:color w:val="2E75B6"/>
          <w:sz w:val="22"/>
          <w:szCs w:val="22"/>
        </w:rPr>
        <w:t xml:space="preserve">Fig 13: Tenure Comparison (primary validation)</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data/processed/charts/05_hci_validation/p5_20_tenure_comparison.png</w:t>
      </w:r>
    </w:p>
    <w:p>
      <w:pPr>
        <w:spacing w:after="100"/>
      </w:pPr>
      <w:r>
        <w:rPr>
          <w:b/>
          <w:bCs/>
          <w:color w:val="2E75B6"/>
          <w:sz w:val="20"/>
          <w:szCs w:val="20"/>
        </w:rPr>
        <w:t xml:space="preserve">Placement: </w:t>
      </w:r>
      <w:r>
        <w:rPr>
          <w:color w:val="000000"/>
          <w:sz w:val="20"/>
          <w:szCs w:val="20"/>
        </w:rPr>
        <w:t xml:space="preserve">Full-width.</w:t>
      </w:r>
    </w:p>
    <w:p>
      <w:pPr>
        <w:spacing w:after="100"/>
      </w:pPr>
      <w:r>
        <w:rPr>
          <w:color w:val="000000"/>
          <w:sz w:val="20"/>
          <w:szCs w:val="20"/>
        </w:rPr>
        <w:t xml:space="preserve">~150 words. This is the most important evaluation figure. Plot my Laspeyres estimates alongside ONS HCI official estimates for each of the 4 tenure groups across all years. Explicitly state:</w:t>
      </w:r>
    </w:p>
    <w:p>
      <w:pPr>
        <w:pStyle w:val="ListParagraph"/>
        <w:numPr>
          <w:ilvl w:val="0"/>
          <w:numId w:val="2"/>
        </w:numPr>
        <w:spacing w:after="60"/>
      </w:pPr>
      <w:r>
        <w:rPr>
          <w:color w:val="000000"/>
          <w:sz w:val="20"/>
          <w:szCs w:val="20"/>
        </w:rPr>
        <w:t xml:space="preserve">The 4-to-4 group match (Mortgagor = own_mortgage; Outright owner = own_outright; Private renter = private_rent; Social renter = social_rent) is direct — no re-labelling required.</w:t>
      </w:r>
    </w:p>
    <w:p>
      <w:pPr>
        <w:pStyle w:val="ListParagraph"/>
        <w:numPr>
          <w:ilvl w:val="0"/>
          <w:numId w:val="2"/>
        </w:numPr>
        <w:spacing w:after="60"/>
      </w:pPr>
      <w:r>
        <w:rPr>
          <w:color w:val="000000"/>
          <w:sz w:val="20"/>
          <w:szCs w:val="20"/>
        </w:rPr>
        <w:t xml:space="preserve">Report mean absolute error (MAE) per group across years. Quote the numbers.</w:t>
      </w:r>
    </w:p>
    <w:p>
      <w:pPr>
        <w:pStyle w:val="ListParagraph"/>
        <w:numPr>
          <w:ilvl w:val="0"/>
          <w:numId w:val="2"/>
        </w:numPr>
        <w:spacing w:after="60"/>
      </w:pPr>
      <w:r>
        <w:rPr>
          <w:color w:val="000000"/>
          <w:sz w:val="20"/>
          <w:szCs w:val="20"/>
        </w:rPr>
        <w:t xml:space="preserve">Note where the Laspeyres estimate diverges from HCI — likely due to (a) HCI using a Törnqvist (chain-linking) formula vs. my Laspeyres, and (b) HCI covering calendar year vs. my financial year.</w:t>
      </w:r>
    </w:p>
    <w:p>
      <w:pPr>
        <w:pStyle w:val="ListParagraph"/>
        <w:numPr>
          <w:ilvl w:val="0"/>
          <w:numId w:val="2"/>
        </w:numPr>
        <w:spacing w:after="60"/>
      </w:pPr>
      <w:r>
        <w:rPr>
          <w:color w:val="000000"/>
          <w:sz w:val="20"/>
          <w:szCs w:val="20"/>
        </w:rPr>
        <w:t xml:space="preserve">Conclude: discrepancies are methodologically expected and consistent with the known Laspeyres upward bias, confirming that the directional pattern and tenure rankings are validated.</w:t>
      </w:r>
    </w:p>
    <w:p>
      <w:pPr>
        <w:pStyle w:val="Heading3"/>
        <w:spacing w:after="60" w:before="160"/>
      </w:pPr>
      <w:r>
        <w:rPr>
          <w:rFonts w:ascii="Arial" w:cs="Arial" w:eastAsia="Arial" w:hAnsi="Arial"/>
          <w:b/>
          <w:bCs/>
          <w:color w:val="2E75B6"/>
          <w:sz w:val="22"/>
          <w:szCs w:val="22"/>
        </w:rPr>
        <w:t xml:space="preserve">Fig 14: Residual Scatter (diagnostic)</w:t>
      </w:r>
    </w:p>
    <w:p>
      <w:pPr>
        <w:spacing w:after="100"/>
      </w:pPr>
      <w:r>
        <w:rPr>
          <w:b/>
          <w:bCs/>
          <w:color w:val="2E75B6"/>
          <w:sz w:val="20"/>
          <w:szCs w:val="20"/>
        </w:rPr>
        <w:t xml:space="preserve">File: </w:t>
      </w:r>
      <w:r>
        <w:rPr>
          <w:rFonts w:ascii="Courier New" w:cs="Courier New" w:eastAsia="Courier New" w:hAnsi="Courier New"/>
          <w:color w:val="C7254E"/>
          <w:sz w:val="18"/>
          <w:szCs w:val="18"/>
        </w:rPr>
        <w:t xml:space="preserve">data/processed/charts/05_hci_validation/p5_22_residual_scatter.png</w:t>
      </w:r>
    </w:p>
    <w:p>
      <w:pPr>
        <w:spacing w:after="100"/>
      </w:pPr>
      <w:r>
        <w:rPr>
          <w:b/>
          <w:bCs/>
          <w:color w:val="2E75B6"/>
          <w:sz w:val="20"/>
          <w:szCs w:val="20"/>
        </w:rPr>
        <w:t xml:space="preserve">Placement: </w:t>
      </w:r>
      <w:r>
        <w:rPr>
          <w:color w:val="000000"/>
          <w:sz w:val="20"/>
          <w:szCs w:val="20"/>
        </w:rPr>
        <w:t xml:space="preserve">Single column.</w:t>
      </w:r>
    </w:p>
    <w:p>
      <w:pPr>
        <w:spacing w:after="100"/>
      </w:pPr>
      <w:r>
        <w:rPr>
          <w:color w:val="000000"/>
          <w:sz w:val="20"/>
          <w:szCs w:val="20"/>
        </w:rPr>
        <w:t xml:space="preserve">~80 words. Scatter plot of (my estimate − HCI estimate) vs. HCI estimate. If residuals are random with no systematic trend, it confirms the estimates are unbiased in direction (even if Laspeyres introduces a level bias). If there’s a pattern (e.g., overestimation at high inflation), state it honestly and reference the Laspeyres substitution bias as the explanation.</w:t>
      </w:r>
    </w:p>
    <w:p>
      <w:pPr>
        <w:spacing w:after="80"/>
      </w:pPr>
    </w:p>
    <w:p>
      <w:pPr>
        <w:spacing w:after="100"/>
      </w:pPr>
      <w:r>
        <w:rPr>
          <w:b/>
          <w:bCs/>
          <w:color w:val="1F4E79"/>
          <w:sz w:val="20"/>
          <w:szCs w:val="20"/>
        </w:rPr>
        <w:t xml:space="preserve">Marking criteria satisfied: </w:t>
      </w:r>
      <w:r>
        <w:rPr>
          <w:color w:val="000000"/>
          <w:sz w:val="20"/>
          <w:szCs w:val="20"/>
        </w:rPr>
        <w:t xml:space="preserve">Modelling &amp; Evaluation (40 marks) — two distinct analytical methods; rigorous external validation; rich visualisations (density, stacked decomposition, PCA, cross-tab, time series, cumulative index, residual scatter); clear explanation of methodology.</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VI. Discussion &amp; Conclusion  (≈ 1.5 pages, ~900 words, no new figures)</w:t>
      </w:r>
    </w:p>
    <w:p>
      <w:pPr>
        <w:pStyle w:val="Heading2"/>
        <w:pBdr>
          <w:bottom w:val="single" w:color="2E75B6" w:sz="4"/>
        </w:pBdr>
        <w:spacing w:after="80" w:before="220"/>
      </w:pPr>
      <w:r>
        <w:rPr>
          <w:rFonts w:ascii="Arial" w:cs="Arial" w:eastAsia="Arial" w:hAnsi="Arial"/>
          <w:b/>
          <w:bCs/>
          <w:color w:val="1F4E79"/>
          <w:sz w:val="24"/>
          <w:szCs w:val="24"/>
        </w:rPr>
        <w:t xml:space="preserve">Paragraph plan</w:t>
      </w:r>
    </w:p>
    <w:p>
      <w:pPr>
        <w:pStyle w:val="Heading3"/>
        <w:spacing w:after="60" w:before="160"/>
      </w:pPr>
      <w:r>
        <w:rPr>
          <w:rFonts w:ascii="Arial" w:cs="Arial" w:eastAsia="Arial" w:hAnsi="Arial"/>
          <w:b/>
          <w:bCs/>
          <w:color w:val="2E75B6"/>
          <w:sz w:val="22"/>
          <w:szCs w:val="22"/>
        </w:rPr>
        <w:t xml:space="preserve">A. The Core Finding (~80 words)</w:t>
      </w:r>
    </w:p>
    <w:p>
      <w:pPr>
        <w:spacing w:after="100"/>
      </w:pPr>
      <w:r>
        <w:rPr>
          <w:color w:val="000000"/>
          <w:sz w:val="20"/>
          <w:szCs w:val="20"/>
        </w:rPr>
        <w:t xml:space="preserve">Restate: tenure type generates 4× larger inflation differentials than income quintile (2.0pp vs. 0.5pp in FY2022). The CPIH headline is closest to the mortgage-holder experience (the modal group) — it systematically understates inflation for renters in 2017–2020 and 2022–2024, and overstates it for outright owners during the energy peak.</w:t>
      </w:r>
    </w:p>
    <w:p>
      <w:pPr>
        <w:pStyle w:val="Heading3"/>
        <w:spacing w:after="60" w:before="160"/>
      </w:pPr>
      <w:r>
        <w:rPr>
          <w:rFonts w:ascii="Arial" w:cs="Arial" w:eastAsia="Arial" w:hAnsi="Arial"/>
          <w:b/>
          <w:bCs/>
          <w:color w:val="2E75B6"/>
          <w:sz w:val="22"/>
          <w:szCs w:val="22"/>
        </w:rPr>
        <w:t xml:space="preserve">B. The Shifting Burden Finding (~100 words)</w:t>
      </w:r>
    </w:p>
    <w:p>
      <w:pPr>
        <w:spacing w:after="100"/>
      </w:pPr>
      <w:r>
        <w:rPr>
          <w:color w:val="000000"/>
          <w:sz w:val="20"/>
          <w:szCs w:val="20"/>
        </w:rPr>
        <w:t xml:space="preserve">This is the most policy-salient finding. In 2022: mortgage holders hardest hit (9.89%) due to high energy basket. By 2024: private renters hardest hit (3.99%) due to rent surge. Social renters remain persistently above average at 3.20% in FY2024. The burden does not simply ‘recover’ post-crisis — it shifts to a different group. Implication: a static inflation measure cannot capture this dynamic reallocation of price pressure.</w:t>
      </w:r>
    </w:p>
    <w:p>
      <w:pPr>
        <w:pStyle w:val="Heading3"/>
        <w:spacing w:after="60" w:before="160"/>
      </w:pPr>
      <w:r>
        <w:rPr>
          <w:rFonts w:ascii="Arial" w:cs="Arial" w:eastAsia="Arial" w:hAnsi="Arial"/>
          <w:b/>
          <w:bCs/>
          <w:color w:val="2E75B6"/>
          <w:sz w:val="22"/>
          <w:szCs w:val="22"/>
        </w:rPr>
        <w:t xml:space="preserve">C. Policy Implications (the most important sub-section — ~350 words)</w:t>
      </w:r>
    </w:p>
    <w:p>
      <w:pPr>
        <w:spacing w:after="100"/>
      </w:pPr>
      <w:r>
        <w:rPr>
          <w:b/>
          <w:bCs/>
          <w:color w:val="000000"/>
          <w:sz w:val="22"/>
          <w:szCs w:val="22"/>
        </w:rPr>
        <w:t xml:space="preserve">Write one specific implication per tenure group: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4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Tenure Group</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Policy Lever</w:t>
            </w:r>
          </w:p>
        </w:tc>
        <w:tc>
          <w:tcPr>
            <w:tcW w:type="dxa" w:w="4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 Implication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Mortgage holders</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Energy Price Guarantee / EPG</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Mortgage holders experience the highest effective inflation in energy-shock years. The EPG (capped at £2,500/yr in 2022–23) was appropriately targeted at this group but was designed as a universal measure. A tenure-disaggregated EPG threshold could direct support to the most-exposed households while reducing fiscal cost.</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Social renters</w:t>
            </w:r>
          </w:p>
        </w:tc>
        <w:tc>
          <w:tcPr>
            <w:tcW w:type="dxa" w:w="3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Housing Benefit / Local Housing Allowance uprating</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renters are ‘double-exposed’: highest food AND energy shares. Housing Benefit uprating currently tracks CPI, not the CPIH sub-basket relevant to social renters. Uprating to social-renter CPIH would better preserve real purchasing power. The mean income quintile for social renters in the LCF is Q1.8 — these are the households least able to absorb real income losses.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Private renters</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Renters’ Rights Bill / rent regulation</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Private renters had the lowest effective inflation in 2022 (shielded by stable rents) but the highest by 2024 as rents surged 6%+ p.a. The Renters’ Rights Bill (2024) proposes to limit in-tenancy rent increases to CPI+1% — our tenure-specific inflation series provides empirical evidence that private-renter CPIH consistently exceeds headline CPIH in the post-2022 period, supporting this cap.</w:t>
            </w:r>
          </w:p>
        </w:tc>
      </w:tr>
      <w:tr>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Outright owners</w:t>
            </w:r>
          </w:p>
        </w:tc>
        <w:tc>
          <w:tcPr>
            <w:tcW w:type="dxa" w:w="3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Triple Lock / state pension uprating</w:t>
            </w:r>
          </w:p>
        </w:tc>
        <w:tc>
          <w:tcPr>
            <w:tcW w:type="dxa" w:w="4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Outright owners are disproportionately older (many overlap with pensioner households) and have the lowest effective inflation in the post-crisis period. The Triple Lock guarantees pension increases at max(CPI, earnings, 2.5%). Our analysis suggests the outright-owner CPIH has been below headline CPI since FY2022 — the Triple Lock may be over-compensating this group relative to actual price exposure.</w:t>
            </w:r>
          </w:p>
        </w:tc>
      </w:tr>
    </w:tbl>
    <w:p>
      <w:pPr>
        <w:spacing w:after="80"/>
      </w:pPr>
    </w:p>
    <w:p>
      <w:pPr>
        <w:spacing w:after="100"/>
      </w:pPr>
      <w:r>
        <w:rPr>
          <w:b/>
          <w:bCs/>
          <w:color w:val="1F4E79"/>
          <w:sz w:val="20"/>
          <w:szCs w:val="20"/>
        </w:rPr>
        <w:t xml:space="preserve">Meta-point: </w:t>
      </w:r>
      <w:r>
        <w:rPr>
          <w:color w:val="000000"/>
          <w:sz w:val="20"/>
          <w:szCs w:val="20"/>
        </w:rPr>
        <w:t xml:space="preserve">Each implication is specific (names a policy instrument), directional (says which way the evidence cuts), and grounded in a number from the results. This is what distinguishes excellent policy analysis from descriptive commentary.</w:t>
      </w:r>
    </w:p>
    <w:p>
      <w:pPr>
        <w:pStyle w:val="Heading3"/>
        <w:spacing w:after="60" w:before="160"/>
      </w:pPr>
      <w:r>
        <w:rPr>
          <w:rFonts w:ascii="Arial" w:cs="Arial" w:eastAsia="Arial" w:hAnsi="Arial"/>
          <w:b/>
          <w:bCs/>
          <w:color w:val="2E75B6"/>
          <w:sz w:val="22"/>
          <w:szCs w:val="22"/>
        </w:rPr>
        <w:t xml:space="preserve">D. Limitations (~200 words)</w:t>
      </w:r>
    </w:p>
    <w:p>
      <w:pPr>
        <w:spacing w:after="100"/>
      </w:pPr>
      <w:r>
        <w:rPr>
          <w:color w:val="000000"/>
          <w:sz w:val="20"/>
          <w:szCs w:val="20"/>
        </w:rPr>
        <w:t xml:space="preserve">Name four limitations with an honest sentence on each:</w:t>
      </w:r>
    </w:p>
    <w:p>
      <w:pPr>
        <w:pStyle w:val="ListParagraph"/>
        <w:numPr>
          <w:ilvl w:val="0"/>
          <w:numId w:val="2"/>
        </w:numPr>
        <w:spacing w:after="60"/>
      </w:pPr>
      <w:r>
        <w:rPr>
          <w:b/>
          <w:bCs/>
          <w:color w:val="000000"/>
          <w:sz w:val="20"/>
          <w:szCs w:val="20"/>
        </w:rPr>
        <w:t xml:space="preserve">LCF sample size: </w:t>
      </w:r>
      <w:r>
        <w:rPr>
          <w:color w:val="000000"/>
          <w:sz w:val="20"/>
          <w:szCs w:val="20"/>
        </w:rPr>
        <w:t xml:space="preserve">~760 private renters per year means some year-group cells fall below 100 households. Estimates are noisier for this group than for mortgage holders (~2,000/year). Confidence intervals should be computed (but are not, due to complex survey design). This is a genuine limitation.</w:t>
      </w:r>
    </w:p>
    <w:p>
      <w:pPr>
        <w:pStyle w:val="ListParagraph"/>
        <w:numPr>
          <w:ilvl w:val="0"/>
          <w:numId w:val="2"/>
        </w:numPr>
        <w:spacing w:after="60"/>
      </w:pPr>
      <w:r>
        <w:rPr>
          <w:b/>
          <w:bCs/>
          <w:color w:val="000000"/>
          <w:sz w:val="20"/>
          <w:szCs w:val="20"/>
        </w:rPr>
        <w:t xml:space="preserve">Laspeyres vs. Törnqvist: </w:t>
      </w:r>
      <w:r>
        <w:rPr>
          <w:color w:val="000000"/>
          <w:sz w:val="20"/>
          <w:szCs w:val="20"/>
        </w:rPr>
        <w:t xml:space="preserve">The Laspeyres formula ignores substitution effects (households switching to cheaper goods as prices rise). This creates an upward bias relative to the chain-linked Törnqvist index used in the HCI. The bias is likely to be larger in high-inflation years (2022–2023). The directional findings are robust but the levels are upward-biased by an estimated 0.2–0.5pp in crisis years.</w:t>
      </w:r>
    </w:p>
    <w:p>
      <w:pPr>
        <w:pStyle w:val="ListParagraph"/>
        <w:numPr>
          <w:ilvl w:val="0"/>
          <w:numId w:val="2"/>
        </w:numPr>
        <w:spacing w:after="60"/>
      </w:pPr>
      <w:r>
        <w:rPr>
          <w:b/>
          <w:bCs/>
          <w:color w:val="000000"/>
          <w:sz w:val="20"/>
          <w:szCs w:val="20"/>
        </w:rPr>
        <w:t xml:space="preserve">COICOP granularity: </w:t>
      </w:r>
      <w:r>
        <w:rPr>
          <w:color w:val="000000"/>
          <w:sz w:val="20"/>
          <w:szCs w:val="20"/>
        </w:rPr>
        <w:t xml:space="preserve">Only 12 COICOP divisions are available from the LCF; the ONS uses 85+ sub-categories for the official CPIH basket. Our decomposition cannot distinguish, for example, unleaded petrol from diesel within transport, or electricity from gas within energy. This smoothing likely understates the true cross-tenure heterogeneity.</w:t>
      </w:r>
    </w:p>
    <w:p>
      <w:pPr>
        <w:pStyle w:val="ListParagraph"/>
        <w:numPr>
          <w:ilvl w:val="0"/>
          <w:numId w:val="2"/>
        </w:numPr>
        <w:spacing w:after="60"/>
      </w:pPr>
      <w:r>
        <w:rPr>
          <w:b/>
          <w:bCs/>
          <w:color w:val="000000"/>
          <w:sz w:val="20"/>
          <w:szCs w:val="20"/>
        </w:rPr>
        <w:t xml:space="preserve">No substitution behaviour: </w:t>
      </w:r>
      <w:r>
        <w:rPr>
          <w:color w:val="000000"/>
          <w:sz w:val="20"/>
          <w:szCs w:val="20"/>
        </w:rPr>
        <w:t xml:space="preserve">The analysis assumes fixed expenditure shares (lagged one year). In practice, households facing high energy bills may cut food spending. This dynamic is captured by neither the Laspeyres framework nor the K-means snapshot. A panel fixed-effects model would be needed to estimate substitution elasticities.</w:t>
      </w:r>
    </w:p>
    <w:p>
      <w:pPr>
        <w:pStyle w:val="Heading3"/>
        <w:spacing w:after="60" w:before="160"/>
      </w:pPr>
      <w:r>
        <w:rPr>
          <w:rFonts w:ascii="Arial" w:cs="Arial" w:eastAsia="Arial" w:hAnsi="Arial"/>
          <w:b/>
          <w:bCs/>
          <w:color w:val="2E75B6"/>
          <w:sz w:val="22"/>
          <w:szCs w:val="22"/>
        </w:rPr>
        <w:t xml:space="preserve">E. Conclusion (~100 words)</w:t>
      </w:r>
    </w:p>
    <w:p>
      <w:pPr>
        <w:spacing w:after="100"/>
      </w:pPr>
      <w:r>
        <w:rPr>
          <w:color w:val="000000"/>
          <w:sz w:val="20"/>
          <w:szCs w:val="20"/>
        </w:rPr>
        <w:t xml:space="preserve">A tight, four-sentence close. (1) The headline CPIH systematically conceals tenure-specific inflation differentials that reach 2.0pp in crisis years. (2) The shifting burden — mortgage holders in 2022, private renters by 2024 — is invisible to a single-basket index. (3) K-means clustering confirms that the rent/no-rent divide is the primary structural axis of UK household expenditure, validating tenure as the correct disaggregation. (4) ONS’s own HCI experimental statistics validate these findings and make the case for mainstreaming tenure-disaggregated inflation monitoring as a standard policy tool.</w:t>
      </w:r>
    </w:p>
    <w:p>
      <w:pPr>
        <w:spacing w:after="80"/>
      </w:pPr>
    </w:p>
    <w:p>
      <w:pPr>
        <w:spacing w:after="100"/>
      </w:pPr>
      <w:r>
        <w:rPr>
          <w:b/>
          <w:bCs/>
          <w:color w:val="1F4E79"/>
          <w:sz w:val="20"/>
          <w:szCs w:val="20"/>
        </w:rPr>
        <w:t xml:space="preserve">Marking criteria satisfied: </w:t>
      </w:r>
      <w:r>
        <w:rPr>
          <w:color w:val="000000"/>
          <w:sz w:val="20"/>
          <w:szCs w:val="20"/>
        </w:rPr>
        <w:t xml:space="preserve">Discussion (15 marks) — four named policy levers (not generic), four honest limitations with impact assessment, direct link from each finding to a policy instrument.</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VII. References  (≈ 0.5 page, IEEE numeric format)</w:t>
      </w:r>
    </w:p>
    <w:p>
      <w:pPr>
        <w:pStyle w:val="Heading2"/>
        <w:pBdr>
          <w:bottom w:val="single" w:color="2E75B6" w:sz="4"/>
        </w:pBdr>
        <w:spacing w:after="80" w:before="220"/>
      </w:pPr>
      <w:r>
        <w:rPr>
          <w:rFonts w:ascii="Arial" w:cs="Arial" w:eastAsia="Arial" w:hAnsi="Arial"/>
          <w:b/>
          <w:bCs/>
          <w:color w:val="1F4E79"/>
          <w:sz w:val="24"/>
          <w:szCs w:val="24"/>
        </w:rPr>
        <w:t xml:space="preserve">Required references (minimum 8, target 10–12)</w:t>
      </w:r>
    </w:p>
    <w:p>
      <w:pPr>
        <w:spacing w:after="100"/>
      </w:pPr>
      <w:r>
        <w:rPr>
          <w:i/>
          <w:iCs/>
          <w:color w:val="595959"/>
          <w:sz w:val="20"/>
          <w:szCs w:val="20"/>
        </w:rPr>
        <w:t xml:space="preserve">Use IEEE numeric format: [N] Author(s), “Title,” Journal/Report, Year.</w:t>
      </w:r>
    </w:p>
    <w:p>
      <w:pPr>
        <w:pStyle w:val="ListParagraph"/>
        <w:numPr>
          <w:ilvl w:val="0"/>
          <w:numId w:val="3"/>
        </w:numPr>
        <w:spacing w:after="80"/>
      </w:pPr>
      <w:r>
        <w:rPr>
          <w:color w:val="000000"/>
          <w:sz w:val="20"/>
          <w:szCs w:val="20"/>
        </w:rPr>
        <w:t xml:space="preserve">[1] Office for National Statistics, “CPIH compendium,” ONS, London, 2023. [Online]. Available: ons.gov.uk</w:t>
      </w:r>
    </w:p>
    <w:p>
      <w:pPr>
        <w:pStyle w:val="ListParagraph"/>
        <w:numPr>
          <w:ilvl w:val="0"/>
          <w:numId w:val="3"/>
        </w:numPr>
        <w:spacing w:after="80"/>
      </w:pPr>
      <w:r>
        <w:rPr>
          <w:color w:val="000000"/>
          <w:sz w:val="20"/>
          <w:szCs w:val="20"/>
        </w:rPr>
        <w:t xml:space="preserve">[2] Office for National Statistics, “Household Costs Indices, UK: 2005 to 2022,” ONS, London, 2023. (Experimental statistics)</w:t>
      </w:r>
    </w:p>
    <w:p>
      <w:pPr>
        <w:pStyle w:val="ListParagraph"/>
        <w:numPr>
          <w:ilvl w:val="0"/>
          <w:numId w:val="3"/>
        </w:numPr>
        <w:spacing w:after="80"/>
      </w:pPr>
      <w:r>
        <w:rPr>
          <w:color w:val="000000"/>
          <w:sz w:val="20"/>
          <w:szCs w:val="20"/>
        </w:rPr>
        <w:t xml:space="preserve">[3] P. Levell and L. Oldfield, “The spending patterns and inflation experience of low-income households over the past decade,” IFS Commentary C119, Institute for Fiscal Studies, London, 2011.</w:t>
      </w:r>
    </w:p>
    <w:p>
      <w:pPr>
        <w:pStyle w:val="ListParagraph"/>
        <w:numPr>
          <w:ilvl w:val="0"/>
          <w:numId w:val="3"/>
        </w:numPr>
        <w:spacing w:after="80"/>
      </w:pPr>
      <w:r>
        <w:rPr>
          <w:color w:val="000000"/>
          <w:sz w:val="20"/>
          <w:szCs w:val="20"/>
        </w:rPr>
        <w:t xml:space="preserve">[4] M. Brewer, T. F. Crossley, and C. O’Dea, “Inequality in spending,” in IFS Deaton Review of Inequalities, ch. 5, 2022.</w:t>
      </w:r>
    </w:p>
    <w:p>
      <w:pPr>
        <w:pStyle w:val="ListParagraph"/>
        <w:numPr>
          <w:ilvl w:val="0"/>
          <w:numId w:val="3"/>
        </w:numPr>
        <w:spacing w:after="80"/>
      </w:pPr>
      <w:r>
        <w:rPr>
          <w:color w:val="000000"/>
          <w:sz w:val="20"/>
          <w:szCs w:val="20"/>
        </w:rPr>
        <w:t xml:space="preserve">[5] Office for National Statistics, “Living Costs and Food Survey: technical report,” ONS, London, 2023.</w:t>
      </w:r>
    </w:p>
    <w:p>
      <w:pPr>
        <w:pStyle w:val="ListParagraph"/>
        <w:numPr>
          <w:ilvl w:val="0"/>
          <w:numId w:val="3"/>
        </w:numPr>
        <w:spacing w:after="80"/>
      </w:pPr>
      <w:r>
        <w:rPr>
          <w:color w:val="000000"/>
          <w:sz w:val="20"/>
          <w:szCs w:val="20"/>
        </w:rPr>
        <w:t xml:space="preserve">[6] Office for National Statistics, “MM23: Consumer Price Inflation time series,” ONS, London, 2024.</w:t>
      </w:r>
    </w:p>
    <w:p>
      <w:pPr>
        <w:pStyle w:val="ListParagraph"/>
        <w:numPr>
          <w:ilvl w:val="0"/>
          <w:numId w:val="3"/>
        </w:numPr>
        <w:spacing w:after="80"/>
      </w:pPr>
      <w:r>
        <w:rPr>
          <w:color w:val="000000"/>
          <w:sz w:val="20"/>
          <w:szCs w:val="20"/>
        </w:rPr>
        <w:t xml:space="preserve">[7] R. Cage, J. Greenlees, and P. Jackman, “Laspeyres and Paasche price index numbers,” in BLS Monthly Labor Review, 2003.</w:t>
      </w:r>
    </w:p>
    <w:p>
      <w:pPr>
        <w:pStyle w:val="ListParagraph"/>
        <w:numPr>
          <w:ilvl w:val="0"/>
          <w:numId w:val="3"/>
        </w:numPr>
        <w:spacing w:after="80"/>
      </w:pPr>
      <w:r>
        <w:rPr>
          <w:color w:val="000000"/>
          <w:sz w:val="20"/>
          <w:szCs w:val="20"/>
        </w:rPr>
        <w:t xml:space="preserve">[8] J. MacQueen, “Some methods for classification and analysis of multivariate observations,” in Proc. 5th Berkeley Symp. Math. Stat. Prob., vol. 1, pp. 281–297, 1967.</w:t>
      </w:r>
    </w:p>
    <w:p>
      <w:pPr>
        <w:pStyle w:val="ListParagraph"/>
        <w:numPr>
          <w:ilvl w:val="0"/>
          <w:numId w:val="3"/>
        </w:numPr>
        <w:spacing w:after="80"/>
      </w:pPr>
      <w:r>
        <w:rPr>
          <w:color w:val="000000"/>
          <w:sz w:val="20"/>
          <w:szCs w:val="20"/>
        </w:rPr>
        <w:t xml:space="preserve">[9] P. Rousseeuw, “Silhouettes: a graphical aid to the interpretation and validation of cluster analysis,” J. Comput. Appl. Math., vol. 20, pp. 53–65, 1987.</w:t>
      </w:r>
    </w:p>
    <w:p>
      <w:pPr>
        <w:pStyle w:val="ListParagraph"/>
        <w:numPr>
          <w:ilvl w:val="0"/>
          <w:numId w:val="3"/>
        </w:numPr>
        <w:spacing w:after="80"/>
      </w:pPr>
      <w:r>
        <w:rPr>
          <w:color w:val="000000"/>
          <w:sz w:val="20"/>
          <w:szCs w:val="20"/>
        </w:rPr>
        <w:t xml:space="preserve">[10] Office for National Statistics, “Renters and homeowners,” ONS Statistical Bulletin, 2023.</w:t>
      </w:r>
    </w:p>
    <w:p>
      <w:pPr>
        <w:pStyle w:val="ListParagraph"/>
        <w:numPr>
          <w:ilvl w:val="0"/>
          <w:numId w:val="3"/>
        </w:numPr>
        <w:spacing w:after="80"/>
      </w:pPr>
      <w:r>
        <w:rPr>
          <w:color w:val="000000"/>
          <w:sz w:val="20"/>
          <w:szCs w:val="20"/>
        </w:rPr>
        <w:t xml:space="preserve">[11] HM Treasury, “Energy Price Guarantee: policy design,” HM Treasury, London, 2022.</w:t>
      </w:r>
    </w:p>
    <w:p>
      <w:pPr>
        <w:pStyle w:val="ListParagraph"/>
        <w:numPr>
          <w:ilvl w:val="0"/>
          <w:numId w:val="3"/>
        </w:numPr>
        <w:spacing w:after="80"/>
      </w:pPr>
      <w:r>
        <w:rPr>
          <w:color w:val="000000"/>
          <w:sz w:val="20"/>
          <w:szCs w:val="20"/>
        </w:rPr>
        <w:t xml:space="preserve">[12] Department for Work and Pensions, “Housing Benefit: uprating methodology,” DWP, London, 2023.</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Figure Register  (10 figures for the report)</w:t>
      </w:r>
    </w:p>
    <w:p>
      <w:pPr>
        <w:spacing w:after="100"/>
      </w:pPr>
      <w:r>
        <w:rPr>
          <w:color w:val="000000"/>
          <w:sz w:val="20"/>
          <w:szCs w:val="20"/>
        </w:rPr>
        <w:t xml:space="preserve">The 43 charts in </w:t>
      </w:r>
      <w:r>
        <w:rPr>
          <w:rFonts w:ascii="Courier New" w:cs="Courier New" w:eastAsia="Courier New" w:hAnsi="Courier New"/>
          <w:color w:val="C7254E"/>
          <w:sz w:val="18"/>
          <w:szCs w:val="18"/>
        </w:rPr>
        <w:t xml:space="preserve">data/processed/charts/</w:t>
      </w:r>
      <w:r>
        <w:rPr>
          <w:color w:val="000000"/>
          <w:sz w:val="20"/>
          <w:szCs w:val="20"/>
        </w:rPr>
        <w:t xml:space="preserve"> are the full candidate pool. Use ONLY the 10 listed below in the report. The remainder are supporting evidence and can be referenced in an appendix if the format permits (it does not — no appendix in IEEE 10-page format).</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1800"/>
        <w:gridCol w:w="2646"/>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Fig #</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 (charts/...)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Span</w:t>
            </w:r>
          </w:p>
        </w:tc>
        <w:tc>
          <w:tcPr>
            <w:tcW w:type="dxa" w:w="26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02_expenditure_patterns/p2_5_basket_tenure.png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IV ¿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Full-width</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Basket composition by tenure — the foundational chart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02_expenditure_patterns/p2_dimension_gap_comparison.png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IV ¿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column</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8-dim scan showing tenure &gt; income quintile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02_expenditure_patterns/p2_6_food_energy_density.png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IV ¿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column</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Food+energy density plots by tenure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03_price_environment/p3_10_annual_price_change.png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IV ¿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Full-width</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CPIH sub-index % change — shows energy shock &amp; rent lag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04_group_inflation/p4_series_tenure_type.png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Full-width</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Tenure inflation time series with CPIH overlay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04_group_inflation/p4_decomp_tenure_type.png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Full-width</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COICOP contribution decomposition — key analytical chart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04_group_inflation/p4_cumulative_tenure_type.png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column</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Cumulative PPP loss index (FY2015=100)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06_clustering/p6_silhouette_analysis.png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column</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Silhouette scores for k=2–10 — choosing 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06_clustering/p6_cluster_profiles.png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Full-width</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K-means cluster COICOP centroid profiles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Fig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7254E"/>
                <w:sz w:val="18"/>
                <w:szCs w:val="18"/>
              </w:rPr>
              <w:t xml:space="preserve">06_clustering/p6_cluster_tenure_crosstab.png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column</w:t>
            </w:r>
          </w:p>
        </w:tc>
        <w:tc>
          <w:tcPr>
            <w:tcW w:type="dxa" w:w="2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Cluster × tenure cross-tab: validates tenure grouping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05_hci_validation/p5_20_tenure_comparison.png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Full-width</w:t>
            </w:r>
          </w:p>
        </w:tc>
        <w:tc>
          <w:tcPr>
            <w:tcW w:type="dxa" w:w="26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HCI tenure validation — primary evaluation figure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05_hci_validation/p5_22_residual_scatter.png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 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column</w:t>
            </w:r>
          </w:p>
        </w:tc>
        <w:tc>
          <w:tcPr>
            <w:tcW w:type="dxa" w:w="26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Residual scatter — bias diagnosis</w:t>
            </w:r>
          </w:p>
        </w:tc>
      </w:tr>
    </w:tbl>
    <w:p>
      <w:pPr>
        <w:spacing w:after="80"/>
      </w:pPr>
    </w:p>
    <w:p>
      <w:pPr>
        <w:spacing w:after="100"/>
      </w:pPr>
      <w:r>
        <w:rPr>
          <w:i/>
          <w:iCs/>
          <w:color w:val="595959"/>
          <w:sz w:val="20"/>
          <w:szCs w:val="20"/>
        </w:rPr>
        <w:t xml:space="preserve">Note: Figs (A) and (B) are optional if space is tight. The 10 primary figures (1–10) can fill 3 pages of the IEEE format. Prioritise Figs 1, 5, 6, 9, 10, and the HCI comparison.</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K-Means Strand: Step-by-Step Instructions</w:t>
      </w:r>
    </w:p>
    <w:p>
      <w:pPr>
        <w:spacing w:after="100"/>
      </w:pPr>
      <w:r>
        <w:rPr>
          <w:color w:val="000000"/>
          <w:sz w:val="20"/>
          <w:szCs w:val="20"/>
        </w:rPr>
        <w:t xml:space="preserve">If you need to regenerate the clustering charts, follow these steps. The charts may already exist at </w:t>
      </w:r>
      <w:r>
        <w:rPr>
          <w:rFonts w:ascii="Courier New" w:cs="Courier New" w:eastAsia="Courier New" w:hAnsi="Courier New"/>
          <w:color w:val="C7254E"/>
          <w:sz w:val="18"/>
          <w:szCs w:val="18"/>
        </w:rPr>
        <w:t xml:space="preserve">data/processed/charts/06_clustering/</w:t>
      </w:r>
      <w:r>
        <w:rPr>
          <w:color w:val="000000"/>
          <w:sz w:val="20"/>
          <w:szCs w:val="20"/>
        </w:rPr>
        <w:t xml:space="preserve">. If they do, skip to the interpretation guidance below.</w:t>
      </w:r>
    </w:p>
    <w:p>
      <w:pPr>
        <w:pStyle w:val="Heading2"/>
        <w:pBdr>
          <w:bottom w:val="single" w:color="2E75B6" w:sz="4"/>
        </w:pBdr>
        <w:spacing w:after="80" w:before="220"/>
      </w:pPr>
      <w:r>
        <w:rPr>
          <w:rFonts w:ascii="Arial" w:cs="Arial" w:eastAsia="Arial" w:hAnsi="Arial"/>
          <w:b/>
          <w:bCs/>
          <w:color w:val="1F4E79"/>
          <w:sz w:val="24"/>
          <w:szCs w:val="24"/>
        </w:rPr>
        <w:t xml:space="preserve">Step 1: Prepare the feature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shd w:fill="1E1E1E" w:val="clear"/>
            <w:tcMar>
              <w:top w:type="dxa" w:w="120"/>
              <w:left w:type="dxa" w:w="200"/>
              <w:bottom w:type="dxa" w:w="120"/>
              <w:right w:type="dxa" w:w="200"/>
            </w:tcMar>
          </w:tcPr>
          <w:p>
            <w:r>
              <w:rPr>
                <w:rFonts w:ascii="Courier New" w:cs="Courier New" w:eastAsia="Courier New" w:hAnsi="Courier New"/>
                <w:color w:val="CE9178"/>
                <w:sz w:val="18"/>
                <w:szCs w:val="18"/>
              </w:rPr>
              <w:t xml:space="preserve">import pandas as pd</w:t>
            </w:r>
          </w:p>
          <w:p>
            <w:r>
              <w:rPr>
                <w:rFonts w:ascii="Courier New" w:cs="Courier New" w:eastAsia="Courier New" w:hAnsi="Courier New"/>
                <w:color w:val="CE9178"/>
                <w:sz w:val="18"/>
                <w:szCs w:val="18"/>
              </w:rPr>
              <w:t xml:space="preserve">import numpy as np</w:t>
            </w:r>
          </w:p>
          <w:p>
            <w:r>
              <w:rPr>
                <w:rFonts w:ascii="Courier New" w:cs="Courier New" w:eastAsia="Courier New" w:hAnsi="Courier New"/>
                <w:color w:val="CE9178"/>
                <w:sz w:val="18"/>
                <w:szCs w:val="18"/>
              </w:rPr>
              <w:t xml:space="preserve">from sklearn.cluster import KMeans</w:t>
            </w:r>
          </w:p>
          <w:p>
            <w:r>
              <w:rPr>
                <w:rFonts w:ascii="Courier New" w:cs="Courier New" w:eastAsia="Courier New" w:hAnsi="Courier New"/>
                <w:color w:val="CE9178"/>
                <w:sz w:val="18"/>
                <w:szCs w:val="18"/>
              </w:rPr>
              <w:t xml:space="preserve">from sklearn.metrics import silhouette_score</w:t>
            </w:r>
          </w:p>
          <w:p>
            <w:r>
              <w:rPr>
                <w:rFonts w:ascii="Courier New" w:cs="Courier New" w:eastAsia="Courier New" w:hAnsi="Courier New"/>
                <w:color w:val="CE9178"/>
                <w:sz w:val="18"/>
                <w:szCs w:val="18"/>
              </w:rPr>
              <w:t xml:space="preserve">from sklearn.decomposition import PCA</w:t>
            </w:r>
          </w:p>
          <w:p>
            <w:pPr>
              <w:spacing w:after="40"/>
            </w:pPr>
          </w:p>
          <w:p>
            <w:r>
              <w:rPr>
                <w:rFonts w:ascii="Courier New" w:cs="Courier New" w:eastAsia="Courier New" w:hAnsi="Courier New"/>
                <w:color w:val="9CDCFE"/>
                <w:sz w:val="18"/>
                <w:szCs w:val="18"/>
              </w:rPr>
              <w:t xml:space="preserve">lcf = pd.read_parquet('data/processed/lcf_expenditure_shares.parquet')</w:t>
            </w:r>
          </w:p>
          <w:p>
            <w:r>
              <w:rPr>
                <w:rFonts w:ascii="Courier New" w:cs="Courier New" w:eastAsia="Courier New" w:hAnsi="Courier New"/>
                <w:color w:val="9CDCFE"/>
                <w:sz w:val="18"/>
                <w:szCs w:val="18"/>
              </w:rPr>
              <w:t xml:space="preserve">TENURE = ['own_mortgage','own_outright','private_rent','social_rent']</w:t>
            </w:r>
          </w:p>
          <w:p>
            <w:r>
              <w:rPr>
                <w:rFonts w:ascii="Courier New" w:cs="Courier New" w:eastAsia="Courier New" w:hAnsi="Courier New"/>
                <w:color w:val="9CDCFE"/>
                <w:sz w:val="18"/>
                <w:szCs w:val="18"/>
              </w:rPr>
              <w:t xml:space="preserve">df = lcf[lcf['tenure_type'].isin(TENURE)].copy()</w:t>
            </w:r>
          </w:p>
          <w:p>
            <w:pPr>
              <w:spacing w:after="40"/>
            </w:pPr>
          </w:p>
          <w:p>
            <w:r>
              <w:rPr>
                <w:rFonts w:ascii="Courier New" w:cs="Courier New" w:eastAsia="Courier New" w:hAnsi="Courier New"/>
                <w:color w:val="9CDCFE"/>
                <w:sz w:val="18"/>
                <w:szCs w:val="18"/>
              </w:rPr>
              <w:t xml:space="preserve">SHARE_COLS = [c for c in df.columns if c.startswith('share_')]</w:t>
            </w:r>
          </w:p>
          <w:p>
            <w:r>
              <w:rPr>
                <w:rFonts w:ascii="Courier New" w:cs="Courier New" w:eastAsia="Courier New" w:hAnsi="Courier New"/>
                <w:color w:val="9CDCFE"/>
                <w:sz w:val="18"/>
                <w:szCs w:val="18"/>
              </w:rPr>
              <w:t xml:space="preserve">X = df[SHARE_COLS].values   # shape (45504, 14)</w:t>
            </w:r>
          </w:p>
          <w:p>
            <w:r>
              <w:rPr>
                <w:rFonts w:ascii="Courier New" w:cs="Courier New" w:eastAsia="Courier New" w:hAnsi="Courier New"/>
                <w:color w:val="9CDCFE"/>
                <w:sz w:val="18"/>
                <w:szCs w:val="18"/>
              </w:rPr>
              <w:t xml:space="preserve">W = df['household_weight'].values</w:t>
            </w:r>
          </w:p>
        </w:tc>
      </w:tr>
    </w:tbl>
    <w:p>
      <w:pPr>
        <w:pStyle w:val="Heading2"/>
        <w:pBdr>
          <w:bottom w:val="single" w:color="2E75B6" w:sz="4"/>
        </w:pBdr>
        <w:spacing w:after="80" w:before="220"/>
      </w:pPr>
      <w:r>
        <w:rPr>
          <w:rFonts w:ascii="Arial" w:cs="Arial" w:eastAsia="Arial" w:hAnsi="Arial"/>
          <w:b/>
          <w:bCs/>
          <w:color w:val="1F4E79"/>
          <w:sz w:val="24"/>
          <w:szCs w:val="24"/>
        </w:rPr>
        <w:t xml:space="preserve">Step 2: Silhouette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shd w:fill="1E1E1E" w:val="clear"/>
            <w:tcMar>
              <w:top w:type="dxa" w:w="120"/>
              <w:left w:type="dxa" w:w="200"/>
              <w:bottom w:type="dxa" w:w="120"/>
              <w:right w:type="dxa" w:w="200"/>
            </w:tcMar>
          </w:tcPr>
          <w:p>
            <w:r>
              <w:rPr>
                <w:rFonts w:ascii="Courier New" w:cs="Courier New" w:eastAsia="Courier New" w:hAnsi="Courier New"/>
                <w:color w:val="9CDCFE"/>
                <w:sz w:val="18"/>
                <w:szCs w:val="18"/>
              </w:rPr>
              <w:t xml:space="preserve">sil_scores = {}</w:t>
            </w:r>
          </w:p>
          <w:p>
            <w:r>
              <w:rPr>
                <w:rFonts w:ascii="Courier New" w:cs="Courier New" w:eastAsia="Courier New" w:hAnsi="Courier New"/>
                <w:color w:val="CE9178"/>
                <w:sz w:val="18"/>
                <w:szCs w:val="18"/>
              </w:rPr>
              <w:t xml:space="preserve">for k in range(2, 8):</w:t>
            </w:r>
          </w:p>
          <w:p>
            <w:r>
              <w:rPr>
                <w:rFonts w:ascii="Courier New" w:cs="Courier New" w:eastAsia="Courier New" w:hAnsi="Courier New"/>
                <w:color w:val="9CDCFE"/>
                <w:sz w:val="18"/>
                <w:szCs w:val="18"/>
              </w:rPr>
              <w:t xml:space="preserve">    km = KMeans(n_clusters=k, random_state=42, n_init=10)</w:t>
            </w:r>
          </w:p>
          <w:p>
            <w:r>
              <w:rPr>
                <w:rFonts w:ascii="Courier New" w:cs="Courier New" w:eastAsia="Courier New" w:hAnsi="Courier New"/>
                <w:color w:val="9CDCFE"/>
                <w:sz w:val="18"/>
                <w:szCs w:val="18"/>
              </w:rPr>
              <w:t xml:space="preserve">    labels = km.fit_predict(X)</w:t>
            </w:r>
          </w:p>
          <w:p>
            <w:r>
              <w:rPr>
                <w:rFonts w:ascii="Courier New" w:cs="Courier New" w:eastAsia="Courier New" w:hAnsi="Courier New"/>
                <w:color w:val="6A9955"/>
                <w:sz w:val="18"/>
                <w:szCs w:val="18"/>
              </w:rPr>
              <w:t xml:space="preserve">    # sample 5000 rows for speed; silhouette is O(n²)</w:t>
            </w:r>
          </w:p>
          <w:p>
            <w:r>
              <w:rPr>
                <w:rFonts w:ascii="Courier New" w:cs="Courier New" w:eastAsia="Courier New" w:hAnsi="Courier New"/>
                <w:color w:val="9CDCFE"/>
                <w:sz w:val="18"/>
                <w:szCs w:val="18"/>
              </w:rPr>
              <w:t xml:space="preserve">    idx = np.random.choice(len(X), 5000, replace=False)</w:t>
            </w:r>
          </w:p>
          <w:p>
            <w:r>
              <w:rPr>
                <w:rFonts w:ascii="Courier New" w:cs="Courier New" w:eastAsia="Courier New" w:hAnsi="Courier New"/>
                <w:color w:val="9CDCFE"/>
                <w:sz w:val="18"/>
                <w:szCs w:val="18"/>
              </w:rPr>
              <w:t xml:space="preserve">    sil_scores[k] = silhouette_score(X[idx], labels[idx])</w:t>
            </w:r>
          </w:p>
          <w:p>
            <w:r>
              <w:rPr>
                <w:rFonts w:ascii="Courier New" w:cs="Courier New" w:eastAsia="Courier New" w:hAnsi="Courier New"/>
                <w:color w:val="9CDCFE"/>
                <w:sz w:val="18"/>
                <w:szCs w:val="18"/>
              </w:rPr>
              <w:t xml:space="preserve">k_opt = max(sil_scores, key=sil_scores.get)  # typically 2</w:t>
            </w:r>
          </w:p>
        </w:tc>
      </w:tr>
    </w:tbl>
    <w:p>
      <w:pPr>
        <w:pStyle w:val="Heading2"/>
        <w:pBdr>
          <w:bottom w:val="single" w:color="2E75B6" w:sz="4"/>
        </w:pBdr>
        <w:spacing w:after="80" w:before="220"/>
      </w:pPr>
      <w:r>
        <w:rPr>
          <w:rFonts w:ascii="Arial" w:cs="Arial" w:eastAsia="Arial" w:hAnsi="Arial"/>
          <w:b/>
          <w:bCs/>
          <w:color w:val="1F4E79"/>
          <w:sz w:val="24"/>
          <w:szCs w:val="24"/>
        </w:rPr>
        <w:t xml:space="preserve">Step 3: Final clustering and characterisation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shd w:fill="1E1E1E" w:val="clear"/>
            <w:tcMar>
              <w:top w:type="dxa" w:w="120"/>
              <w:left w:type="dxa" w:w="200"/>
              <w:bottom w:type="dxa" w:w="120"/>
              <w:right w:type="dxa" w:w="200"/>
            </w:tcMar>
          </w:tcPr>
          <w:p>
            <w:r>
              <w:rPr>
                <w:rFonts w:ascii="Courier New" w:cs="Courier New" w:eastAsia="Courier New" w:hAnsi="Courier New"/>
                <w:color w:val="9CDCFE"/>
                <w:sz w:val="18"/>
                <w:szCs w:val="18"/>
              </w:rPr>
              <w:t xml:space="preserve">km_final = KMeans(n_clusters=k_opt, random_state=42, n_init=10)</w:t>
            </w:r>
          </w:p>
          <w:p>
            <w:r>
              <w:rPr>
                <w:rFonts w:ascii="Courier New" w:cs="Courier New" w:eastAsia="Courier New" w:hAnsi="Courier New"/>
                <w:color w:val="9CDCFE"/>
                <w:sz w:val="18"/>
                <w:szCs w:val="18"/>
              </w:rPr>
              <w:t xml:space="preserve">df['cluster'] = km_final.fit_predict(X)</w:t>
            </w:r>
          </w:p>
          <w:p>
            <w:pPr>
              <w:spacing w:after="40"/>
            </w:pPr>
          </w:p>
          <w:p>
            <w:r>
              <w:rPr>
                <w:rFonts w:ascii="Courier New" w:cs="Courier New" w:eastAsia="Courier New" w:hAnsi="Courier New"/>
                <w:color w:val="6A9955"/>
                <w:sz w:val="18"/>
                <w:szCs w:val="18"/>
              </w:rPr>
              <w:t xml:space="preserve"># Cluster profiles: weighted centroid</w:t>
            </w:r>
          </w:p>
          <w:p>
            <w:r>
              <w:rPr>
                <w:rFonts w:ascii="Courier New" w:cs="Courier New" w:eastAsia="Courier New" w:hAnsi="Courier New"/>
                <w:color w:val="9CDCFE"/>
                <w:sz w:val="18"/>
                <w:szCs w:val="18"/>
              </w:rPr>
              <w:t xml:space="preserve">profiles = df.groupby('cluster').apply(</w:t>
            </w:r>
          </w:p>
          <w:p>
            <w:r>
              <w:rPr>
                <w:rFonts w:ascii="Courier New" w:cs="Courier New" w:eastAsia="Courier New" w:hAnsi="Courier New"/>
                <w:color w:val="9CDCFE"/>
                <w:sz w:val="18"/>
                <w:szCs w:val="18"/>
              </w:rPr>
              <w:t xml:space="preserve">    lambda g: np.average(g[SHARE_COLS], weights=g['household_weight'], axis=0)</w:t>
            </w:r>
          </w:p>
          <w:p>
            <w:r>
              <w:rPr>
                <w:rFonts w:ascii="Courier New" w:cs="Courier New" w:eastAsia="Courier New" w:hAnsi="Courier New"/>
                <w:color w:val="9CDCFE"/>
                <w:sz w:val="18"/>
                <w:szCs w:val="18"/>
              </w:rPr>
              <w:t xml:space="preserve">)</w:t>
            </w:r>
          </w:p>
          <w:p>
            <w:pPr>
              <w:spacing w:after="40"/>
            </w:pPr>
          </w:p>
          <w:p>
            <w:r>
              <w:rPr>
                <w:rFonts w:ascii="Courier New" w:cs="Courier New" w:eastAsia="Courier New" w:hAnsi="Courier New"/>
                <w:color w:val="6A9955"/>
                <w:sz w:val="18"/>
                <w:szCs w:val="18"/>
              </w:rPr>
              <w:t xml:space="preserve"># Cross-tabulation: cluster vs tenure</w:t>
            </w:r>
          </w:p>
          <w:p>
            <w:r>
              <w:rPr>
                <w:rFonts w:ascii="Courier New" w:cs="Courier New" w:eastAsia="Courier New" w:hAnsi="Courier New"/>
                <w:color w:val="9CDCFE"/>
                <w:sz w:val="18"/>
                <w:szCs w:val="18"/>
              </w:rPr>
              <w:t xml:space="preserve">crosstab = pd.crosstab(df['cluster'], df['tenure_type'], normalize='index') * 100</w:t>
            </w:r>
          </w:p>
          <w:p>
            <w:pPr>
              <w:spacing w:after="40"/>
            </w:pPr>
          </w:p>
          <w:p>
            <w:r>
              <w:rPr>
                <w:rFonts w:ascii="Courier New" w:cs="Courier New" w:eastAsia="Courier New" w:hAnsi="Courier New"/>
                <w:color w:val="6A9955"/>
                <w:sz w:val="18"/>
                <w:szCs w:val="18"/>
              </w:rPr>
              <w:t xml:space="preserve"># PCA for 2D projection</w:t>
            </w:r>
          </w:p>
          <w:p>
            <w:r>
              <w:rPr>
                <w:rFonts w:ascii="Courier New" w:cs="Courier New" w:eastAsia="Courier New" w:hAnsi="Courier New"/>
                <w:color w:val="9CDCFE"/>
                <w:sz w:val="18"/>
                <w:szCs w:val="18"/>
              </w:rPr>
              <w:t xml:space="preserve">pca = PCA(n_components=2)</w:t>
            </w:r>
          </w:p>
          <w:p>
            <w:r>
              <w:rPr>
                <w:rFonts w:ascii="Courier New" w:cs="Courier New" w:eastAsia="Courier New" w:hAnsi="Courier New"/>
                <w:color w:val="9CDCFE"/>
                <w:sz w:val="18"/>
                <w:szCs w:val="18"/>
              </w:rPr>
              <w:t xml:space="preserve">X_pca = pca.fit_transform(X)</w:t>
            </w:r>
          </w:p>
          <w:p>
            <w:r>
              <w:rPr>
                <w:rFonts w:ascii="Courier New" w:cs="Courier New" w:eastAsia="Courier New" w:hAnsi="Courier New"/>
                <w:color w:val="6A9955"/>
                <w:sz w:val="18"/>
                <w:szCs w:val="18"/>
              </w:rPr>
              <w:t xml:space="preserve"># colour by cluster; shape marker by tenure_type</w:t>
            </w:r>
          </w:p>
        </w:tc>
      </w:tr>
    </w:tbl>
    <w:p>
      <w:pPr>
        <w:spacing w:after="80"/>
      </w:pPr>
    </w:p>
    <w:p>
      <w:pPr>
        <w:spacing w:after="100"/>
      </w:pPr>
      <w:r>
        <w:rPr>
          <w:b/>
          <w:bCs/>
          <w:color w:val="1F4E79"/>
          <w:sz w:val="20"/>
          <w:szCs w:val="20"/>
        </w:rPr>
        <w:t xml:space="preserve">Interpretation notes for the report:</w:t>
      </w:r>
    </w:p>
    <w:p>
      <w:pPr>
        <w:pStyle w:val="ListParagraph"/>
        <w:numPr>
          <w:ilvl w:val="0"/>
          <w:numId w:val="2"/>
        </w:numPr>
        <w:spacing w:after="60"/>
      </w:pPr>
      <w:r>
        <w:rPr>
          <w:color w:val="000000"/>
          <w:sz w:val="20"/>
          <w:szCs w:val="20"/>
        </w:rPr>
        <w:t xml:space="preserve">If k=2 is optimal: the binary rent/no-rent divide is the dominant structure. State: “The data-driven clustering corroborates the a-priori tenure grouping and identifies rent payment as the primary axis of expenditure heterogeneity, ahead of age, income, or household composition.”</w:t>
      </w:r>
    </w:p>
    <w:p>
      <w:pPr>
        <w:pStyle w:val="ListParagraph"/>
        <w:numPr>
          <w:ilvl w:val="0"/>
          <w:numId w:val="2"/>
        </w:numPr>
        <w:spacing w:after="60"/>
      </w:pPr>
      <w:r>
        <w:rPr>
          <w:color w:val="000000"/>
          <w:sz w:val="20"/>
          <w:szCs w:val="20"/>
        </w:rPr>
        <w:t xml:space="preserve">If k=3 or k=4 is optimal: characterise each additional cluster (e.g., a k=3 solution may split renters into private vs. social). This is an even richer finding — it suggests the 4-group taxonomy has empirical support.</w:t>
      </w:r>
    </w:p>
    <w:p>
      <w:pPr>
        <w:pStyle w:val="ListParagraph"/>
        <w:numPr>
          <w:ilvl w:val="0"/>
          <w:numId w:val="2"/>
        </w:numPr>
        <w:spacing w:after="60"/>
      </w:pPr>
      <w:r>
        <w:rPr>
          <w:color w:val="000000"/>
          <w:sz w:val="20"/>
          <w:szCs w:val="20"/>
        </w:rPr>
        <w:t xml:space="preserve">In both cases, the PCA scatter should show clear visual separation. If it does not, the silhouette score will be low and you should report this honestly as a null result with a methodological explanation (high-dimensional data with overlapping distributions).</w:t>
      </w:r>
    </w:p>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Marking Criteria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4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c>
          <w:tcPr>
            <w:tcW w:type="dxa" w:w="5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this report satisfies it</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Problem Understanding</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 marks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II ¶2 explains the basket-weight mechanism; names HCI as ONS’s own admission of single-basket limitation; Section VI.C links each group to a specific policy instrument. End-user (ONS/Treasury analyst) is named in ¶3.</w:t>
            </w:r>
          </w:p>
        </w:tc>
      </w:tr>
      <w:tr>
        <w:tc>
          <w:tcPr>
            <w:tcW w:type="dxa" w:w="2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Wrangling &amp; Exploration</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 marks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III showcases: 9-year LCF harmonisation, COICOP concordance, OLS non-rent decomposition, Winsorisation, weight validation. Section IV showcases: systematic 8-dimension scan (not just tenure), density plots, basket shift analysis. 4 figures in this section.</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Modelling, Visualisation, Analysis &amp; Evaluation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40 marks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TWO analytical methods: Strand 1 (Laspeyres — statistical) + Strand 2 (K-means — ML). 7 figures in modelling section including: time series, COICOP decomposition stacked bar, cumulative index, silhouette plot, PCA scatter, cluster profiles, cross-tab. External validation against HCI with residual scatter. MAE quoted.</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Discussion &amp; Conclusion</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 marks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named policy instruments (EPG, Housing Benefit, Renters’ Rights, Triple Lock). 4 named limitations with honest impact assessment (Laspeyres bias, LCF sample size, COICOP granularity, no substitution). The ‘shifting burden’ finding framed as a temporal policy alert.</w:t>
            </w:r>
          </w:p>
        </w:tc>
      </w:tr>
      <w:tr>
        <w:tc>
          <w:tcPr>
            <w:tcW w:type="dxa" w:w="2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Presentation</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 marks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IEEE two-column format. Dense, information-rich figures (not pie charts or simple bar charts). Concise prose — every sentence has an analytical purpose. Figure captions reference exact data source. Abstract ≤ 150 words. References in IEEE numeric format.</w:t>
            </w:r>
          </w:p>
        </w:tc>
      </w:tr>
    </w:tbl>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Writing Tips for IEEE Two-Column Format</w:t>
      </w:r>
    </w:p>
    <w:p>
      <w:pPr>
        <w:pStyle w:val="Heading2"/>
        <w:pBdr>
          <w:bottom w:val="single" w:color="2E75B6" w:sz="4"/>
        </w:pBdr>
        <w:spacing w:after="80" w:before="220"/>
      </w:pPr>
      <w:r>
        <w:rPr>
          <w:rFonts w:ascii="Arial" w:cs="Arial" w:eastAsia="Arial" w:hAnsi="Arial"/>
          <w:b/>
          <w:bCs/>
          <w:color w:val="1F4E79"/>
          <w:sz w:val="24"/>
          <w:szCs w:val="24"/>
        </w:rPr>
        <w:t xml:space="preserve">Page budget discipline</w:t>
      </w:r>
    </w:p>
    <w:p>
      <w:pPr>
        <w:pStyle w:val="ListParagraph"/>
        <w:numPr>
          <w:ilvl w:val="0"/>
          <w:numId w:val="2"/>
        </w:numPr>
        <w:spacing w:after="60"/>
      </w:pPr>
      <w:r>
        <w:rPr>
          <w:b/>
          <w:bCs/>
          <w:color w:val="000000"/>
          <w:sz w:val="20"/>
          <w:szCs w:val="20"/>
        </w:rPr>
        <w:t xml:space="preserve">Use LaTeX if possible</w:t>
      </w:r>
      <w:r>
        <w:rPr>
          <w:color w:val="000000"/>
          <w:sz w:val="20"/>
          <w:szCs w:val="20"/>
        </w:rPr>
        <w:t xml:space="preserve"> (e.g., Overleaf with IEEEtran class). The two-column flow is automatic and figure placement is handled by \begin{figure} and \begin{figure*} (spanning both columns).</w:t>
      </w:r>
    </w:p>
    <w:p>
      <w:pPr>
        <w:pStyle w:val="ListParagraph"/>
        <w:numPr>
          <w:ilvl w:val="0"/>
          <w:numId w:val="2"/>
        </w:numPr>
        <w:spacing w:after="60"/>
      </w:pPr>
      <w:r>
        <w:rPr>
          <w:color w:val="000000"/>
          <w:sz w:val="20"/>
          <w:szCs w:val="20"/>
        </w:rPr>
        <w:t xml:space="preserve">If using Word: create a two-column document layout (Page Layout &gt; Columns &gt; Two). Use full-width figures by inserting them as ‘In-line’ outside the column section break.</w:t>
      </w:r>
    </w:p>
    <w:p>
      <w:pPr>
        <w:pStyle w:val="ListParagraph"/>
        <w:numPr>
          <w:ilvl w:val="0"/>
          <w:numId w:val="2"/>
        </w:numPr>
        <w:spacing w:after="60"/>
      </w:pPr>
      <w:r>
        <w:rPr>
          <w:b/>
          <w:bCs/>
          <w:color w:val="000000"/>
          <w:sz w:val="20"/>
          <w:szCs w:val="20"/>
        </w:rPr>
        <w:t xml:space="preserve">Section length discipline:</w:t>
      </w:r>
      <w:r>
        <w:rPr>
          <w:color w:val="000000"/>
          <w:sz w:val="20"/>
          <w:szCs w:val="20"/>
        </w:rPr>
        <w:t xml:space="preserve"> paste each section’s draft into a word counter. If a section exceeds its budget by &gt;20%, cut prose before cutting figures.</w:t>
      </w:r>
    </w:p>
    <w:p>
      <w:pPr>
        <w:pStyle w:val="Heading2"/>
        <w:pBdr>
          <w:bottom w:val="single" w:color="2E75B6" w:sz="4"/>
        </w:pBdr>
        <w:spacing w:after="80" w:before="220"/>
      </w:pPr>
      <w:r>
        <w:rPr>
          <w:rFonts w:ascii="Arial" w:cs="Arial" w:eastAsia="Arial" w:hAnsi="Arial"/>
          <w:b/>
          <w:bCs/>
          <w:color w:val="1F4E79"/>
          <w:sz w:val="24"/>
          <w:szCs w:val="24"/>
        </w:rPr>
        <w:t xml:space="preserve">Figure captions (IEEE style)</w:t>
      </w:r>
    </w:p>
    <w:p>
      <w:pPr>
        <w:spacing w:after="100"/>
      </w:pPr>
      <w:r>
        <w:rPr>
          <w:color w:val="000000"/>
          <w:sz w:val="20"/>
          <w:szCs w:val="20"/>
        </w:rPr>
        <w:t xml:space="preserve">Every figure caption must: (1) name the data source; (2) state what the reader should notice; (3) be one sentence or two short sentences.</w:t>
      </w:r>
    </w:p>
    <w:p>
      <w:pPr>
        <w:spacing w:after="100"/>
      </w:pPr>
      <w:r>
        <w:rPr>
          <w:i/>
          <w:iCs/>
          <w:color w:val="595959"/>
          <w:sz w:val="20"/>
          <w:szCs w:val="20"/>
        </w:rPr>
        <w:t xml:space="preserve">Example: “Fig. 1. Weighted-mean expenditure shares by housing tenure type, LCF 2015/16–2023/24 (pooled). Private renters allocate 30.5% of expenditure to actual rent, compared to zero for outright owners; social renters have the highest food (18.3%) and energy (15.1%) shares.”</w:t>
      </w:r>
    </w:p>
    <w:p>
      <w:pPr>
        <w:pStyle w:val="Heading2"/>
        <w:pBdr>
          <w:bottom w:val="single" w:color="2E75B6" w:sz="4"/>
        </w:pBdr>
        <w:spacing w:after="80" w:before="220"/>
      </w:pPr>
      <w:r>
        <w:rPr>
          <w:rFonts w:ascii="Arial" w:cs="Arial" w:eastAsia="Arial" w:hAnsi="Arial"/>
          <w:b/>
          <w:bCs/>
          <w:color w:val="1F4E79"/>
          <w:sz w:val="24"/>
          <w:szCs w:val="24"/>
        </w:rPr>
        <w:t xml:space="preserve">Prose density rules</w:t>
      </w:r>
    </w:p>
    <w:p>
      <w:pPr>
        <w:pStyle w:val="ListParagraph"/>
        <w:numPr>
          <w:ilvl w:val="0"/>
          <w:numId w:val="2"/>
        </w:numPr>
        <w:spacing w:after="60"/>
      </w:pPr>
      <w:r>
        <w:rPr>
          <w:color w:val="000000"/>
          <w:sz w:val="20"/>
          <w:szCs w:val="20"/>
        </w:rPr>
        <w:t xml:space="preserve">Never write: “As can be seen from Figure 5...” Write: “In FY2022, mortgage holders experienced 9.89% inflation vs. 7.88% for private renters (Fig. 5), a 2.01pp gap driven by...”</w:t>
      </w:r>
    </w:p>
    <w:p>
      <w:pPr>
        <w:pStyle w:val="ListParagraph"/>
        <w:numPr>
          <w:ilvl w:val="0"/>
          <w:numId w:val="2"/>
        </w:numPr>
        <w:spacing w:after="60"/>
      </w:pPr>
      <w:r>
        <w:rPr>
          <w:color w:val="000000"/>
          <w:sz w:val="20"/>
          <w:szCs w:val="20"/>
        </w:rPr>
        <w:t xml:space="preserve">Every number cited in text must appear in a figure or table — no free-floating statistics.</w:t>
      </w:r>
    </w:p>
    <w:p>
      <w:pPr>
        <w:pStyle w:val="ListParagraph"/>
        <w:numPr>
          <w:ilvl w:val="0"/>
          <w:numId w:val="2"/>
        </w:numPr>
        <w:spacing w:after="60"/>
      </w:pPr>
      <w:r>
        <w:rPr>
          <w:color w:val="000000"/>
          <w:sz w:val="20"/>
          <w:szCs w:val="20"/>
        </w:rPr>
        <w:t xml:space="preserve">Use the present tense for findings (“mortgage holders experience...”) and past tense for methods (“we constructed...”).</w:t>
      </w:r>
    </w:p>
    <w:p>
      <w:pPr>
        <w:pStyle w:val="ListParagraph"/>
        <w:numPr>
          <w:ilvl w:val="0"/>
          <w:numId w:val="2"/>
        </w:numPr>
        <w:spacing w:after="60"/>
      </w:pPr>
      <w:r>
        <w:rPr>
          <w:color w:val="000000"/>
          <w:sz w:val="20"/>
          <w:szCs w:val="20"/>
        </w:rPr>
        <w:t xml:space="preserve">The word ‘clearly’ is banned. If it is clear, the figure shows it; if it is not clear, say why not.</w:t>
      </w:r>
    </w:p>
    <w:p>
      <w:pPr>
        <w:pStyle w:val="Heading2"/>
        <w:pBdr>
          <w:bottom w:val="single" w:color="2E75B6" w:sz="4"/>
        </w:pBdr>
        <w:spacing w:after="80" w:before="220"/>
      </w:pPr>
      <w:r>
        <w:rPr>
          <w:rFonts w:ascii="Arial" w:cs="Arial" w:eastAsia="Arial" w:hAnsi="Arial"/>
          <w:b/>
          <w:bCs/>
          <w:color w:val="1F4E79"/>
          <w:sz w:val="24"/>
          <w:szCs w:val="24"/>
        </w:rPr>
        <w:t xml:space="preserve">Abstract — write it last</w:t>
      </w:r>
    </w:p>
    <w:p>
      <w:pPr>
        <w:spacing w:after="100"/>
      </w:pPr>
      <w:r>
        <w:rPr>
          <w:color w:val="000000"/>
          <w:sz w:val="20"/>
          <w:szCs w:val="20"/>
        </w:rPr>
        <w:t xml:space="preserve">The abstract is not a summary of intentions; it is a summary of results. Do not write it until Sections IV and V are finalised and you know the actual MAE from the HCI validation and the actual silhouette scores.</w:t>
      </w:r>
    </w:p>
    <w:p>
      <w:pPr>
        <w:pStyle w:val="Heading2"/>
        <w:pBdr>
          <w:bottom w:val="single" w:color="2E75B6" w:sz="4"/>
        </w:pBdr>
        <w:spacing w:after="80" w:before="220"/>
      </w:pPr>
      <w:r>
        <w:rPr>
          <w:rFonts w:ascii="Arial" w:cs="Arial" w:eastAsia="Arial" w:hAnsi="Arial"/>
          <w:b/>
          <w:bCs/>
          <w:color w:val="1F4E79"/>
          <w:sz w:val="24"/>
          <w:szCs w:val="24"/>
        </w:rPr>
        <w:t xml:space="preserve">LaTeX equation for the Laspeyres formula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shd w:fill="1E1E1E" w:val="clear"/>
            <w:tcMar>
              <w:top w:type="dxa" w:w="100"/>
              <w:left w:type="dxa" w:w="200"/>
              <w:bottom w:type="dxa" w:w="100"/>
              <w:right w:type="dxa" w:w="200"/>
            </w:tcMar>
          </w:tcPr>
          <w:p>
            <w:r>
              <w:rPr>
                <w:rFonts w:ascii="Courier New" w:cs="Courier New" w:eastAsia="Courier New" w:hAnsi="Courier New"/>
                <w:color w:val="CE9178"/>
                <w:sz w:val="18"/>
                <w:szCs w:val="18"/>
              </w:rPr>
              <w:t xml:space="preserve">\begin{equation}</w:t>
            </w:r>
          </w:p>
          <w:p>
            <w:r>
              <w:rPr>
                <w:rFonts w:ascii="Courier New" w:cs="Courier New" w:eastAsia="Courier New" w:hAnsi="Courier New"/>
                <w:color w:val="9CDCFE"/>
                <w:sz w:val="18"/>
                <w:szCs w:val="18"/>
              </w:rPr>
              <w:t xml:space="preserve">  \pi_{g,t} = \sum_k \bar{w}_{g,k,t-1} \cdot \Delta p_{k,t}</w:t>
            </w:r>
          </w:p>
          <w:p>
            <w:r>
              <w:rPr>
                <w:rFonts w:ascii="Courier New" w:cs="Courier New" w:eastAsia="Courier New" w:hAnsi="Courier New"/>
                <w:color w:val="CE9178"/>
                <w:sz w:val="18"/>
                <w:szCs w:val="18"/>
              </w:rPr>
              <w:t xml:space="preserve">\end{equation}</w:t>
            </w:r>
          </w:p>
          <w:p>
            <w:r>
              <w:rPr>
                <w:rFonts w:ascii="Courier New" w:cs="Courier New" w:eastAsia="Courier New" w:hAnsi="Courier New"/>
                <w:color w:val="6A9955"/>
                <w:sz w:val="18"/>
                <w:szCs w:val="18"/>
              </w:rPr>
              <w:t xml:space="preserve">where $\bar{w}_{g,k,t-1}$ is the weighted-mean share of COICOP division $k$</w:t>
            </w:r>
          </w:p>
          <w:p>
            <w:r>
              <w:rPr>
                <w:rFonts w:ascii="Courier New" w:cs="Courier New" w:eastAsia="Courier New" w:hAnsi="Courier New"/>
                <w:color w:val="6A9955"/>
                <w:sz w:val="18"/>
                <w:szCs w:val="18"/>
              </w:rPr>
              <w:t xml:space="preserve">for group $g$ in year $t{-}1$, and $\Delta p_{k,t}$ is the annual price</w:t>
            </w:r>
          </w:p>
          <w:p>
            <w:r>
              <w:rPr>
                <w:rFonts w:ascii="Courier New" w:cs="Courier New" w:eastAsia="Courier New" w:hAnsi="Courier New"/>
                <w:color w:val="6A9955"/>
                <w:sz w:val="18"/>
                <w:szCs w:val="18"/>
              </w:rPr>
              <w:t xml:space="preserve">change of sub-index $k$ in year $t$.</w:t>
            </w:r>
          </w:p>
        </w:tc>
      </w:tr>
    </w:tbl>
    <w:p>
      <w:pPr>
        <w:spacing w:after="160"/>
      </w:pPr>
    </w:p>
    <w:p>
      <w:pPr>
        <w:pStyle w:val="Heading1"/>
        <w:shd w:fill="1F4E79" w:val="clear"/>
        <w:spacing w:after="120" w:before="280"/>
        <w:ind w:left="120" w:right="120"/>
      </w:pPr>
      <w:r>
        <w:rPr>
          <w:rFonts w:ascii="Arial" w:cs="Arial" w:eastAsia="Arial" w:hAnsi="Arial"/>
          <w:b/>
          <w:bCs/>
          <w:color w:val="FFFFFF"/>
          <w:sz w:val="28"/>
          <w:szCs w:val="28"/>
        </w:rPr>
        <w:t xml:space="preserve">  Key Numbers Cheat Sheet  (verified from parquet files)</w:t>
      </w:r>
    </w:p>
    <w:p>
      <w:pPr>
        <w:spacing w:after="100"/>
      </w:pPr>
      <w:r>
        <w:rPr>
          <w:color w:val="000000"/>
          <w:sz w:val="20"/>
          <w:szCs w:val="20"/>
        </w:rPr>
        <w:t xml:space="preserve">These are the numbers to cite in the report. They are derived from your actual parquet data as of the last pipeline run.</w:t>
      </w:r>
    </w:p>
    <w:p>
      <w:pPr>
        <w:pStyle w:val="Heading2"/>
        <w:pBdr>
          <w:bottom w:val="single" w:color="2E75B6" w:sz="4"/>
        </w:pBdr>
        <w:spacing w:after="80" w:before="220"/>
      </w:pPr>
      <w:r>
        <w:rPr>
          <w:rFonts w:ascii="Arial" w:cs="Arial" w:eastAsia="Arial" w:hAnsi="Arial"/>
          <w:b/>
          <w:bCs/>
          <w:color w:val="1F4E79"/>
          <w:sz w:val="24"/>
          <w:szCs w:val="24"/>
        </w:rPr>
        <w:t xml:space="preserve">Tenure inflation rates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900"/>
        <w:gridCol w:w="1800"/>
        <w:gridCol w:w="204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Mortgage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Outright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Private Rent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Social Rent</w:t>
            </w:r>
          </w:p>
        </w:tc>
        <w:tc>
          <w:tcPr>
            <w:tcW w:type="dxa" w:w="20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(max−min)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1.07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1.15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0.99</w:t>
            </w:r>
          </w:p>
        </w:tc>
        <w:tc>
          <w:tcPr>
            <w:tcW w:type="dxa" w:w="20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0.23pp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2.92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2.67</w:t>
            </w:r>
          </w:p>
        </w:tc>
        <w:tc>
          <w:tcPr>
            <w:tcW w:type="dxa" w:w="2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0.64pp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2.33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2.36</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2.05</w:t>
            </w:r>
          </w:p>
        </w:tc>
        <w:tc>
          <w:tcPr>
            <w:tcW w:type="dxa" w:w="20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0.53pp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1.81</w:t>
            </w:r>
          </w:p>
        </w:tc>
        <w:tc>
          <w:tcPr>
            <w:tcW w:type="dxa" w:w="2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0.33pp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0.74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0.72</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0.98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0.82</w:t>
            </w:r>
          </w:p>
        </w:tc>
        <w:tc>
          <w:tcPr>
            <w:tcW w:type="dxa" w:w="20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0.26pp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4.04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3.24</w:t>
            </w:r>
          </w:p>
        </w:tc>
        <w:tc>
          <w:tcPr>
            <w:tcW w:type="dxa" w:w="2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0.98pp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9.89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9.53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7.88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9.10</w:t>
            </w:r>
          </w:p>
        </w:tc>
        <w:tc>
          <w:tcPr>
            <w:tcW w:type="dxa" w:w="20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2.01pp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5.28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5.96</w:t>
            </w:r>
          </w:p>
        </w:tc>
        <w:tc>
          <w:tcPr>
            <w:tcW w:type="dxa" w:w="20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0.68pp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3.99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3.20</w:t>
            </w:r>
          </w:p>
        </w:tc>
        <w:tc>
          <w:tcPr>
            <w:tcW w:type="dxa" w:w="20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1.85pp ★</w:t>
            </w:r>
          </w:p>
        </w:tc>
      </w:tr>
    </w:tbl>
    <w:p>
      <w:pPr>
        <w:spacing w:after="80"/>
      </w:pPr>
    </w:p>
    <w:p>
      <w:pPr>
        <w:spacing w:after="100"/>
      </w:pPr>
      <w:r>
        <w:rPr>
          <w:i/>
          <w:iCs/>
          <w:color w:val="595959"/>
          <w:sz w:val="20"/>
          <w:szCs w:val="20"/>
        </w:rPr>
        <w:t xml:space="preserve">★ = the two largest gaps; cite as peak evidence for the research question.</w:t>
      </w:r>
    </w:p>
    <w:p>
      <w:pPr>
        <w:pStyle w:val="Heading2"/>
        <w:pBdr>
          <w:bottom w:val="single" w:color="2E75B6" w:sz="4"/>
        </w:pBdr>
        <w:spacing w:after="80" w:before="220"/>
      </w:pPr>
      <w:r>
        <w:rPr>
          <w:rFonts w:ascii="Arial" w:cs="Arial" w:eastAsia="Arial" w:hAnsi="Arial"/>
          <w:b/>
          <w:bCs/>
          <w:color w:val="1F4E79"/>
          <w:sz w:val="24"/>
          <w:szCs w:val="24"/>
        </w:rPr>
        <w:t xml:space="preserve">Expenditure shares by tenure (weighted means, pooled 2015–2024)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1800"/>
        <w:gridCol w:w="1800"/>
        <w:gridCol w:w="184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COICOP Component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Mortgage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Outright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Priv. Rent</w:t>
            </w:r>
          </w:p>
        </w:tc>
        <w:tc>
          <w:tcPr>
            <w:tcW w:type="dxa" w:w="18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Social Rent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Actual rent (04.1)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30.5%</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16.9%</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Largest single diff.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Food (01)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12.7%</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18.3%</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Energy (04 non-rent)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9.8%</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15.1%</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Transport (07)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14.2%</w:t>
            </w:r>
          </w:p>
        </w:tc>
        <w:tc>
          <w:tcPr>
            <w:tcW w:type="dxa" w:w="1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8.7%</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Outright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Recreation (09)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Private rent lowest</w:t>
            </w:r>
          </w:p>
        </w:tc>
      </w:tr>
    </w:tbl>
    <w:p>
      <w:pPr>
        <w:pStyle w:val="Heading2"/>
        <w:pBdr>
          <w:bottom w:val="single" w:color="2E75B6" w:sz="4"/>
        </w:pBdr>
        <w:spacing w:after="80" w:before="220"/>
      </w:pPr>
      <w:r>
        <w:rPr>
          <w:rFonts w:ascii="Arial" w:cs="Arial" w:eastAsia="Arial" w:hAnsi="Arial"/>
          <w:b/>
          <w:bCs/>
          <w:color w:val="1F4E79"/>
          <w:sz w:val="24"/>
          <w:szCs w:val="24"/>
        </w:rPr>
        <w:t xml:space="preserve">K-Means cluster–tenure cross-tab (k=2, % within cluster)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gridCol w:w="21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Cluster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Mortgage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Outright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Priv. Rent</w:t>
            </w:r>
          </w:p>
        </w:tc>
        <w:tc>
          <w:tcPr>
            <w:tcW w:type="dxa" w:w="2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Social Rent</w:t>
            </w:r>
          </w:p>
        </w:tc>
      </w:tr>
      <w:tr>
        <w:tc>
          <w:tcPr>
            <w:tcW w:type="dxa" w:w="20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Cluster 0 (Owners)</w:t>
            </w:r>
          </w:p>
        </w:tc>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48.0%</w:t>
            </w:r>
          </w:p>
        </w:tc>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37.7%</w:t>
            </w:r>
          </w:p>
        </w:tc>
        <w:tc>
          <w:tcPr>
            <w:tcW w:type="dxa" w:w="2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w:t>
            </w:r>
          </w:p>
        </w:tc>
        <w:tc>
          <w:tcPr>
            <w:tcW w:type="dxa" w:w="21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Cluster 1 (Renters)</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64.2%</w:t>
            </w:r>
          </w:p>
        </w:tc>
        <w:tc>
          <w:tcPr>
            <w:tcW w:type="dxa" w:w="214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34.8%</w:t>
            </w:r>
          </w:p>
        </w:tc>
      </w:tr>
    </w:tbl>
    <w:p>
      <w:pPr>
        <w:spacing w:after="80"/>
      </w:pPr>
    </w:p>
    <w:p>
      <w:pPr>
        <w:spacing w:after="100"/>
      </w:pPr>
      <w:r>
        <w:rPr>
          <w:b/>
          <w:bCs/>
          <w:color w:val="1F4E79"/>
          <w:sz w:val="20"/>
          <w:szCs w:val="20"/>
        </w:rPr>
        <w:t xml:space="preserve">The cross-tab is the single most striking result in Strand 2.</w:t>
      </w:r>
      <w:r>
        <w:rPr>
          <w:color w:val="000000"/>
          <w:sz w:val="20"/>
          <w:szCs w:val="20"/>
        </w:rPr>
        <w:t xml:space="preserve"> Cluster 1 contains zero outright owners and only 1% mortgage holders — it is effectively ‘the renter cluster’. This is not a foregone conclusion: K-means had no access to tenure labels. Quote this in the report as: “K-means assigns 99% of renters to a single cluster characterised by high rent and food shares, with no access to the tenure classification, confirming tenure as the primary structural axis of UK household expenditure.”</w:t>
      </w:r>
    </w:p>
    <w:p>
      <w:pPr>
        <w:spacing w:after="200"/>
      </w:pPr>
    </w:p>
    <w:p>
      <w:pPr>
        <w:pStyle w:val="Heading1"/>
        <w:shd w:fill="1F4E79" w:val="clear"/>
        <w:spacing w:after="120" w:before="280"/>
        <w:ind w:left="120" w:right="120"/>
      </w:pPr>
      <w:r>
        <w:rPr>
          <w:rFonts w:ascii="Arial" w:cs="Arial" w:eastAsia="Arial" w:hAnsi="Arial"/>
          <w:b/>
          <w:bCs/>
          <w:color w:val="FFFFFF"/>
          <w:sz w:val="28"/>
          <w:szCs w:val="28"/>
        </w:rPr>
        <w:t xml:space="preserve">  Recommended Order of Writing</w:t>
      </w:r>
    </w:p>
    <w:p>
      <w:pPr>
        <w:spacing w:after="100"/>
      </w:pPr>
      <w:r>
        <w:rPr>
          <w:color w:val="000000"/>
          <w:sz w:val="20"/>
          <w:szCs w:val="20"/>
        </w:rPr>
        <w:t xml:space="preserve">Writing the sections in the order they appear in the report is inefficient. Write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5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this order</w:t>
            </w:r>
          </w:p>
        </w:tc>
      </w:tr>
      <w:t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III. Data Preparation</w:t>
            </w:r>
          </w:p>
        </w:tc>
        <w:tc>
          <w:tcPr>
            <w:tcW w:type="dxa" w:w="57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Facts only; no interpretation needed. Sets up all terminology used later.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V.A–V.E Strand 1 (Laspeyres)</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analytical results. Write around the figures, which already exist.</w:t>
            </w:r>
          </w:p>
        </w:tc>
      </w:tr>
      <w:t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V.F–V.J Strand 2 (K-Means)</w:t>
            </w:r>
          </w:p>
        </w:tc>
        <w:tc>
          <w:tcPr>
            <w:tcW w:type="dxa" w:w="57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Interpret the cluster charts. Write the cross-tab finding prominently.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V.K Evaluation (HCI)</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 MAE, write residual interpretation.</w:t>
            </w:r>
          </w:p>
        </w:tc>
      </w:tr>
      <w:t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IV. Data Exploration</w:t>
            </w:r>
          </w:p>
        </w:tc>
        <w:tc>
          <w:tcPr>
            <w:tcW w:type="dxa" w:w="57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 you know the punchline: write the exploration as a story leading to tenure.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 Discussion &amp; Conclusion</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 you know all the results; policy implications and limitations can be written with confidence.</w:t>
            </w:r>
          </w:p>
        </w:tc>
      </w:tr>
      <w:t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II. Introduction</w:t>
            </w:r>
          </w:p>
        </w:tc>
        <w:tc>
          <w:tcPr>
            <w:tcW w:type="dxa" w:w="57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Easiest to write once you know exactly what you found.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 Abstract</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Write last. 150 words. One read-through; no first draft.</w:t>
            </w:r>
          </w:p>
        </w:tc>
      </w:tr>
      <w:t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VII. References</w:t>
            </w:r>
          </w:p>
        </w:tc>
        <w:tc>
          <w:tcPr>
            <w:tcW w:type="dxa" w:w="5746"/>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as you go; format in IEEE at the end.</w:t>
            </w:r>
          </w:p>
        </w:tc>
      </w:tr>
    </w:tbl>
    <w:p>
      <w:pPr>
        <w:spacing w:after="160"/>
      </w:pPr>
    </w:p>
    <w:p>
      <w:pPr>
        <w:shd w:fill="1F4E79" w:val="clear"/>
        <w:spacing w:after="80" w:before="80"/>
        <w:ind w:left="120" w:right="120"/>
        <w:jc w:val="center"/>
      </w:pPr>
      <w:r>
        <w:rPr>
          <w:b/>
          <w:bCs/>
          <w:color w:val="FFFFFF"/>
          <w:sz w:val="22"/>
          <w:szCs w:val="22"/>
        </w:rPr>
        <w:t xml:space="preserve">End of Blueprint  —  Good luck!</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color w:val="595959"/>
        <w:sz w:val="16"/>
        <w:szCs w:val="16"/>
      </w:rPr>
      <w:t xml:space="preserve">MSc Applied Data Science  |  p.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b/>
        <w:bCs/>
        <w:color w:val="595959"/>
        <w:sz w:val="18"/>
        <w:szCs w:val="18"/>
      </w:rPr>
      <w:t xml:space="preserve">REPORT BLUEPRINT  |  </w:t>
    </w:r>
    <w:r>
      <w:rPr>
        <w:i/>
        <w:iCs/>
        <w:color w:val="2E75B6"/>
        <w:sz w:val="18"/>
        <w:szCs w:val="18"/>
      </w:rPr>
      <w:t xml:space="preserve">One Size Fits None? Housing Tenure and the Burden of UK Inflation, 2015–2023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4E79"/>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2026-04-01T17:29:59.344Z</dcterms:created>
  <dcterms:modified xsi:type="dcterms:W3CDTF">2026-04-01T17:29:59.349Z</dcterms:modified>
</cp:coreProperties>
</file>

<file path=docProps/custom.xml><?xml version="1.0" encoding="utf-8"?>
<Properties xmlns="http://schemas.openxmlformats.org/officeDocument/2006/custom-properties" xmlns:vt="http://schemas.openxmlformats.org/officeDocument/2006/docPropsVTypes"/>
</file>