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맑은 고딕" w:cs="맑은 고딕" w:eastAsia="맑은 고딕" w:hAnsi="맑은 고딕"/>
          <w:b/>
          <w:bCs/>
          <w:color w:val="1F3864"/>
          <w:sz w:val="56"/>
          <w:szCs w:val="56"/>
        </w:rPr>
        <w:t xml:space="preserve">iFlow Sentinel</w:t>
      </w:r>
    </w:p>
    <w:p>
      <w:pPr>
        <w:spacing w:after="0" w:before="160"/>
        <w:jc w:val="center"/>
      </w:pPr>
      <w:r>
        <w:rPr>
          <w:rFonts w:ascii="맑은 고딕" w:cs="맑은 고딕" w:eastAsia="맑은 고딕" w:hAnsi="맑은 고딕"/>
          <w:color w:val="404040"/>
          <w:sz w:val="26"/>
          <w:szCs w:val="26"/>
        </w:rPr>
        <w:t xml:space="preserve">SAP Integration Suite 프로젝트 규칙 준수 체커</w:t>
      </w:r>
    </w:p>
    <w:p>
      <w:pPr>
        <w:spacing w:after="0" w:before="60"/>
        <w:jc w:val="center"/>
      </w:pPr>
      <w:r>
        <w:rPr>
          <w:rFonts w:ascii="맑은 고딕" w:cs="맑은 고딕" w:eastAsia="맑은 고딕" w:hAnsi="맑은 고딕"/>
          <w:i/>
          <w:iCs/>
          <w:color w:val="808080"/>
          <w:sz w:val="20"/>
          <w:szCs w:val="20"/>
        </w:rPr>
        <w:t xml:space="preserve">Rule Compliance Checker for SAP Integration Suite</w:t>
      </w:r>
    </w:p>
    <w:p>
      <w:pPr>
        <w:spacing w:after="0" w:before="2000"/>
        <w:jc w:val="center"/>
      </w:pPr>
      <w:r>
        <w:rPr>
          <w:rFonts w:ascii="맑은 고딕" w:cs="맑은 고딕" w:eastAsia="맑은 고딕" w:hAnsi="맑은 고딕"/>
          <w:b/>
          <w:bCs/>
          <w:color w:val="1A1A1A"/>
          <w:sz w:val="30"/>
          <w:szCs w:val="30"/>
        </w:rPr>
        <w:t xml:space="preserve">설계서 (Design Document)</w:t>
      </w:r>
    </w:p>
    <w:p>
      <w:pPr>
        <w:spacing w:after="0" w:before="1200"/>
        <w:jc w:val="center"/>
      </w:pPr>
      <w:r>
        <w:rPr>
          <w:rFonts w:ascii="맑은 고딕" w:cs="맑은 고딕" w:eastAsia="맑은 고딕" w:hAnsi="맑은 고딕"/>
          <w:color w:val="404040"/>
          <w:sz w:val="20"/>
          <w:szCs w:val="20"/>
        </w:rPr>
        <w:t xml:space="preserve">작성자 : 박세영    |    작성일 : 2026-07-14    |    버전 : v1.2</w:t>
      </w:r>
    </w:p>
    <w:p>
      <w:r>
        <w:br w:type="page"/>
      </w:r>
    </w:p>
    <w:p>
      <w:pPr>
        <w:spacing w:after="160"/>
      </w:pPr>
      <w:r>
        <w:rPr>
          <w:rFonts w:ascii="맑은 고딕" w:cs="맑은 고딕" w:eastAsia="맑은 고딕" w:hAnsi="맑은 고딕"/>
          <w:b/>
          <w:bCs/>
          <w:color w:val="1F3864"/>
          <w:sz w:val="30"/>
          <w:szCs w:val="30"/>
        </w:rPr>
        <w:t xml:space="preserve">목  차</w:t>
      </w:r>
    </w:p>
    <w:sdt>
      <w:sdtPr>
        <w:alias w:val="목차"/>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rFonts w:ascii="맑은 고딕" w:cs="맑은 고딕" w:eastAsia="맑은 고딕" w:hAnsi="맑은 고딕"/>
          <w:b/>
          <w:bCs/>
          <w:color w:val="1F3864"/>
          <w:sz w:val="30"/>
          <w:szCs w:val="30"/>
        </w:rPr>
        <w:t xml:space="preserve">1. 문서 개요</w:t>
      </w:r>
    </w:p>
    <w:p>
      <w:pPr>
        <w:pStyle w:val="Heading2"/>
        <w:spacing w:after="100" w:before="220"/>
      </w:pPr>
      <w:r>
        <w:rPr>
          <w:rFonts w:ascii="맑은 고딕" w:cs="맑은 고딕" w:eastAsia="맑은 고딕" w:hAnsi="맑은 고딕"/>
          <w:b/>
          <w:bCs/>
          <w:color w:val="2E4B7A"/>
          <w:sz w:val="24"/>
          <w:szCs w:val="24"/>
        </w:rPr>
        <w:t xml:space="preserve">1.1 목적</w:t>
      </w:r>
    </w:p>
    <w:p>
      <w:pPr>
        <w:spacing w:after="120" w:before="0" w:line="276"/>
      </w:pPr>
      <w:r>
        <w:rPr>
          <w:rFonts w:ascii="맑은 고딕" w:cs="맑은 고딕" w:eastAsia="맑은 고딕" w:hAnsi="맑은 고딕"/>
          <w:b w:val="false"/>
          <w:bCs w:val="false"/>
          <w:i w:val="false"/>
          <w:iCs w:val="false"/>
          <w:color w:val="1A1A1A"/>
          <w:sz w:val="20"/>
          <w:szCs w:val="20"/>
        </w:rPr>
        <w:t xml:space="preserve">본 문서는 SAP Integration Suite(이하 IS) 통합 프로젝트의 산출물(iFlow 등 아티팩트)이 사전에 정의한 개발 표준·규칙을 준수하는지 자동으로 검사하는 웹서비스 «iFlow Sentinel»의 설계를 기술한다. 개발팀이 별도 배경지식 없이도 시스템의 구조와 동작 원리를 이해할 수 있도록 작성한다.</w:t>
      </w:r>
    </w:p>
    <w:p>
      <w:pPr>
        <w:pStyle w:val="Heading2"/>
        <w:spacing w:after="100" w:before="220"/>
      </w:pPr>
      <w:r>
        <w:rPr>
          <w:rFonts w:ascii="맑은 고딕" w:cs="맑은 고딕" w:eastAsia="맑은 고딕" w:hAnsi="맑은 고딕"/>
          <w:b/>
          <w:bCs/>
          <w:color w:val="2E4B7A"/>
          <w:sz w:val="24"/>
          <w:szCs w:val="24"/>
        </w:rPr>
        <w:t xml:space="preserve">1.2 대상 독자</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본 서비스를 개발·유지보수하는 개발자</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표준 규칙을 정의·운영하는 통합 아키텍트 및 리드</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도입 여부를 검토하는 관리자</w:t>
      </w:r>
    </w:p>
    <w:p>
      <w:pPr>
        <w:pStyle w:val="Heading2"/>
        <w:spacing w:after="100" w:before="220"/>
      </w:pPr>
      <w:r>
        <w:rPr>
          <w:rFonts w:ascii="맑은 고딕" w:cs="맑은 고딕" w:eastAsia="맑은 고딕" w:hAnsi="맑은 고딕"/>
          <w:b/>
          <w:bCs/>
          <w:color w:val="2E4B7A"/>
          <w:sz w:val="24"/>
          <w:szCs w:val="24"/>
        </w:rPr>
        <w:t xml:space="preserve">1.3 범위</w:t>
      </w:r>
    </w:p>
    <w:p>
      <w:pPr>
        <w:spacing w:after="120" w:before="0" w:line="276"/>
      </w:pPr>
      <w:r>
        <w:rPr>
          <w:rFonts w:ascii="맑은 고딕" w:cs="맑은 고딕" w:eastAsia="맑은 고딕" w:hAnsi="맑은 고딕"/>
          <w:b w:val="false"/>
          <w:bCs w:val="false"/>
          <w:i w:val="false"/>
          <w:iCs w:val="false"/>
          <w:color w:val="1A1A1A"/>
          <w:sz w:val="20"/>
          <w:szCs w:val="20"/>
        </w:rPr>
        <w:t xml:space="preserve">포함 : 테넌트 연동, 아티팩트 수집·파싱, 전역·프로젝트 규칙 정의·관리(UI/YAML)와 프로젝트별 선택 적용, 사용자 정의 판단 로직, 검사 실행, 결과 리포트.</w:t>
      </w:r>
    </w:p>
    <w:p>
      <w:pPr>
        <w:spacing w:after="120" w:before="0" w:line="276"/>
      </w:pPr>
      <w:r>
        <w:rPr>
          <w:rFonts w:ascii="맑은 고딕" w:cs="맑은 고딕" w:eastAsia="맑은 고딕" w:hAnsi="맑은 고딕"/>
          <w:b w:val="false"/>
          <w:bCs w:val="false"/>
          <w:i w:val="false"/>
          <w:iCs w:val="false"/>
          <w:color w:val="1A1A1A"/>
          <w:sz w:val="20"/>
          <w:szCs w:val="20"/>
        </w:rPr>
        <w:t xml:space="preserve">미포함 : 운영 장애 디버깅(별도 모듈), 배포 자동화, iFlow 편집 기능.</w:t>
      </w:r>
    </w:p>
    <w:p>
      <w:pPr>
        <w:pBdr>
          <w:left w:val="single" w:color="C55A11" w:sz="18" w:space="8"/>
        </w:pBdr>
        <w:spacing w:after="100"/>
      </w:pPr>
      <w:r>
        <w:rPr>
          <w:rFonts w:ascii="맑은 고딕" w:cs="맑은 고딕" w:eastAsia="맑은 고딕" w:hAnsi="맑은 고딕"/>
          <w:color w:val="833C00"/>
          <w:sz w:val="19"/>
          <w:szCs w:val="19"/>
        </w:rPr>
        <w:t xml:space="preserve">설계 전제 : 본 서비스는 SAP IS 테넌트와 공식 OData API를 통해 HTTPS로 직접 통신한다. 내부 터널링(ICC)은 적용하지 않는다. IS가 공개 HTTPS 엔드포인트를 제공하므로 별도 터널 계층 없이 표준 OAuth2 인증으로 접근 가능하기 때문이다.</w:t>
      </w:r>
    </w:p>
    <w:p>
      <w:pPr>
        <w:pStyle w:val="Heading2"/>
        <w:spacing w:after="100" w:before="220"/>
      </w:pPr>
      <w:r>
        <w:rPr>
          <w:rFonts w:ascii="맑은 고딕" w:cs="맑은 고딕" w:eastAsia="맑은 고딕" w:hAnsi="맑은 고딕"/>
          <w:b/>
          <w:bCs/>
          <w:color w:val="2E4B7A"/>
          <w:sz w:val="24"/>
          <w:szCs w:val="24"/>
        </w:rPr>
        <w:t xml:space="preserve">1.4 용어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용어</w:t>
            </w:r>
          </w:p>
        </w:tc>
        <w:tc>
          <w:tcPr>
            <w:tcW w:type="dxa" w:w="69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설명</w:t>
            </w:r>
          </w:p>
        </w:tc>
      </w:tr>
      <w:t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iFlow</w:t>
            </w:r>
          </w:p>
        </w:tc>
        <w:tc>
          <w:tcPr>
            <w:tcW w:type="dxa" w:w="6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Integration Flow. IS에서 인터페이스 하나를 구현한 통합 흐름.</w:t>
            </w:r>
          </w:p>
        </w:tc>
      </w:tr>
      <w:tr>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아티팩트(Artifact)</w:t>
            </w:r>
          </w:p>
        </w:tc>
        <w:tc>
          <w:tcPr>
            <w:tcW w:type="dxa" w:w="6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iFlow를 빌드할 때 생성되는 패키지. 메타데이터, 리소스(스크립트·매핑), 흐름 정의(.iflw)를 포함하는 ZIP.</w:t>
            </w:r>
          </w:p>
        </w:tc>
      </w:tr>
      <w:t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.iflw</w:t>
            </w:r>
          </w:p>
        </w:tc>
        <w:tc>
          <w:tcPr>
            <w:tcW w:type="dxa" w:w="6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iFlow의 전체 구성을 담은 BPMN2 기반 XML 문서. 파싱의 핵심 대상.</w:t>
            </w:r>
          </w:p>
        </w:tc>
      </w:tr>
      <w:tr>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파싱 모델(Parsed Model)</w:t>
            </w:r>
          </w:p>
        </w:tc>
        <w:tc>
          <w:tcPr>
            <w:tcW w:type="dxa" w:w="6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Parser가 .iflw에서 추출한 구조화된 사실의 집합(참여자·채널·스텝 등). 모든 규칙 평가의 대상이 되는 안정적 스키마.</w:t>
            </w:r>
          </w:p>
        </w:tc>
      </w:tr>
      <w:t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규칙(Rule)</w:t>
            </w:r>
          </w:p>
        </w:tc>
        <w:tc>
          <w:tcPr>
            <w:tcW w:type="dxa" w:w="6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아티팩트가 지켜야 할 하나의 검사 항목. 전역 규칙과 프로젝트 규칙으로 구분된다.</w:t>
            </w:r>
          </w:p>
        </w:tc>
      </w:tr>
      <w:tr>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전역 규칙 / 프로젝트 규칙</w:t>
            </w:r>
          </w:p>
        </w:tc>
        <w:tc>
          <w:tcPr>
            <w:tcW w:type="dxa" w:w="6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전역 규칙은 조직 전체 기준으로 미리 정의되어 여러 프로젝트가 공유한다. 프로젝트 규칙은 특정 프로젝트에만 적용하려고 정의한 규칙이다.</w:t>
            </w:r>
          </w:p>
        </w:tc>
      </w:tr>
      <w:t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조건식(Expression)</w:t>
            </w:r>
          </w:p>
        </w:tc>
        <w:tc>
          <w:tcPr>
            <w:tcW w:type="dxa" w:w="6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파싱 모델을 읽기 전용으로 질의하는 사용자 정의 판단 로직. custom-expression 규칙 타입의 파라미터로 저장된다.</w:t>
            </w:r>
          </w:p>
        </w:tc>
      </w:tr>
      <w:tr>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Finding</w:t>
            </w:r>
          </w:p>
        </w:tc>
        <w:tc>
          <w:tcPr>
            <w:tcW w:type="dxa" w:w="6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검사 결과 발견된 하나의 규칙 위반 항목.</w:t>
            </w:r>
          </w:p>
        </w:tc>
      </w:tr>
    </w:tbl>
    <w:p>
      <w:pPr>
        <w:pStyle w:val="Heading1"/>
        <w:spacing w:after="140" w:before="320"/>
      </w:pPr>
      <w:r>
        <w:rPr>
          <w:rFonts w:ascii="맑은 고딕" w:cs="맑은 고딕" w:eastAsia="맑은 고딕" w:hAnsi="맑은 고딕"/>
          <w:b/>
          <w:bCs/>
          <w:color w:val="1F3864"/>
          <w:sz w:val="30"/>
          <w:szCs w:val="30"/>
        </w:rPr>
        <w:t xml:space="preserve">2. 시스템 개요</w:t>
      </w:r>
    </w:p>
    <w:p>
      <w:pPr>
        <w:pStyle w:val="Heading2"/>
        <w:spacing w:after="100" w:before="220"/>
      </w:pPr>
      <w:r>
        <w:rPr>
          <w:rFonts w:ascii="맑은 고딕" w:cs="맑은 고딕" w:eastAsia="맑은 고딕" w:hAnsi="맑은 고딕"/>
          <w:b/>
          <w:bCs/>
          <w:color w:val="2E4B7A"/>
          <w:sz w:val="24"/>
          <w:szCs w:val="24"/>
        </w:rPr>
        <w:t xml:space="preserve">2.1 배경 및 문제 정의</w:t>
      </w:r>
    </w:p>
    <w:p>
      <w:pPr>
        <w:spacing w:after="120" w:before="0" w:line="276"/>
      </w:pPr>
      <w:r>
        <w:rPr>
          <w:rFonts w:ascii="맑은 고딕" w:cs="맑은 고딕" w:eastAsia="맑은 고딕" w:hAnsi="맑은 고딕"/>
          <w:b w:val="false"/>
          <w:bCs w:val="false"/>
          <w:i w:val="false"/>
          <w:iCs w:val="false"/>
          <w:color w:val="1A1A1A"/>
          <w:sz w:val="20"/>
          <w:szCs w:val="20"/>
        </w:rPr>
        <w:t xml:space="preserve">통합 개발 표준은 대개 문서(Word/위키)로만 존재하고, 실제 iFlow가 그 표준을 지키는지는 이관(Transport) 직전에 사람이 눈으로 하나씩 검토한다. 이 방식은 개발자 수와 인터페이스 수에 비례해 비용이 커지고, 검토자의 숙련도에 따라 결과가 달라지며, 누락이 발생한다. 즉 «표준이 실행 가능한 형태로 강제되지 않는» 것이 근본 문제다.</w:t>
      </w:r>
    </w:p>
    <w:p>
      <w:pPr>
        <w:spacing w:after="120" w:before="0" w:line="276"/>
      </w:pPr>
      <w:r>
        <w:rPr>
          <w:rFonts w:ascii="맑은 고딕" w:cs="맑은 고딕" w:eastAsia="맑은 고딕" w:hAnsi="맑은 고딕"/>
          <w:b w:val="false"/>
          <w:bCs w:val="false"/>
          <w:i w:val="false"/>
          <w:iCs w:val="false"/>
          <w:color w:val="1A1A1A"/>
          <w:sz w:val="20"/>
          <w:szCs w:val="20"/>
        </w:rPr>
        <w:t xml:space="preserve">기존 오픈소스 도구(CPILint 등)는 이 문제를 규칙 기반 검사로 풀지만 명령줄(CLI) 전용이고 규칙을 XML로 관리해 진입장벽이 있으며, 웹 UI·팀 단위 거버넌스 워크플로우는 제공하지 않는다. iFlow Sentinel은 이 공백을 «웹서비스 + UI 기반 규칙 정의 + 전역·프로젝트 규칙의 선택 적용»으로 채운다.</w:t>
      </w:r>
    </w:p>
    <w:p>
      <w:pPr>
        <w:pStyle w:val="Heading2"/>
        <w:spacing w:after="100" w:before="220"/>
      </w:pPr>
      <w:r>
        <w:rPr>
          <w:rFonts w:ascii="맑은 고딕" w:cs="맑은 고딕" w:eastAsia="맑은 고딕" w:hAnsi="맑은 고딕"/>
          <w:b/>
          <w:bCs/>
          <w:color w:val="2E4B7A"/>
          <w:sz w:val="24"/>
          <w:szCs w:val="24"/>
        </w:rPr>
        <w:t xml:space="preserve">2.2 목표 및 핵심 가치</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표준을 실행 가능한 규칙으로 코드화하여 사람 대신 기계가 일관되게 검사한다.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규칙 정의를 UI로 쉽게 하되, 저장은 YAML로 하여 이식성·버전관리·재사용을 확보한다.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전역 규칙과 프로젝트 규칙을 나누어, 프로젝트마다 필요한 규칙을 자유롭게 선택·적용한다.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미리 정의된 타입으로 표현할 수 없는 검사도 사용자가 직접 판단 로직을 선언할 수 있게 한다.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검사 결과를 이관 검토 리포트로 제공하여 리뷰 시간을 단축한다.</w:t>
      </w:r>
    </w:p>
    <w:p>
      <w:pPr>
        <w:pStyle w:val="Heading2"/>
        <w:spacing w:after="100" w:before="220"/>
      </w:pPr>
      <w:r>
        <w:rPr>
          <w:rFonts w:ascii="맑은 고딕" w:cs="맑은 고딕" w:eastAsia="맑은 고딕" w:hAnsi="맑은 고딕"/>
          <w:b/>
          <w:bCs/>
          <w:color w:val="2E4B7A"/>
          <w:sz w:val="24"/>
          <w:szCs w:val="24"/>
        </w:rPr>
        <w:t xml:space="preserve">2.3 주요 특징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특징</w:t>
            </w:r>
          </w:p>
        </w:tc>
        <w:tc>
          <w:tcPr>
            <w:tcW w:type="dxa" w:w="66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설명</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웹서비스 단독 완결</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테넌트 등록 · 규칙 정의 · 검사 · 리포트를 하나의 UI에서 모두 수행. 화면 이동으로 인한 작업 분절이 없다.</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UI 기반 규칙 빌더</w:t>
            </w:r>
          </w:p>
        </w:tc>
        <w:tc>
          <w:tcPr>
            <w:tcW w:type="dxa" w:w="66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규칙 타입을 고르고 파라미터를 폼으로 입력하면 내부적으로 YAML이 생성된다. YAML 직접 편집도 지원.</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전역·프로젝트 규칙 분리</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전역 규칙은 조직 기준으로 미리 정의, 프로젝트는 사용할 규칙을 선택 적용. 프로젝트 전용 규칙도 별도 선언.</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사용자 정의 판단 로직</w:t>
            </w:r>
          </w:p>
        </w:tc>
        <w:tc>
          <w:tcPr>
            <w:tcW w:type="dxa" w:w="66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카탈로그에 없는 검사도 파싱 모델에 대한 읽기 전용 조건식으로 사용자가 직접 선언(5.6).</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HTTPS 직접 연동</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IS 공식 OData API에 OAuth2로 직접 접근. 별도 터널(ICC) 불필요.</w:t>
            </w:r>
          </w:p>
        </w:tc>
      </w:tr>
    </w:tbl>
    <w:p>
      <w:pPr>
        <w:pStyle w:val="Heading1"/>
        <w:spacing w:after="140" w:before="320"/>
      </w:pPr>
      <w:r>
        <w:rPr>
          <w:rFonts w:ascii="맑은 고딕" w:cs="맑은 고딕" w:eastAsia="맑은 고딕" w:hAnsi="맑은 고딕"/>
          <w:b/>
          <w:bCs/>
          <w:color w:val="1F3864"/>
          <w:sz w:val="30"/>
          <w:szCs w:val="30"/>
        </w:rPr>
        <w:t xml:space="preserve">3. 전체 아키텍처</w:t>
      </w:r>
    </w:p>
    <w:p>
      <w:pPr>
        <w:pStyle w:val="Heading2"/>
        <w:spacing w:after="100" w:before="220"/>
      </w:pPr>
      <w:r>
        <w:rPr>
          <w:rFonts w:ascii="맑은 고딕" w:cs="맑은 고딕" w:eastAsia="맑은 고딕" w:hAnsi="맑은 고딕"/>
          <w:b/>
          <w:bCs/>
          <w:color w:val="2E4B7A"/>
          <w:sz w:val="24"/>
          <w:szCs w:val="24"/>
        </w:rPr>
        <w:t xml:space="preserve">3.1 아키텍처 구성</w:t>
      </w:r>
    </w:p>
    <w:p>
      <w:pPr>
        <w:spacing w:after="120" w:before="0" w:line="276"/>
      </w:pPr>
      <w:r>
        <w:rPr>
          <w:rFonts w:ascii="맑은 고딕" w:cs="맑은 고딕" w:eastAsia="맑은 고딕" w:hAnsi="맑은 고딕"/>
          <w:b w:val="false"/>
          <w:bCs w:val="false"/>
          <w:i w:val="false"/>
          <w:iCs w:val="false"/>
          <w:color w:val="1A1A1A"/>
          <w:sz w:val="20"/>
          <w:szCs w:val="20"/>
        </w:rPr>
        <w:t xml:space="preserve">시스템은 프론트엔드(Vue), 백엔드(Spring Boot), 저장소, 그리고 외부 SAP IS 테넌트로 구성된다. 모든 핵심 로직은 백엔드에 있으며, 프론트엔드는 화면과 입력만 담당한다.</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B7A" w:sz="4"/>
              <w:left w:val="single" w:color="2E4B7A" w:sz="4"/>
              <w:bottom w:val="single" w:color="2E4B7A" w:sz="4"/>
              <w:right w:val="single" w:color="2E4B7A" w:sz="4"/>
            </w:tcBorders>
            <w:shd w:fill="D9E1F2" w:color="auto" w:val="clear"/>
            <w:tcMar>
              <w:top w:type="dxa" w:w="80"/>
              <w:left w:type="dxa" w:w="120"/>
              <w:bottom w:type="dxa" w:w="80"/>
              <w:right w:type="dxa" w:w="120"/>
            </w:tcMar>
          </w:tcPr>
          <w:p>
            <w:pPr>
              <w:spacing w:after="0" w:line="250"/>
              <w:jc w:val="center"/>
            </w:pPr>
            <w:r>
              <w:rPr>
                <w:rFonts w:ascii="맑은 고딕" w:cs="맑은 고딕" w:eastAsia="맑은 고딕" w:hAnsi="맑은 고딕"/>
                <w:b/>
                <w:bCs/>
                <w:color w:val="1A1A1A"/>
                <w:sz w:val="20"/>
                <w:szCs w:val="20"/>
              </w:rPr>
              <w:t xml:space="preserve">① 사용자 (웹 브라우저)</w:t>
            </w:r>
          </w:p>
          <w:p>
            <w:pPr>
              <w:spacing w:after="0" w:line="250"/>
              <w:jc w:val="center"/>
            </w:pPr>
            <w:r>
              <w:rPr>
                <w:rFonts w:ascii="맑은 고딕" w:cs="맑은 고딕" w:eastAsia="맑은 고딕" w:hAnsi="맑은 고딕"/>
                <w:b w:val="false"/>
                <w:bCs w:val="false"/>
                <w:color w:val="1A1A1A"/>
                <w:sz w:val="17"/>
                <w:szCs w:val="17"/>
              </w:rPr>
              <w:t xml:space="preserve">Vue 프론트엔드 — 테넌트/규칙/검사/리포트 화면</w:t>
            </w:r>
          </w:p>
        </w:tc>
      </w:tr>
    </w:tbl>
    <w:p>
      <w:pPr>
        <w:spacing w:after="40" w:before="40"/>
        <w:jc w:val="center"/>
      </w:pPr>
      <w:r>
        <w:rPr>
          <w:rFonts w:ascii="맑은 고딕" w:cs="맑은 고딕" w:eastAsia="맑은 고딕" w:hAnsi="맑은 고딕"/>
          <w:color w:val="2E4B7A"/>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B7A" w:sz="4"/>
              <w:left w:val="single" w:color="2E4B7A" w:sz="4"/>
              <w:bottom w:val="single" w:color="2E4B7A" w:sz="4"/>
              <w:right w:val="single" w:color="2E4B7A" w:sz="4"/>
            </w:tcBorders>
            <w:shd w:fill="DCE6F1" w:color="auto" w:val="clear"/>
            <w:tcMar>
              <w:top w:type="dxa" w:w="80"/>
              <w:left w:type="dxa" w:w="120"/>
              <w:bottom w:type="dxa" w:w="80"/>
              <w:right w:type="dxa" w:w="120"/>
            </w:tcMar>
          </w:tcPr>
          <w:p>
            <w:pPr>
              <w:spacing w:after="0" w:line="250"/>
              <w:jc w:val="center"/>
            </w:pPr>
            <w:r>
              <w:rPr>
                <w:rFonts w:ascii="맑은 고딕" w:cs="맑은 고딕" w:eastAsia="맑은 고딕" w:hAnsi="맑은 고딕"/>
                <w:b/>
                <w:bCs/>
                <w:color w:val="1A1A1A"/>
                <w:sz w:val="20"/>
                <w:szCs w:val="20"/>
              </w:rPr>
              <w:t xml:space="preserve">② 백엔드 (Java · Spring Boot)</w:t>
            </w:r>
          </w:p>
          <w:p>
            <w:pPr>
              <w:spacing w:after="0" w:line="250"/>
              <w:jc w:val="center"/>
            </w:pPr>
            <w:r>
              <w:rPr>
                <w:rFonts w:ascii="맑은 고딕" w:cs="맑은 고딕" w:eastAsia="맑은 고딕" w:hAnsi="맑은 고딕"/>
                <w:b w:val="false"/>
                <w:bCs w:val="false"/>
                <w:color w:val="1A1A1A"/>
                <w:sz w:val="17"/>
                <w:szCs w:val="17"/>
              </w:rPr>
              <w:t xml:space="preserve">Connector · Parser · Rule Engine · Rule Mgmt · Report</w:t>
            </w:r>
          </w:p>
        </w:tc>
      </w:tr>
    </w:tbl>
    <w:p>
      <w:pPr>
        <w:spacing w:after="40" w:before="40"/>
        <w:jc w:val="center"/>
      </w:pPr>
      <w:r>
        <w:rPr>
          <w:rFonts w:ascii="맑은 고딕" w:cs="맑은 고딕" w:eastAsia="맑은 고딕" w:hAnsi="맑은 고딕"/>
          <w:color w:val="2E4B7A"/>
          <w:sz w:val="17"/>
          <w:szCs w:val="17"/>
        </w:rPr>
        <w:t xml:space="preserve">▼  (HTTPS / OAuth2)                            ▼  (JDBC)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4B7A" w:sz="4"/>
              <w:left w:val="single" w:color="2E4B7A" w:sz="4"/>
              <w:bottom w:val="single" w:color="2E4B7A" w:sz="4"/>
              <w:right w:val="single" w:color="2E4B7A" w:sz="4"/>
            </w:tcBorders>
            <w:shd w:fill="E9EFF7" w:color="auto" w:val="clear"/>
            <w:tcMar>
              <w:top w:type="dxa" w:w="80"/>
              <w:left w:type="dxa" w:w="100"/>
              <w:bottom w:type="dxa" w:w="80"/>
              <w:right w:type="dxa" w:w="100"/>
            </w:tcMar>
          </w:tcPr>
          <w:p>
            <w:pPr>
              <w:spacing w:after="0"/>
              <w:jc w:val="center"/>
            </w:pPr>
            <w:r>
              <w:rPr>
                <w:rFonts w:ascii="맑은 고딕" w:cs="맑은 고딕" w:eastAsia="맑은 고딕" w:hAnsi="맑은 고딕"/>
                <w:b/>
                <w:bCs/>
                <w:sz w:val="20"/>
                <w:szCs w:val="20"/>
              </w:rPr>
              <w:t xml:space="preserve">③ SAP Integration Suite</w:t>
            </w:r>
          </w:p>
          <w:p>
            <w:pPr>
              <w:spacing w:after="0"/>
              <w:jc w:val="center"/>
            </w:pPr>
            <w:r>
              <w:rPr>
                <w:rFonts w:ascii="맑은 고딕" w:cs="맑은 고딕" w:eastAsia="맑은 고딕" w:hAnsi="맑은 고딕"/>
                <w:sz w:val="17"/>
                <w:szCs w:val="17"/>
              </w:rPr>
              <w:t xml:space="preserve">테넌트 (OData API)</w:t>
            </w:r>
          </w:p>
        </w:tc>
        <w:tc>
          <w:tcPr>
            <w:tcW w:type="dxa" w:w="4513"/>
            <w:tcBorders>
              <w:top w:val="single" w:color="2E4B7A" w:sz="4"/>
              <w:left w:val="single" w:color="2E4B7A" w:sz="4"/>
              <w:bottom w:val="single" w:color="2E4B7A" w:sz="4"/>
              <w:right w:val="single" w:color="2E4B7A" w:sz="4"/>
            </w:tcBorders>
            <w:shd w:fill="EDEDED" w:color="auto" w:val="clear"/>
            <w:tcMar>
              <w:top w:type="dxa" w:w="80"/>
              <w:left w:type="dxa" w:w="100"/>
              <w:bottom w:type="dxa" w:w="80"/>
              <w:right w:type="dxa" w:w="100"/>
            </w:tcMar>
          </w:tcPr>
          <w:p>
            <w:pPr>
              <w:spacing w:after="0"/>
              <w:jc w:val="center"/>
            </w:pPr>
            <w:r>
              <w:rPr>
                <w:rFonts w:ascii="맑은 고딕" w:cs="맑은 고딕" w:eastAsia="맑은 고딕" w:hAnsi="맑은 고딕"/>
                <w:b/>
                <w:bCs/>
                <w:sz w:val="20"/>
                <w:szCs w:val="20"/>
              </w:rPr>
              <w:t xml:space="preserve">④ 저장소 (DB)</w:t>
            </w:r>
          </w:p>
          <w:p>
            <w:pPr>
              <w:spacing w:after="0"/>
              <w:jc w:val="center"/>
            </w:pPr>
            <w:r>
              <w:rPr>
                <w:rFonts w:ascii="맑은 고딕" w:cs="맑은 고딕" w:eastAsia="맑은 고딕" w:hAnsi="맑은 고딕"/>
                <w:sz w:val="17"/>
                <w:szCs w:val="17"/>
              </w:rPr>
              <w:t xml:space="preserve">규칙 · 검사이력 · 테넌트정보(암호화)</w:t>
            </w:r>
          </w:p>
        </w:tc>
      </w:tr>
    </w:tbl>
    <w:p>
      <w:pPr>
        <w:spacing w:after="80"/>
      </w:pPr>
    </w:p>
    <w:p>
      <w:pPr>
        <w:pStyle w:val="Heading2"/>
        <w:spacing w:after="100" w:before="220"/>
      </w:pPr>
      <w:r>
        <w:rPr>
          <w:rFonts w:ascii="맑은 고딕" w:cs="맑은 고딕" w:eastAsia="맑은 고딕" w:hAnsi="맑은 고딕"/>
          <w:b/>
          <w:bCs/>
          <w:color w:val="2E4B7A"/>
          <w:sz w:val="24"/>
          <w:szCs w:val="24"/>
        </w:rPr>
        <w:t xml:space="preserve">3.2 기술 스택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42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구분</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기술</w:t>
            </w:r>
          </w:p>
        </w:tc>
        <w:tc>
          <w:tcPr>
            <w:tcW w:type="dxa" w:w="44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역할</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프론트엔드</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Vue</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화면 렌더링, 규칙 빌더 UI, 결과 표시</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백엔드</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Java / Spring Boot</w:t>
            </w:r>
          </w:p>
        </w:tc>
        <w:tc>
          <w:tcPr>
            <w:tcW w:type="dxa" w:w="4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OData 연동, 파싱, 규칙 엔진, REST API</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파싱</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표준 XML 파서 (DOM/StAX)</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.iflw(BPMN2) 및 리소스 파싱</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규칙 관리</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YAML (SnakeYAML 등)</w:t>
            </w:r>
          </w:p>
        </w:tc>
        <w:tc>
          <w:tcPr>
            <w:tcW w:type="dxa" w:w="4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규칙 직렬화/역직렬화</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조건식 평가</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CEL (cel-java 등)</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사용자 정의 조건식의 읽기 전용 평가</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저장소</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RDBMS</w:t>
            </w:r>
          </w:p>
        </w:tc>
        <w:tc>
          <w:tcPr>
            <w:tcW w:type="dxa" w:w="4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규칙·검사이력·테넌트 정보 저장</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인증</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OAuth2 Client Credentials</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IS 테넌트 접근 인증</w:t>
            </w:r>
          </w:p>
        </w:tc>
      </w:tr>
    </w:tbl>
    <w:p>
      <w:pPr>
        <w:pStyle w:val="Heading2"/>
        <w:spacing w:after="100" w:before="220"/>
      </w:pPr>
      <w:r>
        <w:rPr>
          <w:rFonts w:ascii="맑은 고딕" w:cs="맑은 고딕" w:eastAsia="맑은 고딕" w:hAnsi="맑은 고딕"/>
          <w:b/>
          <w:bCs/>
          <w:color w:val="2E4B7A"/>
          <w:sz w:val="24"/>
          <w:szCs w:val="24"/>
        </w:rPr>
        <w:t xml:space="preserve">3.3 통신 방식</w:t>
      </w:r>
    </w:p>
    <w:p>
      <w:pPr>
        <w:spacing w:after="120" w:before="0" w:line="276"/>
      </w:pPr>
      <w:r>
        <w:rPr>
          <w:rFonts w:ascii="맑은 고딕" w:cs="맑은 고딕" w:eastAsia="맑은 고딕" w:hAnsi="맑은 고딕"/>
          <w:b w:val="false"/>
          <w:bCs w:val="false"/>
          <w:i w:val="false"/>
          <w:iCs w:val="false"/>
          <w:color w:val="1A1A1A"/>
          <w:sz w:val="20"/>
          <w:szCs w:val="20"/>
        </w:rPr>
        <w:t xml:space="preserve">백엔드는 IS 테넌트가 제공하는 공식 OData API에 HTTPS로 직접 접속한다. 인증은 BTP에서 발급한 서비스 키 기반 OAuth2 Client Credentials 방식을 사용한다. 별도 터널 계층(ICC)을 두지 않으므로 구조가 단순하고, 사내 서버 한 대에 백엔드를 배포하면 바로 운영할 수 있다.</w:t>
      </w:r>
    </w:p>
    <w:p>
      <w:pPr>
        <w:pStyle w:val="Heading1"/>
        <w:spacing w:after="140" w:before="320"/>
      </w:pPr>
      <w:r>
        <w:rPr>
          <w:rFonts w:ascii="맑은 고딕" w:cs="맑은 고딕" w:eastAsia="맑은 고딕" w:hAnsi="맑은 고딕"/>
          <w:b/>
          <w:bCs/>
          <w:color w:val="1F3864"/>
          <w:sz w:val="30"/>
          <w:szCs w:val="30"/>
        </w:rPr>
        <w:t xml:space="preserve">4. 주요 컴포넌트 설계</w:t>
      </w:r>
    </w:p>
    <w:p>
      <w:pPr>
        <w:spacing w:after="120" w:before="0" w:line="276"/>
      </w:pPr>
      <w:r>
        <w:rPr>
          <w:rFonts w:ascii="맑은 고딕" w:cs="맑은 고딕" w:eastAsia="맑은 고딕" w:hAnsi="맑은 고딕"/>
          <w:b w:val="false"/>
          <w:bCs w:val="false"/>
          <w:i w:val="false"/>
          <w:iCs w:val="false"/>
          <w:color w:val="1A1A1A"/>
          <w:sz w:val="20"/>
          <w:szCs w:val="20"/>
        </w:rPr>
        <w:t xml:space="preserve">백엔드는 책임에 따라 다섯 개의 핵심 컴포넌트로 나뉜다. 각 컴포넌트는 독립적으로 개발·테스트할 수 있도록 경계를 명확히 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926"/>
        <w:gridCol w:w="340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컴포넌트</w:t>
            </w:r>
          </w:p>
        </w:tc>
        <w:tc>
          <w:tcPr>
            <w:tcW w:type="dxa" w:w="39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책임</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입력 → 출력</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Connector</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IS 테넌트 OData 연동. 패키지·아티팩트 목록 조회, 아티팩트 ZIP 다운로드, OAuth2 토큰 관리.</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테넌트 정보 → 아티팩트 ZIP</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Parser</w:t>
            </w:r>
          </w:p>
        </w:tc>
        <w:tc>
          <w:tcPr>
            <w:tcW w:type="dxa" w:w="3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.iflw(BPMN2 XML) 및 리소스를 해석하여 파싱 모델 구축. 서비스의 핵심 코어.</w:t>
            </w:r>
          </w:p>
        </w:tc>
        <w:tc>
          <w:tcPr>
            <w:tcW w:type="dxa" w:w="3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아티팩트 ZIP → 파싱 모델</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Rule Engine</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파싱 모델에 규칙을 적용하여 위반(Finding)을 산출. 단일/cross 규칙 및 사용자 정의 조건식 평가.</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파싱 모델 + 규칙 → Finding 목록</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Rule Mgmt</w:t>
            </w:r>
          </w:p>
        </w:tc>
        <w:tc>
          <w:tcPr>
            <w:tcW w:type="dxa" w:w="3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전역·프로젝트 규칙의 CRUD, UI 입력과 YAML 간 변환, 유효성 검증.</w:t>
            </w:r>
          </w:p>
        </w:tc>
        <w:tc>
          <w:tcPr>
            <w:tcW w:type="dxa" w:w="3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UI 입력 ↔ YAML</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Report</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Finding을 요약·상세 리포트로 가공, 검토 체크리스트 및 Excel/PDF 내보내기.</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Finding 목록 → 리포트</w:t>
            </w:r>
          </w:p>
        </w:tc>
      </w:tr>
    </w:tbl>
    <w:p>
      <w:pPr>
        <w:spacing w:after="60" w:before="0" w:line="276"/>
      </w:pPr>
      <w:r>
        <w:rPr>
          <w:rFonts w:ascii="맑은 고딕" w:cs="맑은 고딕" w:eastAsia="맑은 고딕" w:hAnsi="맑은 고딕"/>
          <w:b w:val="false"/>
          <w:bCs w:val="false"/>
          <w:i w:val="false"/>
          <w:iCs w:val="false"/>
          <w:color w:val="1A1A1A"/>
          <w:sz w:val="20"/>
          <w:szCs w:val="20"/>
        </w:rPr>
        <w:t xml:space="preserve">«Parser»가 만드는 파싱 모델은 참여자(송·수신 시스템), 채널(어댑터·설정), 흐름 스텝(Content Modifier·매핑·라우터·스크립트 등), 예외 서브프로세스, 외부화 파라미터, 리소스(스크립트·매핑)를 포함한다. 규칙 엔진은 이 구조화된 모델만 보고 판단하므로, 원본 XML을 다시 다룰 필요가 없다. 모든 iFlow가 동일한 스키마의 파싱 모델로 통일되기 때문에, 5.6의 사용자 정의 조건식이 임의의 iFlow에도 재사용될 수 있다.</w:t>
      </w:r>
    </w:p>
    <w:p>
      <w:r>
        <w:br w:type="page"/>
      </w:r>
    </w:p>
    <w:p>
      <w:pPr>
        <w:pStyle w:val="Heading1"/>
        <w:spacing w:after="140" w:before="320"/>
      </w:pPr>
      <w:r>
        <w:rPr>
          <w:rFonts w:ascii="맑은 고딕" w:cs="맑은 고딕" w:eastAsia="맑은 고딕" w:hAnsi="맑은 고딕"/>
          <w:b/>
          <w:bCs/>
          <w:color w:val="1F3864"/>
          <w:sz w:val="30"/>
          <w:szCs w:val="30"/>
        </w:rPr>
        <w:t xml:space="preserve">5. 규칙 관리 설계 (핵심)</w:t>
      </w:r>
    </w:p>
    <w:p>
      <w:pPr>
        <w:pStyle w:val="Heading2"/>
        <w:spacing w:after="100" w:before="220"/>
      </w:pPr>
      <w:r>
        <w:rPr>
          <w:rFonts w:ascii="맑은 고딕" w:cs="맑은 고딕" w:eastAsia="맑은 고딕" w:hAnsi="맑은 고딕"/>
          <w:b/>
          <w:bCs/>
          <w:color w:val="2E4B7A"/>
          <w:sz w:val="24"/>
          <w:szCs w:val="24"/>
        </w:rPr>
        <w:t xml:space="preserve">5.1 규칙 모델</w:t>
      </w:r>
    </w:p>
    <w:p>
      <w:pPr>
        <w:spacing w:after="120" w:before="0" w:line="276"/>
      </w:pPr>
      <w:r>
        <w:rPr>
          <w:rFonts w:ascii="맑은 고딕" w:cs="맑은 고딕" w:eastAsia="맑은 고딕" w:hAnsi="맑은 고딕"/>
          <w:b w:val="false"/>
          <w:bCs w:val="false"/>
          <w:i w:val="false"/>
          <w:iCs w:val="false"/>
          <w:color w:val="1A1A1A"/>
          <w:sz w:val="20"/>
          <w:szCs w:val="20"/>
        </w:rPr>
        <w:t xml:space="preserve">하나의 규칙은 아래 요소로 구성된다. 규칙은 기본적으로 «미리 정의된 규칙 타입 + 파라미터» 방식을 채택한다. 이는 UI 폼으로 쉽게 매핑되고, 임의 코드 실행이 없어 안전하며, 검증이 명확하기 때문이다. 카탈로그로 표현할 수 없는 검사를 위해 사용자 정의 조건식(custom-expression) 타입을 별도로 제공한다(5.6).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926"/>
        <w:gridCol w:w="350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요소</w:t>
            </w:r>
          </w:p>
        </w:tc>
        <w:tc>
          <w:tcPr>
            <w:tcW w:type="dxa" w:w="39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설명</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예시</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ruleKey</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규칙 식별 키</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sender-naming</w:t>
            </w:r>
          </w:p>
        </w:tc>
      </w:tr>
      <w:tr>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isGlobal</w:t>
            </w:r>
          </w:p>
        </w:tc>
        <w:tc>
          <w:tcPr>
            <w:tcW w:type="dxa" w:w="3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전역 규칙 여부 (전역/프로젝트 구분)</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true</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customProject</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프로젝트 규칙일 때 소속 프로젝트</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soil-is-migration</w:t>
            </w:r>
          </w:p>
        </w:tc>
      </w:tr>
      <w:tr>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type</w:t>
            </w:r>
          </w:p>
        </w:tc>
        <w:tc>
          <w:tcPr>
            <w:tcW w:type="dxa" w:w="3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규칙 타입 (카탈로그에서 선택)</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naming-convention</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severity</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심각도 : fail / warn / info</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fail</w:t>
            </w:r>
          </w:p>
        </w:tc>
      </w:tr>
      <w:tr>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target</w:t>
            </w:r>
          </w:p>
        </w:tc>
        <w:tc>
          <w:tcPr>
            <w:tcW w:type="dxa" w:w="3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검사 대상 범위 (요소·어댑터 등)</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participant / sender</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params</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타입별 파라미터 (조건식 포함)</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prefix: [OP_, B2B_, CP_]</w:t>
            </w:r>
          </w:p>
        </w:tc>
      </w:tr>
      <w:tr>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message</w:t>
            </w:r>
          </w:p>
        </w:tc>
        <w:tc>
          <w:tcPr>
            <w:tcW w:type="dxa" w:w="3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위반 시 안내 메시지</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송신 이름은 접두사를 …</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enabled</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규칙 자체의 활성 여부</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true</w:t>
            </w:r>
          </w:p>
        </w:tc>
      </w:tr>
    </w:tbl>
    <w:p>
      <w:pPr>
        <w:pStyle w:val="Heading2"/>
        <w:spacing w:after="100" w:before="220"/>
      </w:pPr>
      <w:r>
        <w:rPr>
          <w:rFonts w:ascii="맑은 고딕" w:cs="맑은 고딕" w:eastAsia="맑은 고딕" w:hAnsi="맑은 고딕"/>
          <w:b/>
          <w:bCs/>
          <w:color w:val="2E4B7A"/>
          <w:sz w:val="24"/>
          <w:szCs w:val="24"/>
        </w:rPr>
        <w:t xml:space="preserve">5.2 지원 규칙 타입 (카탈로그)</w:t>
      </w:r>
    </w:p>
    <w:p>
      <w:pPr>
        <w:spacing w:after="120" w:before="0" w:line="276"/>
      </w:pPr>
      <w:r>
        <w:rPr>
          <w:rFonts w:ascii="맑은 고딕" w:cs="맑은 고딕" w:eastAsia="맑은 고딕" w:hAnsi="맑은 고딕"/>
          <w:b w:val="false"/>
          <w:bCs w:val="false"/>
          <w:i w:val="false"/>
          <w:iCs w:val="false"/>
          <w:color w:val="1A1A1A"/>
          <w:sz w:val="20"/>
          <w:szCs w:val="20"/>
        </w:rPr>
        <w:t xml:space="preserve">규칙 타입은 카탈로그로 관리하며 점진적으로 확장한다. 초기 제공 타입은 다음과 같다.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4726"/>
        <w:gridCol w:w="1200"/>
      </w:tblGrid>
      <w:tr>
        <w:trPr>
          <w:tblHeader/>
        </w:trPr>
        <w:tc>
          <w:tcPr>
            <w:tcW w:type="dxa" w:w="3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규칙 타입</w:t>
            </w:r>
          </w:p>
        </w:tc>
        <w:tc>
          <w:tcPr>
            <w:tcW w:type="dxa" w:w="47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검사 내용</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범위</w:t>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naming-convention</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참여자·채널·스텝 이름이 접두사/정규식 규칙을 따르는가</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center"/>
            </w:pPr>
            <w:r>
              <w:rPr>
                <w:rFonts w:ascii="맑은 고딕" w:cs="맑은 고딕" w:eastAsia="맑은 고딕" w:hAnsi="맑은 고딕"/>
                <w:b w:val="false"/>
                <w:bCs w:val="false"/>
                <w:color w:val="1A1A1A"/>
                <w:sz w:val="18"/>
                <w:szCs w:val="18"/>
              </w:rPr>
              <w:t xml:space="preserve">단일</w:t>
            </w:r>
          </w:p>
        </w:tc>
      </w:tr>
      <w:tr>
        <w:tc>
          <w:tcPr>
            <w:tcW w:type="dxa" w:w="3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required-error-handler</w:t>
            </w:r>
          </w:p>
        </w:tc>
        <w:tc>
          <w:tcPr>
            <w:tcW w:type="dxa" w:w="4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예외 처리 서브프로세스가 존재하는가</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center"/>
            </w:pPr>
            <w:r>
              <w:rPr>
                <w:rFonts w:ascii="맑은 고딕" w:cs="맑은 고딕" w:eastAsia="맑은 고딕" w:hAnsi="맑은 고딕"/>
                <w:b w:val="false"/>
                <w:bCs w:val="false"/>
                <w:color w:val="1A1A1A"/>
                <w:sz w:val="18"/>
                <w:szCs w:val="18"/>
              </w:rPr>
              <w:t xml:space="preserve">단일</w:t>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externalized-endpoint</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어댑터 주소가 하드코딩이 아닌 외부화 파라미터인가</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center"/>
            </w:pPr>
            <w:r>
              <w:rPr>
                <w:rFonts w:ascii="맑은 고딕" w:cs="맑은 고딕" w:eastAsia="맑은 고딕" w:hAnsi="맑은 고딕"/>
                <w:b w:val="false"/>
                <w:bCs w:val="false"/>
                <w:color w:val="1A1A1A"/>
                <w:sz w:val="18"/>
                <w:szCs w:val="18"/>
              </w:rPr>
              <w:t xml:space="preserve">단일</w:t>
            </w:r>
          </w:p>
        </w:tc>
      </w:tr>
      <w:tr>
        <w:tc>
          <w:tcPr>
            <w:tcW w:type="dxa" w:w="3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allowed-adapter-types</w:t>
            </w:r>
          </w:p>
        </w:tc>
        <w:tc>
          <w:tcPr>
            <w:tcW w:type="dxa" w:w="4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허용된 어댑터 타입만 사용하는가</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center"/>
            </w:pPr>
            <w:r>
              <w:rPr>
                <w:rFonts w:ascii="맑은 고딕" w:cs="맑은 고딕" w:eastAsia="맑은 고딕" w:hAnsi="맑은 고딕"/>
                <w:b w:val="false"/>
                <w:bCs w:val="false"/>
                <w:color w:val="1A1A1A"/>
                <w:sz w:val="18"/>
                <w:szCs w:val="18"/>
              </w:rPr>
              <w:t xml:space="preserve">단일</w:t>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required-logging</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필수 로깅 스텝/로그 설정을 갖추었는가</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center"/>
            </w:pPr>
            <w:r>
              <w:rPr>
                <w:rFonts w:ascii="맑은 고딕" w:cs="맑은 고딕" w:eastAsia="맑은 고딕" w:hAnsi="맑은 고딕"/>
                <w:b w:val="false"/>
                <w:bCs w:val="false"/>
                <w:color w:val="1A1A1A"/>
                <w:sz w:val="18"/>
                <w:szCs w:val="18"/>
              </w:rPr>
              <w:t xml:space="preserve">단일</w:t>
            </w:r>
          </w:p>
        </w:tc>
      </w:tr>
      <w:tr>
        <w:tc>
          <w:tcPr>
            <w:tcW w:type="dxa" w:w="3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allowed-script-language</w:t>
            </w:r>
          </w:p>
        </w:tc>
        <w:tc>
          <w:tcPr>
            <w:tcW w:type="dxa" w:w="4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허용된 스크립트 언어(예: Groovy)만 사용하는가</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center"/>
            </w:pPr>
            <w:r>
              <w:rPr>
                <w:rFonts w:ascii="맑은 고딕" w:cs="맑은 고딕" w:eastAsia="맑은 고딕" w:hAnsi="맑은 고딕"/>
                <w:b w:val="false"/>
                <w:bCs w:val="false"/>
                <w:color w:val="1A1A1A"/>
                <w:sz w:val="18"/>
                <w:szCs w:val="18"/>
              </w:rPr>
              <w:t xml:space="preserve">단일</w:t>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mapping-type</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허용된 매핑 타입만 사용하는가</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center"/>
            </w:pPr>
            <w:r>
              <w:rPr>
                <w:rFonts w:ascii="맑은 고딕" w:cs="맑은 고딕" w:eastAsia="맑은 고딕" w:hAnsi="맑은 고딕"/>
                <w:b w:val="false"/>
                <w:bCs w:val="false"/>
                <w:color w:val="1A1A1A"/>
                <w:sz w:val="18"/>
                <w:szCs w:val="18"/>
              </w:rPr>
              <w:t xml:space="preserve">단일</w:t>
            </w:r>
          </w:p>
        </w:tc>
      </w:tr>
      <w:tr>
        <w:tc>
          <w:tcPr>
            <w:tcW w:type="dxa" w:w="3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required-parameter</w:t>
            </w:r>
          </w:p>
        </w:tc>
        <w:tc>
          <w:tcPr>
            <w:tcW w:type="dxa" w:w="4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특정 외부화 파라미터가 반드시 존재하는가</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center"/>
            </w:pPr>
            <w:r>
              <w:rPr>
                <w:rFonts w:ascii="맑은 고딕" w:cs="맑은 고딕" w:eastAsia="맑은 고딕" w:hAnsi="맑은 고딕"/>
                <w:b w:val="false"/>
                <w:bCs w:val="false"/>
                <w:color w:val="1A1A1A"/>
                <w:sz w:val="18"/>
                <w:szCs w:val="18"/>
              </w:rPr>
              <w:t xml:space="preserve">단일</w:t>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forbidden-configuration</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금지된 설정값이 존재하지 않는가</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center"/>
            </w:pPr>
            <w:r>
              <w:rPr>
                <w:rFonts w:ascii="맑은 고딕" w:cs="맑은 고딕" w:eastAsia="맑은 고딕" w:hAnsi="맑은 고딕"/>
                <w:b w:val="false"/>
                <w:bCs w:val="false"/>
                <w:color w:val="1A1A1A"/>
                <w:sz w:val="18"/>
                <w:szCs w:val="18"/>
              </w:rPr>
              <w:t xml:space="preserve">단일</w:t>
            </w:r>
          </w:p>
        </w:tc>
      </w:tr>
      <w:tr>
        <w:tc>
          <w:tcPr>
            <w:tcW w:type="dxa" w:w="3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processdirect-pairing</w:t>
            </w:r>
          </w:p>
        </w:tc>
        <w:tc>
          <w:tcPr>
            <w:tcW w:type="dxa" w:w="4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receiver ProcessDirect마다 대응 sender가 존재하는가</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center"/>
            </w:pPr>
            <w:r>
              <w:rPr>
                <w:rFonts w:ascii="맑은 고딕" w:cs="맑은 고딕" w:eastAsia="맑은 고딕" w:hAnsi="맑은 고딕"/>
                <w:b w:val="false"/>
                <w:bCs w:val="false"/>
                <w:color w:val="1A1A1A"/>
                <w:sz w:val="18"/>
                <w:szCs w:val="18"/>
              </w:rPr>
              <w:t xml:space="preserve">다중(cross)</w:t>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custom-expression</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파싱 모델에 대한 사용자 정의 조건식으로 검사 (5.6)</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center"/>
            </w:pPr>
            <w:r>
              <w:rPr>
                <w:rFonts w:ascii="맑은 고딕" w:cs="맑은 고딕" w:eastAsia="맑은 고딕" w:hAnsi="맑은 고딕"/>
                <w:b w:val="false"/>
                <w:bCs w:val="false"/>
                <w:color w:val="1A1A1A"/>
                <w:sz w:val="18"/>
                <w:szCs w:val="18"/>
              </w:rPr>
              <w:t xml:space="preserve">단일/다중</w:t>
            </w:r>
          </w:p>
        </w:tc>
      </w:tr>
    </w:tbl>
    <w:p>
      <w:pPr>
        <w:spacing w:after="120" w:before="0" w:line="276"/>
      </w:pPr>
      <w:r>
        <w:rPr>
          <w:rFonts w:ascii="맑은 고딕" w:cs="맑은 고딕" w:eastAsia="맑은 고딕" w:hAnsi="맑은 고딕"/>
          <w:b w:val="false"/>
          <w:bCs w:val="false"/>
          <w:i w:val="false"/>
          <w:iCs w:val="false"/>
          <w:color w:val="1A1A1A"/>
          <w:sz w:val="20"/>
          <w:szCs w:val="20"/>
        </w:rPr>
        <w:t xml:space="preserve">«다중(cross)» 범위 규칙은 프로젝트 내 모든 아티팩트를 함께 봐야 판정할 수 있다. 이는 브라우저 확장으로는 구현이 어렵고, 아티팩트 전체를 배치로 수집하는 웹서비스 구조라야 가능한 부분이다.</w:t>
      </w:r>
    </w:p>
    <w:p>
      <w:pPr>
        <w:pStyle w:val="Heading3"/>
        <w:spacing w:after="80" w:before="160"/>
      </w:pPr>
      <w:r>
        <w:rPr>
          <w:rFonts w:ascii="맑은 고딕" w:cs="맑은 고딕" w:eastAsia="맑은 고딕" w:hAnsi="맑은 고딕"/>
          <w:b/>
          <w:bCs/>
          <w:color w:val="404040"/>
          <w:sz w:val="21"/>
          <w:szCs w:val="21"/>
        </w:rPr>
        <w:t xml:space="preserve">카탈로그 확장 정책</w:t>
      </w:r>
    </w:p>
    <w:p>
      <w:pPr>
        <w:spacing w:after="120" w:before="0" w:line="276"/>
      </w:pPr>
      <w:r>
        <w:rPr>
          <w:rFonts w:ascii="맑은 고딕" w:cs="맑은 고딕" w:eastAsia="맑은 고딕" w:hAnsi="맑은 고딕"/>
          <w:b w:val="false"/>
          <w:bCs w:val="false"/>
          <w:i w:val="false"/>
          <w:iCs w:val="false"/>
          <w:color w:val="1A1A1A"/>
          <w:sz w:val="20"/>
          <w:szCs w:val="20"/>
        </w:rPr>
        <w:t xml:space="preserve">카탈로그는 «닫힌 목록»이 아니라 «계속 자라는 목록»으로 설계한다. 새로운 검사 요구가 나오면 (1) 기존 타입의 파라미터로 표현되는지 먼저 확인하고, (2) 안 되면 사용자 정의 조건식(custom-expression)으로 프로젝트팀이 직접 선언하며, (3) 조건식으로도 표현할 수 없는 저수준 검사(신규 프리미티브)만 개발자가 새 규칙 타입으로 추가한다. 이 3단계 덕분에 대부분의 요구는 백엔드 재배포 없이 UI에서 해결된다.</w:t>
      </w:r>
    </w:p>
    <w:p>
      <w:pPr>
        <w:pStyle w:val="Heading2"/>
        <w:spacing w:after="100" w:before="220"/>
      </w:pPr>
      <w:r>
        <w:rPr>
          <w:rFonts w:ascii="맑은 고딕" w:cs="맑은 고딕" w:eastAsia="맑은 고딕" w:hAnsi="맑은 고딕"/>
          <w:b/>
          <w:bCs/>
          <w:color w:val="2E4B7A"/>
          <w:sz w:val="24"/>
          <w:szCs w:val="24"/>
        </w:rPr>
        <w:t xml:space="preserve">5.3 UI 규칙 빌더 ↔ YAML 매핑</w:t>
      </w:r>
    </w:p>
    <w:p>
      <w:pPr>
        <w:spacing w:after="120" w:before="0" w:line="276"/>
      </w:pPr>
      <w:r>
        <w:rPr>
          <w:rFonts w:ascii="맑은 고딕" w:cs="맑은 고딕" w:eastAsia="맑은 고딕" w:hAnsi="맑은 고딕"/>
          <w:b w:val="false"/>
          <w:bCs w:val="false"/>
          <w:i w:val="false"/>
          <w:iCs w:val="false"/>
          <w:color w:val="1A1A1A"/>
          <w:sz w:val="20"/>
          <w:szCs w:val="20"/>
        </w:rPr>
        <w:t xml:space="preserve">사용자는 UI에서 규칙 타입을 선택하고 파라미터를 폼으로 입력한다. 시스템은 이를 YAML로 저장하며, YAML은 «단일 진실 소스»로서 버전관리·재사용·이식의 기준이 된다. custom-expression 타입은 폼 대신 조건 빌더/표현식 편집기로 입력하되, 저장 형식은 동일하게 YAML이다. 아래는 «송신 시스템 네이밍 규칙»을 UI로 정의했을 때의 대응 관계다.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726"/>
        <w:gridCol w:w="280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UI 입력 항목</w:t>
            </w:r>
          </w:p>
        </w:tc>
        <w:tc>
          <w:tcPr>
            <w:tcW w:type="dxa" w:w="37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선택/입력 값</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 YAML 필드</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규칙 타입</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네이밍 규칙 (naming-convention)</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type</w:t>
            </w:r>
          </w:p>
        </w:tc>
      </w:tr>
      <w:tr>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대상 요소</w:t>
            </w:r>
          </w:p>
        </w:tc>
        <w:tc>
          <w:tcPr>
            <w:tcW w:type="dxa" w:w="3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참여자 / 송신(sender)</w:t>
            </w:r>
          </w:p>
        </w:tc>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target.element / target.role</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허용 접두사</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OP_, B2B_, CP_</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params.prefix</w:t>
            </w:r>
          </w:p>
        </w:tc>
      </w:tr>
      <w:tr>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심각도</w:t>
            </w:r>
          </w:p>
        </w:tc>
        <w:tc>
          <w:tcPr>
            <w:tcW w:type="dxa" w:w="3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실패(fail)</w:t>
            </w:r>
          </w:p>
        </w:tc>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severity</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안내 메시지</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송신 시스템 이름은 …</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message</w:t>
            </w:r>
          </w:p>
        </w:tc>
      </w:tr>
    </w:tbl>
    <w:p>
      <w:pPr>
        <w:pStyle w:val="Heading2"/>
        <w:spacing w:after="100" w:before="220"/>
      </w:pPr>
      <w:r>
        <w:rPr>
          <w:rFonts w:ascii="맑은 고딕" w:cs="맑은 고딕" w:eastAsia="맑은 고딕" w:hAnsi="맑은 고딕"/>
          <w:b/>
          <w:bCs/>
          <w:color w:val="2E4B7A"/>
          <w:sz w:val="24"/>
          <w:szCs w:val="24"/>
        </w:rPr>
        <w:t xml:space="preserve">5.4 전역 규칙과 프로젝트 규칙</w:t>
      </w:r>
    </w:p>
    <w:p>
      <w:pPr>
        <w:spacing w:after="120" w:before="0" w:line="276"/>
      </w:pPr>
      <w:r>
        <w:rPr>
          <w:rFonts w:ascii="맑은 고딕" w:cs="맑은 고딕" w:eastAsia="맑은 고딕" w:hAnsi="맑은 고딕"/>
          <w:b w:val="false"/>
          <w:bCs w:val="false"/>
          <w:i w:val="false"/>
          <w:iCs w:val="false"/>
          <w:color w:val="1A1A1A"/>
          <w:sz w:val="20"/>
          <w:szCs w:val="20"/>
        </w:rPr>
        <w:t xml:space="preserve">규칙은 상속(import)이나 규칙셋 바인딩이 아니라, 두 종류의 규칙과 «프로젝트 단위 선택»으로 적용된다.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26"/>
        <w:gridCol w:w="36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구분</w:t>
            </w:r>
          </w:p>
        </w:tc>
        <w:tc>
          <w:tcPr>
            <w:tcW w:type="dxa" w:w="24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정의 시점 / 소유</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적용 방식</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전역 규칙 (isGlobal=true)</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조직 전체 기준으로 사전에 정의. 여러 프로젝트가 공유.</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각 프로젝트가 사용할지 여부를 선택(ProjectRule).</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프로젝트 규칙 (customProject)</w:t>
            </w:r>
          </w:p>
        </w:tc>
        <w:tc>
          <w:tcPr>
            <w:tcW w:type="dxa" w:w="2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특정 프로젝트에 한해 정의. 그 프로젝트에만 존재.</w:t>
            </w:r>
          </w:p>
        </w:tc>
        <w:tc>
          <w:tcPr>
            <w:tcW w:type="dxa" w:w="3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해당 프로젝트에서만 사용 여부를 선택.</w:t>
            </w:r>
          </w:p>
        </w:tc>
      </w:tr>
    </w:tbl>
    <w:p>
      <w:pPr>
        <w:spacing w:after="120" w:before="0" w:line="276"/>
      </w:pPr>
      <w:r>
        <w:rPr>
          <w:rFonts w:ascii="맑은 고딕" w:cs="맑은 고딕" w:eastAsia="맑은 고딕" w:hAnsi="맑은 고딕"/>
          <w:b w:val="false"/>
          <w:bCs w:val="false"/>
          <w:i w:val="false"/>
          <w:iCs w:val="false"/>
          <w:color w:val="1A1A1A"/>
          <w:sz w:val="20"/>
          <w:szCs w:val="20"/>
        </w:rPr>
        <w:t xml:space="preserve">한 프로젝트에 적용할 규칙 집합은 «사용할 전역 규칙 + 사용할 프로젝트 규칙»으로 구성되며, 각 규칙을 켜고 끄는 것은 프로젝트 내부에서 ProjectRule(project, rule, isEnabled)로 관리한다. 전역 규칙의 값을 프로젝트에서 다르게 쓰고 싶으면, 상속·오버라이드 대신 «전역 규칙을 끄고, 원하는 값으로 프로젝트 규칙을 새로 정의해 켜는» 방식으로 독립적으로 선언한다. 이렇게 하면 전역 규칙 원본은 어떤 경우에도 프로젝트에 의해 변형되지 않는다.</w:t>
      </w:r>
    </w:p>
    <w:p>
      <w:pPr>
        <w:pStyle w:val="Heading2"/>
        <w:spacing w:after="100" w:before="220"/>
      </w:pPr>
      <w:r>
        <w:rPr>
          <w:rFonts w:ascii="맑은 고딕" w:cs="맑은 고딕" w:eastAsia="맑은 고딕" w:hAnsi="맑은 고딕"/>
          <w:b/>
          <w:bCs/>
          <w:color w:val="2E4B7A"/>
          <w:sz w:val="24"/>
          <w:szCs w:val="24"/>
        </w:rPr>
        <w:t xml:space="preserve">5.5 YAML 예시</w:t>
      </w:r>
    </w:p>
    <w:p>
      <w:pPr>
        <w:spacing w:after="120" w:before="0" w:line="276"/>
      </w:pPr>
      <w:r>
        <w:rPr>
          <w:rFonts w:ascii="맑은 고딕" w:cs="맑은 고딕" w:eastAsia="맑은 고딕" w:hAnsi="맑은 고딕"/>
          <w:b w:val="false"/>
          <w:bCs w:val="false"/>
          <w:i w:val="false"/>
          <w:iCs w:val="false"/>
          <w:color w:val="1A1A1A"/>
          <w:sz w:val="20"/>
          <w:szCs w:val="20"/>
        </w:rPr>
        <w:t xml:space="preserve">전역 규칙과 프로젝트 규칙은 같은 규칙 스키마를 공유하며, isGlobal/customProject로 구분된다. 프로젝트는 별도의 적용 목록으로 어떤 규칙을 켤지 선언한다.</w:t>
      </w:r>
    </w:p>
    <w:p>
      <w:pPr>
        <w:pStyle w:val="Heading3"/>
        <w:spacing w:after="80" w:before="160"/>
      </w:pPr>
      <w:r>
        <w:rPr>
          <w:rFonts w:ascii="맑은 고딕" w:cs="맑은 고딕" w:eastAsia="맑은 고딕" w:hAnsi="맑은 고딕"/>
          <w:b/>
          <w:bCs/>
          <w:color w:val="404040"/>
          <w:sz w:val="21"/>
          <w:szCs w:val="21"/>
        </w:rPr>
        <w:t xml:space="preserve">전역 규칙 (라이브러리)</w:t>
      </w:r>
    </w:p>
    <w:p>
      <w:pPr>
        <w:pBdr>
          <w:top w:val="single" w:color="DDE3EC" w:sz="4" w:space="2"/>
          <w:left w:val="single" w:color="1F3864" w:sz="18" w:space="6"/>
        </w:pBdr>
        <w:shd w:fill="F5F7FA" w:color="auto" w:val="clear"/>
        <w:spacing w:after="0" w:line="240"/>
      </w:pPr>
      <w:r>
        <w:rPr>
          <w:rFonts w:ascii="Consolas" w:cs="Consolas" w:eastAsia="Consolas" w:hAnsi="Consolas"/>
          <w:color w:val="24324A"/>
          <w:sz w:val="17"/>
          <w:szCs w:val="17"/>
        </w:rPr>
        <w:t xml:space="preserve">rule:</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ruleKey: sender-naming</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isGlobal: true</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type: naming-convention</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severity: fail</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target: { element: participant, role: sender }</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params:</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prefix: ["OP_", "B2B_", "CP_"]</w:t>
      </w:r>
    </w:p>
    <w:p>
      <w:pPr>
        <w:pBdr>
          <w:bottom w:val="single" w:color="DDE3EC" w:sz="4" w:space="2"/>
          <w:left w:val="single" w:color="1F3864" w:sz="18" w:space="6"/>
        </w:pBdr>
        <w:shd w:fill="F5F7FA" w:color="auto" w:val="clear"/>
        <w:spacing w:after="0" w:line="240"/>
      </w:pPr>
      <w:r>
        <w:rPr>
          <w:rFonts w:ascii="Consolas" w:cs="Consolas" w:eastAsia="Consolas" w:hAnsi="Consolas"/>
          <w:color w:val="24324A"/>
          <w:sz w:val="17"/>
          <w:szCs w:val="17"/>
        </w:rPr>
        <w:t xml:space="preserve">  message: "송신 시스템 이름은 OP_/B2B_/CP_ 접두사를 사용해야 합니다."</w:t>
      </w:r>
    </w:p>
    <w:p>
      <w:pPr>
        <w:pStyle w:val="Heading3"/>
        <w:spacing w:after="80" w:before="160"/>
      </w:pPr>
      <w:r>
        <w:rPr>
          <w:rFonts w:ascii="맑은 고딕" w:cs="맑은 고딕" w:eastAsia="맑은 고딕" w:hAnsi="맑은 고딕"/>
          <w:b/>
          <w:bCs/>
          <w:color w:val="404040"/>
          <w:sz w:val="21"/>
          <w:szCs w:val="21"/>
        </w:rPr>
        <w:t xml:space="preserve">프로젝트 규칙 (사용자 정의 조건식)</w:t>
      </w:r>
    </w:p>
    <w:p>
      <w:pPr>
        <w:pBdr>
          <w:top w:val="single" w:color="DDE3EC" w:sz="4" w:space="2"/>
          <w:left w:val="single" w:color="1F3864" w:sz="18" w:space="6"/>
        </w:pBdr>
        <w:shd w:fill="F5F7FA" w:color="auto" w:val="clear"/>
        <w:spacing w:after="0" w:line="240"/>
      </w:pPr>
      <w:r>
        <w:rPr>
          <w:rFonts w:ascii="Consolas" w:cs="Consolas" w:eastAsia="Consolas" w:hAnsi="Consolas"/>
          <w:color w:val="24324A"/>
          <w:sz w:val="17"/>
          <w:szCs w:val="17"/>
        </w:rPr>
        <w:t xml:space="preserve">rule:</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ruleKey: mapping-step-limit</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isGlobal: false</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customProject: soil-is-migration</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type: custom-expression</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severity: warn</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params:</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schemaVersion: 1</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expression: steps.filter(s, s.type == "mapping").size() &lt;= 5</w:t>
      </w:r>
    </w:p>
    <w:p>
      <w:pPr>
        <w:pBdr>
          <w:bottom w:val="single" w:color="DDE3EC" w:sz="4" w:space="2"/>
          <w:left w:val="single" w:color="1F3864" w:sz="18" w:space="6"/>
        </w:pBdr>
        <w:shd w:fill="F5F7FA" w:color="auto" w:val="clear"/>
        <w:spacing w:after="0" w:line="240"/>
      </w:pPr>
      <w:r>
        <w:rPr>
          <w:rFonts w:ascii="Consolas" w:cs="Consolas" w:eastAsia="Consolas" w:hAnsi="Consolas"/>
          <w:color w:val="24324A"/>
          <w:sz w:val="17"/>
          <w:szCs w:val="17"/>
        </w:rPr>
        <w:t xml:space="preserve">  message: "매핑 스텝이 5개를 초과했습니다."</w:t>
      </w:r>
    </w:p>
    <w:p>
      <w:pPr>
        <w:pStyle w:val="Heading3"/>
        <w:spacing w:after="80" w:before="160"/>
      </w:pPr>
      <w:r>
        <w:rPr>
          <w:rFonts w:ascii="맑은 고딕" w:cs="맑은 고딕" w:eastAsia="맑은 고딕" w:hAnsi="맑은 고딕"/>
          <w:b/>
          <w:bCs/>
          <w:color w:val="404040"/>
          <w:sz w:val="21"/>
          <w:szCs w:val="21"/>
        </w:rPr>
        <w:t xml:space="preserve">프로젝트의 규칙 적용 선택 (ProjectRule)</w:t>
      </w:r>
    </w:p>
    <w:p>
      <w:pPr>
        <w:pBdr>
          <w:top w:val="single" w:color="DDE3EC" w:sz="4" w:space="2"/>
          <w:left w:val="single" w:color="1F3864" w:sz="18" w:space="6"/>
        </w:pBdr>
        <w:shd w:fill="F5F7FA" w:color="auto" w:val="clear"/>
        <w:spacing w:after="0" w:line="240"/>
      </w:pPr>
      <w:r>
        <w:rPr>
          <w:rFonts w:ascii="Consolas" w:cs="Consolas" w:eastAsia="Consolas" w:hAnsi="Consolas"/>
          <w:color w:val="24324A"/>
          <w:sz w:val="17"/>
          <w:szCs w:val="17"/>
        </w:rPr>
        <w:t xml:space="preserve">project: soil-is-migration</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appliedRules:</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 { rule: sender-naming,           isEnabled: true }   # 전역 규칙 사용</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 { rule: mapping-step-limit,      isEnabled: true }   # 프로젝트 규칙 사용</w:t>
      </w:r>
    </w:p>
    <w:p>
      <w:pPr>
        <w:pBdr>
          <w:bottom w:val="single" w:color="DDE3EC" w:sz="4" w:space="2"/>
          <w:left w:val="single" w:color="1F3864" w:sz="18" w:space="6"/>
        </w:pBdr>
        <w:shd w:fill="F5F7FA" w:color="auto" w:val="clear"/>
        <w:spacing w:after="0" w:line="240"/>
      </w:pPr>
      <w:r>
        <w:rPr>
          <w:rFonts w:ascii="Consolas" w:cs="Consolas" w:eastAsia="Consolas" w:hAnsi="Consolas"/>
          <w:color w:val="24324A"/>
          <w:sz w:val="17"/>
          <w:szCs w:val="17"/>
        </w:rPr>
        <w:t xml:space="preserve">  - { rule: allowed-script-language, isEnabled: false }  # 이 프로젝트에선 미적용</w:t>
      </w:r>
    </w:p>
    <w:p>
      <w:r>
        <w:br w:type="page"/>
      </w:r>
    </w:p>
    <w:p>
      <w:pPr>
        <w:pStyle w:val="Heading2"/>
        <w:spacing w:after="100" w:before="220"/>
      </w:pPr>
      <w:r>
        <w:rPr>
          <w:rFonts w:ascii="맑은 고딕" w:cs="맑은 고딕" w:eastAsia="맑은 고딕" w:hAnsi="맑은 고딕"/>
          <w:b/>
          <w:bCs/>
          <w:color w:val="2E4B7A"/>
          <w:sz w:val="24"/>
          <w:szCs w:val="24"/>
        </w:rPr>
        <w:t xml:space="preserve">5.6 사용자 정의 판단 로직 (Custom Expression)</w:t>
      </w:r>
    </w:p>
    <w:p>
      <w:pPr>
        <w:pStyle w:val="Heading3"/>
        <w:spacing w:after="80" w:before="160"/>
      </w:pPr>
      <w:r>
        <w:rPr>
          <w:rFonts w:ascii="맑은 고딕" w:cs="맑은 고딕" w:eastAsia="맑은 고딕" w:hAnsi="맑은 고딕"/>
          <w:b/>
          <w:bCs/>
          <w:color w:val="404040"/>
          <w:sz w:val="21"/>
          <w:szCs w:val="21"/>
        </w:rPr>
        <w:t xml:space="preserve">5.6.1 배경</w:t>
      </w:r>
    </w:p>
    <w:p>
      <w:pPr>
        <w:spacing w:after="120" w:before="0" w:line="276"/>
      </w:pPr>
      <w:r>
        <w:rPr>
          <w:rFonts w:ascii="맑은 고딕" w:cs="맑은 고딕" w:eastAsia="맑은 고딕" w:hAnsi="맑은 고딕"/>
          <w:b w:val="false"/>
          <w:bCs w:val="false"/>
          <w:i w:val="false"/>
          <w:iCs w:val="false"/>
          <w:color w:val="1A1A1A"/>
          <w:sz w:val="20"/>
          <w:szCs w:val="20"/>
        </w:rPr>
        <w:t xml:space="preserve">미리 정의된 규칙 타입은 UI 매핑과 안전성 면에서 유리하지만, 카탈로그에 없는 «새로운 판단 로직»은 표현할 수 없다. 예를 들어 «매핑 스텝이 5개를 넘으면 안 된다»처럼 기존 어떤 타입에도 해당하지 않는 조건은 사용자가 직접 선언할 수 있어야 한다. custom-expression 타입은 이 확장 지점을 제공한다.</w:t>
      </w:r>
    </w:p>
    <w:p>
      <w:pPr>
        <w:pStyle w:val="Heading3"/>
        <w:spacing w:after="80" w:before="160"/>
      </w:pPr>
      <w:r>
        <w:rPr>
          <w:rFonts w:ascii="맑은 고딕" w:cs="맑은 고딕" w:eastAsia="맑은 고딕" w:hAnsi="맑은 고딕"/>
          <w:b/>
          <w:bCs/>
          <w:color w:val="404040"/>
          <w:sz w:val="21"/>
          <w:szCs w:val="21"/>
        </w:rPr>
        <w:t xml:space="preserve">5.6.2 접근 방식 — 코드 실행이 아닌 «읽기 전용 질의»</w:t>
      </w:r>
    </w:p>
    <w:p>
      <w:pPr>
        <w:spacing w:after="120" w:before="0" w:line="276"/>
      </w:pPr>
      <w:r>
        <w:rPr>
          <w:rFonts w:ascii="맑은 고딕" w:cs="맑은 고딕" w:eastAsia="맑은 고딕" w:hAnsi="맑은 고딕"/>
          <w:b w:val="false"/>
          <w:bCs w:val="false"/>
          <w:i w:val="false"/>
          <w:iCs w:val="false"/>
          <w:color w:val="1A1A1A"/>
          <w:sz w:val="20"/>
          <w:szCs w:val="20"/>
        </w:rPr>
        <w:t xml:space="preserve">범용 스크립트(Groovy/JS 등)를 그대로 실행하면 사용자가 서버에서 임의 코드를 돌리는 셈이 되어, 리소스 남용이나 타 프로젝트 데이터 접근 등의 위험이 생긴다. 따라서 «코드 실행»이 아니라 «파싱 모델에 대한 부작용 없는 읽기 전용 질의»만 허용한다. 이는 정책 검사 도구(OPA 등)가 범용 언어 대신 조회 특화 선언형 언어를 쓰는 방식과 같다. custom-expression은 기존 «타입 + 파라미터» 구조를 그대로 유지하며, 그 파라미터가 조건식이 될 뿐이다. 따라서 규칙 빌더·YAML 저장·프로젝트 선택 구조가 모두 재사용된다.</w:t>
      </w:r>
    </w:p>
    <w:p>
      <w:pPr>
        <w:pStyle w:val="Heading3"/>
        <w:spacing w:after="80" w:before="160"/>
      </w:pPr>
      <w:r>
        <w:rPr>
          <w:rFonts w:ascii="맑은 고딕" w:cs="맑은 고딕" w:eastAsia="맑은 고딕" w:hAnsi="맑은 고딕"/>
          <w:b/>
          <w:bCs/>
          <w:color w:val="404040"/>
          <w:sz w:val="21"/>
          <w:szCs w:val="21"/>
        </w:rPr>
        <w:t xml:space="preserve">5.6.3 두 단계 입력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926"/>
        <w:gridCol w:w="19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단계</w:t>
            </w:r>
          </w:p>
        </w:tc>
        <w:tc>
          <w:tcPr>
            <w:tcW w:type="dxa" w:w="49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방식</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대상</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① 비주얼 조건 빌더</w:t>
            </w:r>
          </w:p>
        </w:tc>
        <w:tc>
          <w:tcPr>
            <w:tcW w:type="dxa" w:w="4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«경로 선택 → 연산자 → 값»을 드롭다운으로 조합, AND/OR로 묶음. 코드·표현식 불필요.</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새 요구의 대부분</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② 제한된 표현식(CEL류)</w:t>
            </w:r>
          </w:p>
        </w:tc>
        <w:tc>
          <w:tcPr>
            <w:tcW w:type="dxa" w:w="4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부작용 없는 조회 전용 문법으로 한 줄 조건식 작성. 반복문·네트워크·파일 접근이 문법에 없음.</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①로 표현 안 되는 예외적 경우</w:t>
            </w:r>
          </w:p>
        </w:tc>
      </w:tr>
    </w:tbl>
    <w:p>
      <w:pPr>
        <w:spacing w:after="120" w:before="0" w:line="276"/>
      </w:pPr>
      <w:r>
        <w:rPr>
          <w:rFonts w:ascii="맑은 고딕" w:cs="맑은 고딕" w:eastAsia="맑은 고딕" w:hAnsi="맑은 고딕"/>
          <w:b w:val="false"/>
          <w:bCs w:val="false"/>
          <w:i w:val="false"/>
          <w:iCs w:val="false"/>
          <w:color w:val="1A1A1A"/>
          <w:sz w:val="20"/>
          <w:szCs w:val="20"/>
        </w:rPr>
        <w:t xml:space="preserve">예: «매핑 스텝이 5개를 넘으면 안 된다»는 비주얼 빌더에서 «대상 steps[type=mapping] · 집계 count · 조건 ≤ 5»로 표현되며, 동일 조건을 표현식으로 쓰면 다음과 같다.</w:t>
      </w:r>
    </w:p>
    <w:p>
      <w:pPr>
        <w:pBdr>
          <w:top w:val="single" w:color="DDE3EC" w:sz="4" w:space="2"/>
          <w:bottom w:val="single" w:color="DDE3EC" w:sz="4" w:space="2"/>
          <w:left w:val="single" w:color="1F3864" w:sz="18" w:space="6"/>
        </w:pBdr>
        <w:shd w:fill="F5F7FA" w:color="auto" w:val="clear"/>
        <w:spacing w:after="0" w:line="240"/>
      </w:pPr>
      <w:r>
        <w:rPr>
          <w:rFonts w:ascii="Consolas" w:cs="Consolas" w:eastAsia="Consolas" w:hAnsi="Consolas"/>
          <w:color w:val="24324A"/>
          <w:sz w:val="17"/>
          <w:szCs w:val="17"/>
        </w:rPr>
        <w:t xml:space="preserve">steps.filter(s, s.type == "mapping").size() &lt;= 5</w:t>
      </w:r>
    </w:p>
    <w:p>
      <w:pPr>
        <w:pStyle w:val="Heading3"/>
        <w:spacing w:after="80" w:before="160"/>
      </w:pPr>
      <w:r>
        <w:rPr>
          <w:rFonts w:ascii="맑은 고딕" w:cs="맑은 고딕" w:eastAsia="맑은 고딕" w:hAnsi="맑은 고딕"/>
          <w:b/>
          <w:bCs/>
          <w:color w:val="404040"/>
          <w:sz w:val="21"/>
          <w:szCs w:val="21"/>
        </w:rPr>
        <w:t xml:space="preserve">5.6.4 백엔드 평가 원리</w:t>
      </w:r>
    </w:p>
    <w:p>
      <w:pPr>
        <w:spacing w:after="120" w:before="0" w:line="276"/>
      </w:pPr>
      <w:r>
        <w:rPr>
          <w:rFonts w:ascii="맑은 고딕" w:cs="맑은 고딕" w:eastAsia="맑은 고딕" w:hAnsi="맑은 고딕"/>
          <w:b w:val="false"/>
          <w:bCs w:val="false"/>
          <w:i w:val="false"/>
          <w:iCs w:val="false"/>
          <w:color w:val="1A1A1A"/>
          <w:sz w:val="20"/>
          <w:szCs w:val="20"/>
        </w:rPr>
        <w:t xml:space="preserve">조건식은 .iflw 원본이 아니라 Parser가 만든 파싱 모델(항상 같은 스키마)을 대상으로 평가된다. 실행 흐름은 다음과 같다.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Connector가 아티팩트를 받아오고, Parser가 파싱 모델을 만든다. (기존 컴포넌트 재사용)</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파싱 모델을 표현식 엔진이 읽을 수 있는 «평가 컨텍스트»로 구성한다. (사실상 파싱 모델의 직렬화)</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Rule Engine이 CEL 런타임에 조건식과 컨텍스트를 넘겨 평가한다. 조건식은 참/거짓이 아니라 «위반 요소의 목록»을 반환하도록 규정한다.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파싱 모델의 각 노드에는 위치 메타데이터(요소 id·사람이 읽는 위치)가 이미 박혀 있어, 반환된 요소마다 이를 그대로 Finding에 옮긴다.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개수형 조건처럼 요소 목록이 아닌 불리언이 나오는 경우는 «흐름 전체» 스코프의 단일 Finding으로 처리한다.</w:t>
      </w:r>
    </w:p>
    <w:p>
      <w:pPr>
        <w:spacing w:after="120" w:before="0" w:line="276"/>
      </w:pPr>
      <w:r>
        <w:rPr>
          <w:rFonts w:ascii="맑은 고딕" w:cs="맑은 고딕" w:eastAsia="맑은 고딕" w:hAnsi="맑은 고딕"/>
          <w:b w:val="false"/>
          <w:bCs w:val="false"/>
          <w:i w:val="false"/>
          <w:iCs w:val="false"/>
          <w:color w:val="1A1A1A"/>
          <w:sz w:val="20"/>
          <w:szCs w:val="20"/>
        </w:rPr>
        <w:t xml:space="preserve">즉 백엔드가 iFlow의 내용을 «알아서» 해석하는 것이 아니라, Parser가 모든 iFlow를 동일한 스키마로 통일해 두고, 사용자의 조건식은 그 고정 스키마 위에서만 질의하므로 임의의 iFlow에도 재사용된다.</w:t>
      </w:r>
    </w:p>
    <w:p>
      <w:pPr>
        <w:pStyle w:val="Heading3"/>
        <w:spacing w:after="80" w:before="160"/>
      </w:pPr>
      <w:r>
        <w:rPr>
          <w:rFonts w:ascii="맑은 고딕" w:cs="맑은 고딕" w:eastAsia="맑은 고딕" w:hAnsi="맑은 고딕"/>
          <w:b/>
          <w:bCs/>
          <w:color w:val="404040"/>
          <w:sz w:val="21"/>
          <w:szCs w:val="21"/>
        </w:rPr>
        <w:t xml:space="preserve">5.6.5 안전장치</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시험 실행 : 저장 전에 샘플 iFlow에 대해 미리 실행해 무엇을 잡아내는지 보여준다. 조건을 잘못 짜 «아무것도 안 걸리는»(검사가 조용히 무력화되는) 실패를 방지한다.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평가 시간·복잡도 제한 : 어떤 조건식이라도 검사 1회가 정해진 시간 안에 끝나도록 상한을 둔다.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스키마 탐색기 : 어떤 경로(steps, participants, channels.adapter 등)가 존재하는지 UI에서 탐색·자동완성해, 사용자가 정확한 경로로 조건을 작성하게 한다.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schemaVersion : 규칙에 파싱 모델 스키마 버전을 함께 저장하고, Parser 스키마가 바뀌면 구버전 조건식을 감지해 경고한다. 필드명 변경으로 조건식이 조용히 깨지는 것을 막는다.</w:t>
      </w:r>
    </w:p>
    <w:p>
      <w:pPr>
        <w:pStyle w:val="Heading1"/>
        <w:spacing w:after="140" w:before="320"/>
      </w:pPr>
      <w:r>
        <w:rPr>
          <w:rFonts w:ascii="맑은 고딕" w:cs="맑은 고딕" w:eastAsia="맑은 고딕" w:hAnsi="맑은 고딕"/>
          <w:b/>
          <w:bCs/>
          <w:color w:val="1F3864"/>
          <w:sz w:val="30"/>
          <w:szCs w:val="30"/>
        </w:rPr>
        <w:t xml:space="preserve">6. 처리 흐름</w:t>
      </w:r>
    </w:p>
    <w:p>
      <w:pPr>
        <w:pStyle w:val="Heading2"/>
        <w:spacing w:after="100" w:before="220"/>
      </w:pPr>
      <w:r>
        <w:rPr>
          <w:rFonts w:ascii="맑은 고딕" w:cs="맑은 고딕" w:eastAsia="맑은 고딕" w:hAnsi="맑은 고딕"/>
          <w:b/>
          <w:bCs/>
          <w:color w:val="2E4B7A"/>
          <w:sz w:val="24"/>
          <w:szCs w:val="24"/>
        </w:rPr>
        <w:t xml:space="preserve">6.1 전체 흐름</w:t>
      </w:r>
    </w:p>
    <w:p>
      <w:pPr>
        <w:spacing w:after="120" w:before="0" w:line="276"/>
      </w:pPr>
      <w:r>
        <w:rPr>
          <w:rFonts w:ascii="맑은 고딕" w:cs="맑은 고딕" w:eastAsia="맑은 고딕" w:hAnsi="맑은 고딕"/>
          <w:b w:val="false"/>
          <w:bCs w:val="false"/>
          <w:i w:val="false"/>
          <w:iCs w:val="false"/>
          <w:color w:val="1A1A1A"/>
          <w:sz w:val="20"/>
          <w:szCs w:val="20"/>
        </w:rPr>
        <w:t xml:space="preserve">사용자 관점의 전체 사용 흐름은 다음 6단계로 요약된다.</w:t>
      </w:r>
    </w:p>
    <w:p>
      <w:pPr>
        <w:spacing w:after="70" w:line="268"/>
      </w:pPr>
      <w:r>
        <w:rPr>
          <w:rFonts w:ascii="맑은 고딕" w:cs="맑은 고딕" w:eastAsia="맑은 고딕" w:hAnsi="맑은 고딕"/>
          <w:b w:val="false"/>
          <w:bCs w:val="false"/>
          <w:i w:val="false"/>
          <w:iCs w:val="false"/>
          <w:color w:val="1A1A1A"/>
          <w:sz w:val="20"/>
          <w:szCs w:val="20"/>
        </w:rPr>
        <w:t xml:space="preserve">① 테넌트 등록 — 검사 대상 IS 테넌트의 OData URL·OAuth2 자격증명을 등록하고 연결을 검증한다.</w:t>
      </w:r>
    </w:p>
    <w:p>
      <w:pPr>
        <w:spacing w:after="70" w:line="268"/>
      </w:pPr>
      <w:r>
        <w:rPr>
          <w:rFonts w:ascii="맑은 고딕" w:cs="맑은 고딕" w:eastAsia="맑은 고딕" w:hAnsi="맑은 고딕"/>
          <w:b w:val="false"/>
          <w:bCs w:val="false"/>
          <w:i w:val="false"/>
          <w:iCs w:val="false"/>
          <w:color w:val="1A1A1A"/>
          <w:sz w:val="20"/>
          <w:szCs w:val="20"/>
        </w:rPr>
        <w:t xml:space="preserve">② 규칙 정의 — UI 규칙 빌더로 전역·프로젝트 규칙을 정의한다. (필요 시 사용자 정의 조건식 포함, YAML 자동 생성)</w:t>
      </w:r>
    </w:p>
    <w:p>
      <w:pPr>
        <w:spacing w:after="70" w:line="268"/>
      </w:pPr>
      <w:r>
        <w:rPr>
          <w:rFonts w:ascii="맑은 고딕" w:cs="맑은 고딕" w:eastAsia="맑은 고딕" w:hAnsi="맑은 고딕"/>
          <w:b w:val="false"/>
          <w:bCs w:val="false"/>
          <w:i w:val="false"/>
          <w:iCs w:val="false"/>
          <w:color w:val="1A1A1A"/>
          <w:sz w:val="20"/>
          <w:szCs w:val="20"/>
        </w:rPr>
        <w:t xml:space="preserve">③ 프로젝트 구성 — 프로젝트를 정의하고, 적용할 전역·프로젝트 규칙을 선택한다(ProjectRule).</w:t>
      </w:r>
    </w:p>
    <w:p>
      <w:pPr>
        <w:spacing w:after="70" w:line="268"/>
      </w:pPr>
      <w:r>
        <w:rPr>
          <w:rFonts w:ascii="맑은 고딕" w:cs="맑은 고딕" w:eastAsia="맑은 고딕" w:hAnsi="맑은 고딕"/>
          <w:b w:val="false"/>
          <w:bCs w:val="false"/>
          <w:i w:val="false"/>
          <w:iCs w:val="false"/>
          <w:color w:val="1A1A1A"/>
          <w:sz w:val="20"/>
          <w:szCs w:val="20"/>
        </w:rPr>
        <w:t xml:space="preserve">④ 검사 실행 — 프로젝트/환경을 선택해 검사를 실행한다. (온디맨드)</w:t>
      </w:r>
    </w:p>
    <w:p>
      <w:pPr>
        <w:spacing w:after="70" w:line="268"/>
      </w:pPr>
      <w:r>
        <w:rPr>
          <w:rFonts w:ascii="맑은 고딕" w:cs="맑은 고딕" w:eastAsia="맑은 고딕" w:hAnsi="맑은 고딕"/>
          <w:b w:val="false"/>
          <w:bCs w:val="false"/>
          <w:i w:val="false"/>
          <w:iCs w:val="false"/>
          <w:color w:val="1A1A1A"/>
          <w:sz w:val="20"/>
          <w:szCs w:val="20"/>
        </w:rPr>
        <w:t xml:space="preserve">⑤ 결과 확인 — pass/warn/fail 요약과 위반 상세를 확인한다.</w:t>
      </w:r>
    </w:p>
    <w:p>
      <w:pPr>
        <w:spacing w:after="70" w:line="268"/>
      </w:pPr>
      <w:r>
        <w:rPr>
          <w:rFonts w:ascii="맑은 고딕" w:cs="맑은 고딕" w:eastAsia="맑은 고딕" w:hAnsi="맑은 고딕"/>
          <w:b w:val="false"/>
          <w:bCs w:val="false"/>
          <w:i w:val="false"/>
          <w:iCs w:val="false"/>
          <w:color w:val="1A1A1A"/>
          <w:sz w:val="20"/>
          <w:szCs w:val="20"/>
        </w:rPr>
        <w:t xml:space="preserve">⑥ 리포트 활용 — 검토 체크리스트/리포트를 내보내 리뷰·티켓에 활용한다.</w:t>
      </w:r>
    </w:p>
    <w:p>
      <w:pPr>
        <w:pStyle w:val="Heading2"/>
        <w:spacing w:after="100" w:before="220"/>
      </w:pPr>
      <w:r>
        <w:rPr>
          <w:rFonts w:ascii="맑은 고딕" w:cs="맑은 고딕" w:eastAsia="맑은 고딕" w:hAnsi="맑은 고딕"/>
          <w:b/>
          <w:bCs/>
          <w:color w:val="2E4B7A"/>
          <w:sz w:val="24"/>
          <w:szCs w:val="24"/>
        </w:rPr>
        <w:t xml:space="preserve">6.2 검사 실행 시퀀스 (내부)</w:t>
      </w:r>
    </w:p>
    <w:p>
      <w:pPr>
        <w:spacing w:after="60" w:line="264"/>
      </w:pPr>
      <w:r>
        <w:rPr>
          <w:rFonts w:ascii="맑은 고딕" w:cs="맑은 고딕" w:eastAsia="맑은 고딕" w:hAnsi="맑은 고딕"/>
          <w:b w:val="false"/>
          <w:bCs w:val="false"/>
          <w:i w:val="false"/>
          <w:iCs w:val="false"/>
          <w:color w:val="1A1A1A"/>
          <w:sz w:val="20"/>
          <w:szCs w:val="20"/>
        </w:rPr>
        <w:t xml:space="preserve">1. Connector가 대상 아티팩트 목록을 조회하고 각 아티팩트 ZIP을 다운로드한다.</w:t>
      </w:r>
    </w:p>
    <w:p>
      <w:pPr>
        <w:spacing w:after="60" w:line="264"/>
      </w:pPr>
      <w:r>
        <w:rPr>
          <w:rFonts w:ascii="맑은 고딕" w:cs="맑은 고딕" w:eastAsia="맑은 고딕" w:hAnsi="맑은 고딕"/>
          <w:b w:val="false"/>
          <w:bCs w:val="false"/>
          <w:i w:val="false"/>
          <w:iCs w:val="false"/>
          <w:color w:val="1A1A1A"/>
          <w:sz w:val="20"/>
          <w:szCs w:val="20"/>
        </w:rPr>
        <w:t xml:space="preserve">2. Parser가 ZIP을 해제해 .iflw와 리소스를 파싱하여 파싱 모델을 만든다.</w:t>
      </w:r>
    </w:p>
    <w:p>
      <w:pPr>
        <w:spacing w:after="60" w:line="264"/>
      </w:pPr>
      <w:r>
        <w:rPr>
          <w:rFonts w:ascii="맑은 고딕" w:cs="맑은 고딕" w:eastAsia="맑은 고딕" w:hAnsi="맑은 고딕"/>
          <w:b w:val="false"/>
          <w:bCs w:val="false"/>
          <w:i w:val="false"/>
          <w:iCs w:val="false"/>
          <w:color w:val="1A1A1A"/>
          <w:sz w:val="20"/>
          <w:szCs w:val="20"/>
        </w:rPr>
        <w:t xml:space="preserve">3. Rule Engine이 프로젝트에서 활성화된(ProjectRule) 전역·프로젝트 규칙을 로드한다.</w:t>
      </w:r>
    </w:p>
    <w:p>
      <w:pPr>
        <w:spacing w:after="60" w:line="264"/>
      </w:pPr>
      <w:r>
        <w:rPr>
          <w:rFonts w:ascii="맑은 고딕" w:cs="맑은 고딕" w:eastAsia="맑은 고딕" w:hAnsi="맑은 고딕"/>
          <w:b w:val="false"/>
          <w:bCs w:val="false"/>
          <w:i w:val="false"/>
          <w:iCs w:val="false"/>
          <w:color w:val="1A1A1A"/>
          <w:sz w:val="20"/>
          <w:szCs w:val="20"/>
        </w:rPr>
        <w:t xml:space="preserve">4. 파싱 모델을 평가 컨텍스트로 구성한다. (custom-expression 규칙은 이 컨텍스트 위에서 평가된다)</w:t>
      </w:r>
    </w:p>
    <w:p>
      <w:pPr>
        <w:spacing w:after="60" w:line="264"/>
      </w:pPr>
      <w:r>
        <w:rPr>
          <w:rFonts w:ascii="맑은 고딕" w:cs="맑은 고딕" w:eastAsia="맑은 고딕" w:hAnsi="맑은 고딕"/>
          <w:b w:val="false"/>
          <w:bCs w:val="false"/>
          <w:i w:val="false"/>
          <w:iCs w:val="false"/>
          <w:color w:val="1A1A1A"/>
          <w:sz w:val="20"/>
          <w:szCs w:val="20"/>
        </w:rPr>
        <w:t xml:space="preserve">5. 단일 규칙은 아티팩트별로, cross 규칙 및 조건식은 전체 모델을 대상으로 평가한다.</w:t>
      </w:r>
    </w:p>
    <w:p>
      <w:pPr>
        <w:spacing w:after="60" w:line="264"/>
      </w:pPr>
      <w:r>
        <w:rPr>
          <w:rFonts w:ascii="맑은 고딕" w:cs="맑은 고딕" w:eastAsia="맑은 고딕" w:hAnsi="맑은 고딕"/>
          <w:b w:val="false"/>
          <w:bCs w:val="false"/>
          <w:i w:val="false"/>
          <w:iCs w:val="false"/>
          <w:color w:val="1A1A1A"/>
          <w:sz w:val="20"/>
          <w:szCs w:val="20"/>
        </w:rPr>
        <w:t xml:space="preserve">6. 위반은 Finding으로 수집되어 검사 이력에 저장된다.</w:t>
      </w:r>
    </w:p>
    <w:p>
      <w:pPr>
        <w:spacing w:after="60" w:line="264"/>
      </w:pPr>
      <w:r>
        <w:rPr>
          <w:rFonts w:ascii="맑은 고딕" w:cs="맑은 고딕" w:eastAsia="맑은 고딕" w:hAnsi="맑은 고딕"/>
          <w:b w:val="false"/>
          <w:bCs w:val="false"/>
          <w:i w:val="false"/>
          <w:iCs w:val="false"/>
          <w:color w:val="1A1A1A"/>
          <w:sz w:val="20"/>
          <w:szCs w:val="20"/>
        </w:rPr>
        <w:t xml:space="preserve">7. Report가 Finding을 요약·상세 리포트로 가공한다.</w:t>
      </w:r>
    </w:p>
    <w:p>
      <w:pPr>
        <w:pStyle w:val="Heading1"/>
        <w:spacing w:after="140" w:before="320"/>
      </w:pPr>
      <w:r>
        <w:rPr>
          <w:rFonts w:ascii="맑은 고딕" w:cs="맑은 고딕" w:eastAsia="맑은 고딕" w:hAnsi="맑은 고딕"/>
          <w:b/>
          <w:bCs/>
          <w:color w:val="1F3864"/>
          <w:sz w:val="30"/>
          <w:szCs w:val="30"/>
        </w:rPr>
        <w:t xml:space="preserve">7. 데이터 모델</w:t>
      </w:r>
    </w:p>
    <w:p>
      <w:pPr>
        <w:pStyle w:val="Heading2"/>
        <w:spacing w:after="100" w:before="220"/>
      </w:pPr>
      <w:r>
        <w:rPr>
          <w:rFonts w:ascii="맑은 고딕" w:cs="맑은 고딕" w:eastAsia="맑은 고딕" w:hAnsi="맑은 고딕"/>
          <w:b/>
          <w:bCs/>
          <w:color w:val="2E4B7A"/>
          <w:sz w:val="24"/>
          <w:szCs w:val="24"/>
        </w:rPr>
        <w:t xml:space="preserve">7.1 주요 엔티티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726"/>
        <w:gridCol w:w="470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엔티티</w:t>
            </w:r>
          </w:p>
        </w:tc>
        <w:tc>
          <w:tcPr>
            <w:tcW w:type="dxa" w:w="27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설명</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주요 속성</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Tenant</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검사 대상 IS 테넌트</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id, project(FK), name, odataUrl, platformType, authType, clientId, clientSecret</w:t>
            </w:r>
          </w:p>
        </w:tc>
      </w:tr>
      <w:tr>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Project</w:t>
            </w:r>
          </w:p>
        </w:tc>
        <w:tc>
          <w:tcPr>
            <w:tcW w:type="dxa" w:w="2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검사 단위</w:t>
            </w:r>
          </w:p>
        </w:tc>
        <w:tc>
          <w:tcPr>
            <w:tcW w:type="dxa" w:w="4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id, name</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Artifact</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iFlow 등 아티팩트</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id, integrationPackage(FK), sapArtifactId, name, version, type</w:t>
            </w:r>
          </w:p>
        </w:tc>
      </w:tr>
      <w:tr>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Rule</w:t>
            </w:r>
          </w:p>
        </w:tc>
        <w:tc>
          <w:tcPr>
            <w:tcW w:type="dxa" w:w="2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규칙 라이브러리 (전역·프로젝트)</w:t>
            </w:r>
          </w:p>
        </w:tc>
        <w:tc>
          <w:tcPr>
            <w:tcW w:type="dxa" w:w="4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id, ruleKey, isGlobal, customProject, type, severity, target, params, message, enabled</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ProjectRule</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프로젝트별 규칙 매핑</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id, project, rule, isEnabled</w:t>
            </w:r>
          </w:p>
        </w:tc>
      </w:tr>
      <w:tr>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CheckRun</w:t>
            </w:r>
          </w:p>
        </w:tc>
        <w:tc>
          <w:tcPr>
            <w:tcW w:type="dxa" w:w="2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검사 실행 기록</w:t>
            </w:r>
          </w:p>
        </w:tc>
        <w:tc>
          <w:tcPr>
            <w:tcW w:type="dxa" w:w="4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id, project, startedAt, status, summary</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Finding</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개별 위반</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id, checkRun, artifact, rule, severity, location, message</w:t>
            </w:r>
          </w:p>
        </w:tc>
      </w:tr>
    </w:tbl>
    <w:p>
      <w:pPr>
        <w:spacing w:after="60" w:before="0" w:line="276"/>
      </w:pPr>
      <w:r>
        <w:rPr>
          <w:rFonts w:ascii="맑은 고딕" w:cs="맑은 고딕" w:eastAsia="맑은 고딕" w:hAnsi="맑은 고딕"/>
          <w:b w:val="false"/>
          <w:bCs w:val="false"/>
          <w:i w:val="false"/>
          <w:iCs w:val="false"/>
          <w:color w:val="1A1A1A"/>
          <w:sz w:val="20"/>
          <w:szCs w:val="20"/>
        </w:rPr>
        <w:t xml:space="preserve">Rule은 isGlobal로 전역/프로젝트를 구분하며, 프로젝트 규칙일 때는 customProject가 소속 프로젝트를 가리킨다. 프로젝트가 어떤 규칙을 사용할지는 ProjectRule(project, rule, isEnabled)로 관리한다. custom-expression 규칙의 조건식과 schemaVersion은 Rule.params 안에 저장된다.</w:t>
      </w:r>
    </w:p>
    <w:p>
      <w:pPr>
        <w:pStyle w:val="Heading2"/>
        <w:spacing w:after="100" w:before="220"/>
      </w:pPr>
      <w:r>
        <w:rPr>
          <w:rFonts w:ascii="맑은 고딕" w:cs="맑은 고딕" w:eastAsia="맑은 고딕" w:hAnsi="맑은 고딕"/>
          <w:b/>
          <w:bCs/>
          <w:color w:val="2E4B7A"/>
          <w:sz w:val="24"/>
          <w:szCs w:val="24"/>
        </w:rPr>
        <w:t xml:space="preserve">7.2 관계 요약</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Project : Tenant = 1 : N</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Tenant : Package = 1 : N</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Package : Artifact = 1 : N</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Project : ProjectRule = 1 : N</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Rule : ProjectRule = 1 : N</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Project : CheckRun = 1 : N</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CheckRun : Finding = 1 : N</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Artifact : Finding = 1 : N</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Rule : Finding = 1 : N</w:t>
      </w:r>
    </w:p>
    <w:p>
      <w:pPr>
        <w:pStyle w:val="Heading2"/>
        <w:spacing w:after="100" w:before="220"/>
      </w:pPr>
      <w:r>
        <w:rPr>
          <w:rFonts w:ascii="맑은 고딕" w:cs="맑은 고딕" w:eastAsia="맑은 고딕" w:hAnsi="맑은 고딕"/>
          <w:b/>
          <w:bCs/>
          <w:color w:val="2E4B7A"/>
          <w:sz w:val="24"/>
          <w:szCs w:val="24"/>
        </w:rPr>
        <w:t xml:space="preserve">7.3 Enum 모델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400"/>
        <w:gridCol w:w="31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엔티티</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클래스</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설명</w:t>
            </w:r>
          </w:p>
        </w:tc>
        <w:tc>
          <w:tcPr>
            <w:tcW w:type="dxa" w:w="31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값</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Tenant</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TenantPlatform</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테넌트 배포 플랫폼</w:t>
            </w:r>
          </w:p>
        </w:tc>
        <w:tc>
          <w:tcPr>
            <w:tcW w:type="dxa" w:w="3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40" w:line="250"/>
              <w:jc w:val="left"/>
            </w:pPr>
            <w:r>
              <w:rPr>
                <w:rFonts w:ascii="맑은 고딕" w:cs="맑은 고딕" w:eastAsia="맑은 고딕" w:hAnsi="맑은 고딕"/>
                <w:b w:val="false"/>
                <w:bCs w:val="false"/>
                <w:color w:val="1A1A1A"/>
                <w:sz w:val="18"/>
                <w:szCs w:val="18"/>
              </w:rPr>
              <w:t xml:space="preserve">NEO</w:t>
            </w:r>
          </w:p>
          <w:p>
            <w:pPr>
              <w:spacing w:after="0" w:line="250"/>
              <w:jc w:val="left"/>
            </w:pPr>
            <w:r>
              <w:rPr>
                <w:rFonts w:ascii="맑은 고딕" w:cs="맑은 고딕" w:eastAsia="맑은 고딕" w:hAnsi="맑은 고딕"/>
                <w:b w:val="false"/>
                <w:bCs w:val="false"/>
                <w:color w:val="1A1A1A"/>
                <w:sz w:val="18"/>
                <w:szCs w:val="18"/>
              </w:rPr>
              <w:t xml:space="preserve">CLOUD_FOUNDRY</w:t>
            </w:r>
          </w:p>
        </w:tc>
      </w:tr>
      <w:tr>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Tenant</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TenantAuthType</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API 연동 인증 방식</w:t>
            </w:r>
          </w:p>
        </w:tc>
        <w:tc>
          <w:tcPr>
            <w:tcW w:type="dxa" w:w="3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OAUTH2_CLIENT_CREDENTIALS</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Artifact</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ArtifactType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아티팩트 종류</w:t>
            </w:r>
          </w:p>
        </w:tc>
        <w:tc>
          <w:tcPr>
            <w:tcW w:type="dxa" w:w="3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40" w:line="250"/>
              <w:jc w:val="left"/>
            </w:pPr>
            <w:r>
              <w:rPr>
                <w:rFonts w:ascii="맑은 고딕" w:cs="맑은 고딕" w:eastAsia="맑은 고딕" w:hAnsi="맑은 고딕"/>
                <w:b w:val="false"/>
                <w:bCs w:val="false"/>
                <w:color w:val="1A1A1A"/>
                <w:sz w:val="18"/>
                <w:szCs w:val="18"/>
              </w:rPr>
              <w:t xml:space="preserve">IFLOW</w:t>
            </w:r>
          </w:p>
          <w:p>
            <w:pPr>
              <w:spacing w:after="40" w:line="250"/>
              <w:jc w:val="left"/>
            </w:pPr>
            <w:r>
              <w:rPr>
                <w:rFonts w:ascii="맑은 고딕" w:cs="맑은 고딕" w:eastAsia="맑은 고딕" w:hAnsi="맑은 고딕"/>
                <w:b w:val="false"/>
                <w:bCs w:val="false"/>
                <w:color w:val="1A1A1A"/>
                <w:sz w:val="18"/>
                <w:szCs w:val="18"/>
              </w:rPr>
              <w:t xml:space="preserve">MESSAGE_MAPPING</w:t>
            </w:r>
          </w:p>
          <w:p>
            <w:pPr>
              <w:spacing w:after="40" w:line="250"/>
              <w:jc w:val="left"/>
            </w:pPr>
            <w:r>
              <w:rPr>
                <w:rFonts w:ascii="맑은 고딕" w:cs="맑은 고딕" w:eastAsia="맑은 고딕" w:hAnsi="맑은 고딕"/>
                <w:b w:val="false"/>
                <w:bCs w:val="false"/>
                <w:color w:val="1A1A1A"/>
                <w:sz w:val="18"/>
                <w:szCs w:val="18"/>
              </w:rPr>
              <w:t xml:space="preserve">VALUE_MAPPING</w:t>
            </w:r>
          </w:p>
          <w:p>
            <w:pPr>
              <w:spacing w:after="40" w:line="250"/>
              <w:jc w:val="left"/>
            </w:pPr>
            <w:r>
              <w:rPr>
                <w:rFonts w:ascii="맑은 고딕" w:cs="맑은 고딕" w:eastAsia="맑은 고딕" w:hAnsi="맑은 고딕"/>
                <w:b w:val="false"/>
                <w:bCs w:val="false"/>
                <w:color w:val="1A1A1A"/>
                <w:sz w:val="18"/>
                <w:szCs w:val="18"/>
              </w:rPr>
              <w:t xml:space="preserve">SCRIPT_COLLECTION</w:t>
            </w:r>
          </w:p>
          <w:p>
            <w:pPr>
              <w:spacing w:after="0" w:line="250"/>
              <w:jc w:val="left"/>
            </w:pPr>
            <w:r>
              <w:rPr>
                <w:rFonts w:ascii="맑은 고딕" w:cs="맑은 고딕" w:eastAsia="맑은 고딕" w:hAnsi="맑은 고딕"/>
                <w:b w:val="false"/>
                <w:bCs w:val="false"/>
                <w:color w:val="1A1A1A"/>
                <w:sz w:val="18"/>
                <w:szCs w:val="18"/>
              </w:rPr>
              <w:t xml:space="preserve">FUNCTION_LIBRARY</w:t>
            </w:r>
          </w:p>
        </w:tc>
      </w:tr>
      <w:tr>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CheckRun</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CheckRunStatus</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검사 진행 상태</w:t>
            </w:r>
          </w:p>
        </w:tc>
        <w:tc>
          <w:tcPr>
            <w:tcW w:type="dxa" w:w="3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40" w:line="250"/>
              <w:jc w:val="left"/>
            </w:pPr>
            <w:r>
              <w:rPr>
                <w:rFonts w:ascii="맑은 고딕" w:cs="맑은 고딕" w:eastAsia="맑은 고딕" w:hAnsi="맑은 고딕"/>
                <w:b w:val="false"/>
                <w:bCs w:val="false"/>
                <w:color w:val="1A1A1A"/>
                <w:sz w:val="18"/>
                <w:szCs w:val="18"/>
              </w:rPr>
              <w:t xml:space="preserve">RUNNING (진행 중)</w:t>
            </w:r>
          </w:p>
          <w:p>
            <w:pPr>
              <w:spacing w:after="40" w:line="250"/>
              <w:jc w:val="left"/>
            </w:pPr>
            <w:r>
              <w:rPr>
                <w:rFonts w:ascii="맑은 고딕" w:cs="맑은 고딕" w:eastAsia="맑은 고딕" w:hAnsi="맑은 고딕"/>
                <w:b w:val="false"/>
                <w:bCs w:val="false"/>
                <w:color w:val="1A1A1A"/>
                <w:sz w:val="18"/>
                <w:szCs w:val="18"/>
              </w:rPr>
              <w:t xml:space="preserve">COMPLETED (완료됨)</w:t>
            </w:r>
          </w:p>
          <w:p>
            <w:pPr>
              <w:spacing w:after="0" w:line="250"/>
              <w:jc w:val="left"/>
            </w:pPr>
            <w:r>
              <w:rPr>
                <w:rFonts w:ascii="맑은 고딕" w:cs="맑은 고딕" w:eastAsia="맑은 고딕" w:hAnsi="맑은 고딕"/>
                <w:b w:val="false"/>
                <w:bCs w:val="false"/>
                <w:color w:val="1A1A1A"/>
                <w:sz w:val="18"/>
                <w:szCs w:val="18"/>
              </w:rPr>
              <w:t xml:space="preserve">FAILED (검사 중 에러 발생 등 실패)</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Rule</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Severity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위반 시 심각도</w:t>
            </w:r>
          </w:p>
        </w:tc>
        <w:tc>
          <w:tcPr>
            <w:tcW w:type="dxa" w:w="3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40" w:line="250"/>
              <w:jc w:val="left"/>
            </w:pPr>
            <w:r>
              <w:rPr>
                <w:rFonts w:ascii="맑은 고딕" w:cs="맑은 고딕" w:eastAsia="맑은 고딕" w:hAnsi="맑은 고딕"/>
                <w:b w:val="false"/>
                <w:bCs w:val="false"/>
                <w:color w:val="1A1A1A"/>
                <w:sz w:val="18"/>
                <w:szCs w:val="18"/>
              </w:rPr>
              <w:t xml:space="preserve">FAIL</w:t>
            </w:r>
          </w:p>
          <w:p>
            <w:pPr>
              <w:spacing w:after="40" w:line="250"/>
              <w:jc w:val="left"/>
            </w:pPr>
            <w:r>
              <w:rPr>
                <w:rFonts w:ascii="맑은 고딕" w:cs="맑은 고딕" w:eastAsia="맑은 고딕" w:hAnsi="맑은 고딕"/>
                <w:b w:val="false"/>
                <w:bCs w:val="false"/>
                <w:color w:val="1A1A1A"/>
                <w:sz w:val="18"/>
                <w:szCs w:val="18"/>
              </w:rPr>
              <w:t xml:space="preserve">WARN</w:t>
            </w:r>
          </w:p>
          <w:p>
            <w:pPr>
              <w:spacing w:after="0" w:line="250"/>
              <w:jc w:val="left"/>
            </w:pPr>
            <w:r>
              <w:rPr>
                <w:rFonts w:ascii="맑은 고딕" w:cs="맑은 고딕" w:eastAsia="맑은 고딕" w:hAnsi="맑은 고딕"/>
                <w:b w:val="false"/>
                <w:bCs w:val="false"/>
                <w:color w:val="1A1A1A"/>
                <w:sz w:val="18"/>
                <w:szCs w:val="18"/>
              </w:rPr>
              <w:t xml:space="preserve">INFO</w:t>
            </w:r>
          </w:p>
        </w:tc>
      </w:tr>
      <w:tr>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Rule</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RuleScope</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검사가 적용되는 범위</w:t>
            </w:r>
          </w:p>
        </w:tc>
        <w:tc>
          <w:tcPr>
            <w:tcW w:type="dxa" w:w="3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40" w:line="250"/>
              <w:jc w:val="left"/>
            </w:pPr>
            <w:r>
              <w:rPr>
                <w:rFonts w:ascii="맑은 고딕" w:cs="맑은 고딕" w:eastAsia="맑은 고딕" w:hAnsi="맑은 고딕"/>
                <w:b w:val="false"/>
                <w:bCs w:val="false"/>
                <w:color w:val="1A1A1A"/>
                <w:sz w:val="18"/>
                <w:szCs w:val="18"/>
              </w:rPr>
              <w:t xml:space="preserve">SINGLE (단일 아티팩트 내부 검사)</w:t>
            </w:r>
          </w:p>
          <w:p>
            <w:pPr>
              <w:spacing w:after="0" w:line="250"/>
              <w:jc w:val="left"/>
            </w:pPr>
            <w:r>
              <w:rPr>
                <w:rFonts w:ascii="맑은 고딕" w:cs="맑은 고딕" w:eastAsia="맑은 고딕" w:hAnsi="맑은 고딕"/>
                <w:b w:val="false"/>
                <w:bCs w:val="false"/>
                <w:color w:val="1A1A1A"/>
                <w:sz w:val="18"/>
                <w:szCs w:val="18"/>
              </w:rPr>
              <w:t xml:space="preserve">CROSS (여러 아티팩트 간 상호작용 검사, 예: ProcessDirect 연결성 확인)</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Rule</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RuleType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구체적인 검사 규칙 유형</w:t>
            </w:r>
          </w:p>
        </w:tc>
        <w:tc>
          <w:tcPr>
            <w:tcW w:type="dxa" w:w="3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40" w:line="250"/>
              <w:jc w:val="left"/>
            </w:pPr>
            <w:r>
              <w:rPr>
                <w:rFonts w:ascii="맑은 고딕" w:cs="맑은 고딕" w:eastAsia="맑은 고딕" w:hAnsi="맑은 고딕"/>
                <w:b w:val="false"/>
                <w:bCs w:val="false"/>
                <w:color w:val="1A1A1A"/>
                <w:sz w:val="18"/>
                <w:szCs w:val="18"/>
              </w:rPr>
              <w:t xml:space="preserve">NAMING_CONVENTION (명명 규칙 검사)</w:t>
            </w:r>
          </w:p>
          <w:p>
            <w:pPr>
              <w:spacing w:after="40" w:line="250"/>
              <w:jc w:val="left"/>
            </w:pPr>
            <w:r>
              <w:rPr>
                <w:rFonts w:ascii="맑은 고딕" w:cs="맑은 고딕" w:eastAsia="맑은 고딕" w:hAnsi="맑은 고딕"/>
                <w:b w:val="false"/>
                <w:bCs w:val="false"/>
                <w:color w:val="1A1A1A"/>
                <w:sz w:val="18"/>
                <w:szCs w:val="18"/>
              </w:rPr>
              <w:t xml:space="preserve">REQUIRED_ERROR_HANDLER (에러 핸들러 존재 여부)</w:t>
            </w:r>
          </w:p>
          <w:p>
            <w:pPr>
              <w:spacing w:after="40" w:line="250"/>
              <w:jc w:val="left"/>
            </w:pPr>
            <w:r>
              <w:rPr>
                <w:rFonts w:ascii="맑은 고딕" w:cs="맑은 고딕" w:eastAsia="맑은 고딕" w:hAnsi="맑은 고딕"/>
                <w:b w:val="false"/>
                <w:bCs w:val="false"/>
                <w:color w:val="1A1A1A"/>
                <w:sz w:val="18"/>
                <w:szCs w:val="18"/>
              </w:rPr>
              <w:t xml:space="preserve">EXTERNALIZED_ENDPOINT (엔드포인트 파라미터화 여부)</w:t>
            </w:r>
          </w:p>
          <w:p>
            <w:pPr>
              <w:spacing w:after="40" w:line="250"/>
              <w:jc w:val="left"/>
            </w:pPr>
            <w:r>
              <w:rPr>
                <w:rFonts w:ascii="맑은 고딕" w:cs="맑은 고딕" w:eastAsia="맑은 고딕" w:hAnsi="맑은 고딕"/>
                <w:b w:val="false"/>
                <w:bCs w:val="false"/>
                <w:color w:val="1A1A1A"/>
                <w:sz w:val="18"/>
                <w:szCs w:val="18"/>
              </w:rPr>
              <w:t xml:space="preserve">ALLOWED_ADAPTER_TYPES (허용된 어댑터만 사용했는지)</w:t>
            </w:r>
          </w:p>
          <w:p>
            <w:pPr>
              <w:spacing w:after="40" w:line="250"/>
              <w:jc w:val="left"/>
            </w:pPr>
            <w:r>
              <w:rPr>
                <w:rFonts w:ascii="맑은 고딕" w:cs="맑은 고딕" w:eastAsia="맑은 고딕" w:hAnsi="맑은 고딕"/>
                <w:b w:val="false"/>
                <w:bCs w:val="false"/>
                <w:color w:val="1A1A1A"/>
                <w:sz w:val="18"/>
                <w:szCs w:val="18"/>
              </w:rPr>
              <w:t xml:space="preserve">REQUIRED_LOGGING (로그 기록 로직 존재 여부)</w:t>
            </w:r>
          </w:p>
          <w:p>
            <w:pPr>
              <w:spacing w:after="40" w:line="250"/>
              <w:jc w:val="left"/>
            </w:pPr>
            <w:r>
              <w:rPr>
                <w:rFonts w:ascii="맑은 고딕" w:cs="맑은 고딕" w:eastAsia="맑은 고딕" w:hAnsi="맑은 고딕"/>
                <w:b w:val="false"/>
                <w:bCs w:val="false"/>
                <w:color w:val="1A1A1A"/>
                <w:sz w:val="18"/>
                <w:szCs w:val="18"/>
              </w:rPr>
              <w:t xml:space="preserve">ALLOWED_SCRIPT_LANGUAGE (허용된 스크립트 언어 사용 여부)</w:t>
            </w:r>
          </w:p>
          <w:p>
            <w:pPr>
              <w:spacing w:after="40" w:line="250"/>
              <w:jc w:val="left"/>
            </w:pPr>
            <w:r>
              <w:rPr>
                <w:rFonts w:ascii="맑은 고딕" w:cs="맑은 고딕" w:eastAsia="맑은 고딕" w:hAnsi="맑은 고딕"/>
                <w:b w:val="false"/>
                <w:bCs w:val="false"/>
                <w:color w:val="1A1A1A"/>
                <w:sz w:val="18"/>
                <w:szCs w:val="18"/>
              </w:rPr>
              <w:t xml:space="preserve">MAPPING_TYPE (매핑 타입)</w:t>
            </w:r>
          </w:p>
          <w:p>
            <w:pPr>
              <w:spacing w:after="40" w:line="250"/>
              <w:jc w:val="left"/>
            </w:pPr>
            <w:r>
              <w:rPr>
                <w:rFonts w:ascii="맑은 고딕" w:cs="맑은 고딕" w:eastAsia="맑은 고딕" w:hAnsi="맑은 고딕"/>
                <w:b w:val="false"/>
                <w:bCs w:val="false"/>
                <w:color w:val="1A1A1A"/>
                <w:sz w:val="18"/>
                <w:szCs w:val="18"/>
              </w:rPr>
              <w:t xml:space="preserve">REQUIRED_PARAMETER (필수 파라미터 누락 여부)</w:t>
            </w:r>
          </w:p>
          <w:p>
            <w:pPr>
              <w:spacing w:after="40" w:line="250"/>
              <w:jc w:val="left"/>
            </w:pPr>
            <w:r>
              <w:rPr>
                <w:rFonts w:ascii="맑은 고딕" w:cs="맑은 고딕" w:eastAsia="맑은 고딕" w:hAnsi="맑은 고딕"/>
                <w:b w:val="false"/>
                <w:bCs w:val="false"/>
                <w:color w:val="1A1A1A"/>
                <w:sz w:val="18"/>
                <w:szCs w:val="18"/>
              </w:rPr>
              <w:t xml:space="preserve">FORBIDDEN_CONFIGURATION (사용 금지된 설정 확인)</w:t>
            </w:r>
          </w:p>
          <w:p>
            <w:pPr>
              <w:spacing w:after="40" w:line="250"/>
              <w:jc w:val="left"/>
            </w:pPr>
            <w:r>
              <w:rPr>
                <w:rFonts w:ascii="맑은 고딕" w:cs="맑은 고딕" w:eastAsia="맑은 고딕" w:hAnsi="맑은 고딕"/>
                <w:b w:val="false"/>
                <w:bCs w:val="false"/>
                <w:color w:val="1A1A1A"/>
                <w:sz w:val="18"/>
                <w:szCs w:val="18"/>
              </w:rPr>
              <w:t xml:space="preserve">PROCESSDIRECT_PAIRING (ProcessDirect 송수신 쌍 매칭 확인)</w:t>
            </w:r>
          </w:p>
          <w:p>
            <w:pPr>
              <w:spacing w:after="0" w:line="250"/>
              <w:jc w:val="left"/>
            </w:pPr>
            <w:r>
              <w:rPr>
                <w:rFonts w:ascii="맑은 고딕" w:cs="맑은 고딕" w:eastAsia="맑은 고딕" w:hAnsi="맑은 고딕"/>
                <w:b w:val="false"/>
                <w:bCs w:val="false"/>
                <w:color w:val="1A1A1A"/>
                <w:sz w:val="18"/>
                <w:szCs w:val="18"/>
              </w:rPr>
              <w:t xml:space="preserve">CUSTOM_EXPRESSION (사용자 정의 조건식 검사, 5.6)</w:t>
            </w:r>
          </w:p>
        </w:tc>
      </w:tr>
    </w:tbl>
    <w:p>
      <w:pPr>
        <w:pStyle w:val="Heading1"/>
        <w:spacing w:after="140" w:before="320"/>
      </w:pPr>
      <w:r>
        <w:rPr>
          <w:rFonts w:ascii="맑은 고딕" w:cs="맑은 고딕" w:eastAsia="맑은 고딕" w:hAnsi="맑은 고딕"/>
          <w:b/>
          <w:bCs/>
          <w:color w:val="1F3864"/>
          <w:sz w:val="30"/>
          <w:szCs w:val="30"/>
        </w:rPr>
        <w:t xml:space="preserve">8. 외부 인터페이스 (SAP IS OData API)</w:t>
      </w:r>
    </w:p>
    <w:p>
      <w:pPr>
        <w:spacing w:after="120" w:before="0" w:line="276"/>
      </w:pPr>
      <w:r>
        <w:rPr>
          <w:rFonts w:ascii="맑은 고딕" w:cs="맑은 고딕" w:eastAsia="맑은 고딕" w:hAnsi="맑은 고딕"/>
          <w:b w:val="false"/>
          <w:bCs w:val="false"/>
          <w:i w:val="false"/>
          <w:iCs w:val="false"/>
          <w:color w:val="1A1A1A"/>
          <w:sz w:val="20"/>
          <w:szCs w:val="20"/>
        </w:rPr>
        <w:t xml:space="preserve">백엔드가 사용하는 주요 OData 리소스는 다음과 같다. 모두 HTTPS + OAuth2로 호출한다.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4226"/>
      </w:tblGrid>
      <w:tr>
        <w:trPr>
          <w:tblHeader/>
        </w:trPr>
        <w:tc>
          <w:tcPr>
            <w:tcW w:type="dxa" w:w="4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리소스 / 엔드포인트</w:t>
            </w:r>
          </w:p>
        </w:tc>
        <w:tc>
          <w:tcPr>
            <w:tcW w:type="dxa" w:w="42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용도</w:t>
            </w:r>
          </w:p>
        </w:tc>
      </w:tr>
      <w:t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OAuth2 Token Endpoint</w:t>
            </w:r>
          </w:p>
        </w:tc>
        <w:tc>
          <w:tcPr>
            <w:tcW w:type="dxa" w:w="4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Client Credentials로 액세스 토큰 발급</w:t>
            </w:r>
          </w:p>
        </w:tc>
      </w:tr>
      <w:tr>
        <w:tc>
          <w:tcPr>
            <w:tcW w:type="dxa" w:w="4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IntegrationPackages</w:t>
            </w:r>
          </w:p>
        </w:tc>
        <w:tc>
          <w:tcPr>
            <w:tcW w:type="dxa" w:w="4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패키지 목록 조회</w:t>
            </w:r>
          </w:p>
        </w:tc>
      </w:tr>
      <w:t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IntegrationDesigntimeArtifacts</w:t>
            </w:r>
          </w:p>
        </w:tc>
        <w:tc>
          <w:tcPr>
            <w:tcW w:type="dxa" w:w="4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패키지 내 iFlow 목록 조회</w:t>
            </w:r>
          </w:p>
        </w:tc>
      </w:tr>
      <w:tr>
        <w:tc>
          <w:tcPr>
            <w:tcW w:type="dxa" w:w="4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IntegrationDesigntimeArtifacts(.../$value)</w:t>
            </w:r>
          </w:p>
        </w:tc>
        <w:tc>
          <w:tcPr>
            <w:tcW w:type="dxa" w:w="4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iFlow 아티팩트 ZIP 다운로드</w:t>
            </w:r>
          </w:p>
        </w:tc>
      </w:tr>
    </w:tbl>
    <w:p>
      <w:pPr>
        <w:pStyle w:val="Heading1"/>
        <w:spacing w:after="140" w:before="320"/>
      </w:pPr>
      <w:r>
        <w:rPr>
          <w:rFonts w:ascii="맑은 고딕" w:cs="맑은 고딕" w:eastAsia="맑은 고딕" w:hAnsi="맑은 고딕"/>
          <w:b/>
          <w:bCs/>
          <w:color w:val="1F3864"/>
          <w:sz w:val="30"/>
          <w:szCs w:val="30"/>
        </w:rPr>
        <w:t xml:space="preserve">9. 보안 설계</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자격증명 암호화 : 테넌트 OAuth2 자격증명은 암호화하여 저장하고, 화면·로그에 노출하지 않는다.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전 구간 TLS : 클라이언트↔백엔드, 백엔드↔IS 통신 모두 HTTPS.</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인증·인가 : 사용자 로그인 및 역할 기반 권한(RBAC)으로 규칙 변경·검사 실행을 통제.</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조건식 격리 : 사용자 정의 조건식은 읽기 전용·부작용 없는 평가로 제한하고, 시간·복잡도 상한을 둔다.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감사 로그 : 규칙 변경, 검사 실행 등 주요 행위를 기록.</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민감정보 최소화 : 검사는 설계 정보(구조)만 사용하며 메시지 payload는 다루지 않는다.</w:t>
      </w:r>
    </w:p>
    <w:p>
      <w:pPr>
        <w:pStyle w:val="Heading1"/>
        <w:spacing w:after="140" w:before="320"/>
      </w:pPr>
      <w:r>
        <w:rPr>
          <w:rFonts w:ascii="맑은 고딕" w:cs="맑은 고딕" w:eastAsia="맑은 고딕" w:hAnsi="맑은 고딕"/>
          <w:b/>
          <w:bCs/>
          <w:color w:val="1F3864"/>
          <w:sz w:val="30"/>
          <w:szCs w:val="30"/>
        </w:rPr>
        <w:t xml:space="preserve">10. 배포 아키텍처</w:t>
      </w:r>
    </w:p>
    <w:p>
      <w:pPr>
        <w:spacing w:after="120" w:before="0" w:line="276"/>
      </w:pPr>
      <w:r>
        <w:rPr>
          <w:rFonts w:ascii="맑은 고딕" w:cs="맑은 고딕" w:eastAsia="맑은 고딕" w:hAnsi="맑은 고딕"/>
          <w:b w:val="false"/>
          <w:bCs w:val="false"/>
          <w:i w:val="false"/>
          <w:iCs w:val="false"/>
          <w:color w:val="1A1A1A"/>
          <w:sz w:val="20"/>
          <w:szCs w:val="20"/>
        </w:rPr>
        <w:t xml:space="preserve">백엔드(Spring Boot)와 프론트엔드(Vue)를 사내 서버에 배포한다. ICC 등 별도 네트워크 계층이 없으므로 구성은 단순하다. 백엔드는 인터넷 구간의 IS 테넌트로 아웃바운드 HTTPS만 필요하며, DB는 사내에 둔다. 컨테이너(Docker) 단위 배포를 기본으로 하되, 초기에는 단일 서버 배포로 충분하다.</w:t>
      </w:r>
    </w:p>
    <w:p>
      <w:pPr>
        <w:pStyle w:val="Heading1"/>
        <w:spacing w:after="140" w:before="320"/>
      </w:pPr>
      <w:r>
        <w:rPr>
          <w:rFonts w:ascii="맑은 고딕" w:cs="맑은 고딕" w:eastAsia="맑은 고딕" w:hAnsi="맑은 고딕"/>
          <w:b/>
          <w:bCs/>
          <w:color w:val="1F3864"/>
          <w:sz w:val="30"/>
          <w:szCs w:val="30"/>
        </w:rPr>
        <w:t xml:space="preserve">11. 향후 확장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526"/>
        <w:gridCol w:w="3400"/>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확장 항목</w:t>
            </w:r>
          </w:p>
        </w:tc>
        <w:tc>
          <w:tcPr>
            <w:tcW w:type="dxa" w:w="35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내용</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가치</w:t>
            </w:r>
          </w:p>
        </w:tc>
      </w:tr>
      <w:t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규칙 타입 카탈로그 확장</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신규 프리미티브·특화 규칙 타입을 지속 추가.</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셀프서비스로 해결 가능한 범위 확대</w:t>
            </w:r>
          </w:p>
        </w:tc>
      </w:tr>
      <w:tr>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비주얼 조건 빌더 고도화</w:t>
            </w:r>
          </w:p>
        </w:tc>
        <w:tc>
          <w:tcPr>
            <w:tcW w:type="dxa" w:w="3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사용자 정의 조건식(5.6)을 코드 없이 조합하는 빌더의 표현력·자동완성 강화.</w:t>
            </w:r>
          </w:p>
        </w:tc>
        <w:tc>
          <w:tcPr>
            <w:tcW w:type="dxa" w:w="3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비개발자 규칙 저작 지원</w:t>
            </w:r>
          </w:p>
        </w:tc>
      </w:tr>
      <w:t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CI 게이트</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이관/커밋 시점에 검사를 자동 실행하고 위반 시 검토를 권고.</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표준 위반의 사전 발견 (마찰 최소)</w:t>
            </w:r>
          </w:p>
        </w:tc>
      </w:tr>
      <w:tr>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Chrome 확장</w:t>
            </w:r>
          </w:p>
        </w:tc>
        <w:tc>
          <w:tcPr>
            <w:tcW w:type="dxa" w:w="3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IS 화면에서 «이 iFlow 검사» 버튼으로 백엔드 검사를 즉시 호출하는 얇은 트리거.</w:t>
            </w:r>
          </w:p>
        </w:tc>
        <w:tc>
          <w:tcPr>
            <w:tcW w:type="dxa" w:w="3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화면 전환 없는 지름길 (검증 후 도입)</w:t>
            </w:r>
          </w:p>
        </w:tc>
      </w:tr>
      <w:t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장애 디버깅 모듈</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실패 메시지·로그를 아티팩트 구조와 대조해 원인 가설 제시.</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운영 단계 확장</w:t>
            </w:r>
          </w:p>
        </w:tc>
      </w:tr>
    </w:tbl>
    <w:p>
      <w:pPr>
        <w:spacing w:after="120"/>
      </w:pPr>
    </w:p>
    <w:p>
      <w:pPr>
        <w:pBdr>
          <w:top w:val="single" w:color="BFBFBF" w:sz="4" w:space="6"/>
        </w:pBdr>
        <w:spacing w:before="200"/>
        <w:jc w:val="center"/>
      </w:pPr>
      <w:r>
        <w:rPr>
          <w:rFonts w:ascii="맑은 고딕" w:cs="맑은 고딕" w:eastAsia="맑은 고딕" w:hAnsi="맑은 고딕"/>
          <w:color w:val="808080"/>
          <w:sz w:val="18"/>
          <w:szCs w:val="18"/>
        </w:rPr>
        <w:t xml:space="preserve">— 문서 끝 —</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iFlow Sentinel 설계서 v1.2</dc:title>
  <dc:creator>박세영</dc:creator>
  <cp:lastModifiedBy>Un-named</cp:lastModifiedBy>
  <cp:revision>1</cp:revision>
  <dcterms:created xsi:type="dcterms:W3CDTF">2026-07-14T01:14:07.075Z</dcterms:created>
  <dcterms:modified xsi:type="dcterms:W3CDTF">2026-07-14T01:14:07.095Z</dcterms:modified>
</cp:coreProperties>
</file>

<file path=docProps/custom.xml><?xml version="1.0" encoding="utf-8"?>
<Properties xmlns="http://schemas.openxmlformats.org/officeDocument/2006/custom-properties" xmlns:vt="http://schemas.openxmlformats.org/officeDocument/2006/docPropsVTypes"/>
</file>