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Management — Case 2026-I</w:t>
      </w:r>
    </w:p>
    <w:p>
      <w:pPr>
        <w:jc w:val="center"/>
      </w:pPr>
      <w:r>
        <w:rPr>
          <w:i/>
          <w:sz w:val="26"/>
        </w:rPr>
        <w:t>Guia de uso del notebook</w:t>
      </w:r>
    </w:p>
    <w:p>
      <w:pPr>
        <w:jc w:val="center"/>
      </w:pPr>
      <w:r>
        <w:t>Sistema de gestion de riesgo para el middle office: volatilidad condicional (ARCH/GARCH/GJR/EGARCH), correlacion dinamica (DCC de Engle 2002), optimizacion de portafolio (Mean-Variance y Risk Parity), medidas de riesgo de cola (VaR, ES, EVT al 97.5%) y backtesting out-of-sample (Kupiec y Christoffersen).</w:t>
      </w:r>
    </w:p>
    <w:p/>
    <w:p>
      <w:pPr>
        <w:pStyle w:val="Heading1"/>
      </w:pPr>
      <w:r>
        <w:t>1. Que entrega el notebook</w:t>
      </w:r>
    </w:p>
    <w:p>
      <w:r>
        <w:t>El archivo Risk_Management_FINAL.ipynb resuelve las 5 preguntas del caso de forma secuencial. Esta organizado en una unica celda de configuracion (instalaciones, librerias, parametros y descarga de datos) seguida de seis celdas de codigo, una por pregunta. Cada celda de codigo lleva como unico comentario su titulo, indicando a que pregunta del caso pertenece; el resto es codigo ejecutable sin comentarios.</w:t>
      </w:r>
    </w:p>
    <w:p>
      <w:pPr>
        <w:pStyle w:val="ListBullet"/>
      </w:pPr>
      <w:r>
        <w:t>Setup: librerias, parametros del caso y descarga de datos desde Yahoo Finance.</w:t>
      </w:r>
    </w:p>
    <w:p>
      <w:pPr>
        <w:pStyle w:val="ListBullet"/>
      </w:pPr>
      <w:r>
        <w:t>Pregunta 1 (2 pts): EDA — descriptivos, normalidad (Jarque-Bera), autocorrelacion en r y r^2, efecto ARCH (LM de Engle), graficos.</w:t>
      </w:r>
    </w:p>
    <w:p>
      <w:pPr>
        <w:pStyle w:val="ListBullet"/>
      </w:pPr>
      <w:r>
        <w:t>Pregunta 2 (5 pts): volatilidad condicional — ARCH(q), GARCH(1,1)-N/t, GJR-t, EGARCH-t; seleccion por BIC; diagnostico de residuos; mas el DCC (Engle 2002) para la matriz de covarianza condicional Sigma_t.</w:t>
      </w:r>
    </w:p>
    <w:p>
      <w:pPr>
        <w:pStyle w:val="ListBullet"/>
      </w:pPr>
      <w:r>
        <w:t>Pregunta 3 (5 pts): optimizacion Mean-Variance y Risk Parity sobre Sigma_t, evolucion temporal de pesos y regla de rebalanceo.</w:t>
      </w:r>
    </w:p>
    <w:p>
      <w:pPr>
        <w:pStyle w:val="ListBullet"/>
      </w:pPr>
      <w:r>
        <w:t>Pregunta 4 (4 pts): VaR, ES y EVT al 97.5% parametrico (Normal y t), no parametrico (historico) y EVT (POT/GPD) para los 15 activos.</w:t>
      </w:r>
    </w:p>
    <w:p>
      <w:pPr>
        <w:pStyle w:val="ListBullet"/>
      </w:pPr>
      <w:r>
        <w:t>Pregunta 5 (4 pts): backtesting OOS (2024-2025), tests de Kupiec y Christoffersen, efecto del rebalanceo sobre las excepciones de ES, y shock minimo para una perdida del 20%.</w:t>
      </w:r>
    </w:p>
    <w:p>
      <w:pPr>
        <w:pStyle w:val="Heading1"/>
      </w:pPr>
      <w:r>
        <w:t>2. Requisitos y como ejecutarlo</w:t>
      </w:r>
    </w:p>
    <w:p>
      <w:pPr>
        <w:pStyle w:val="Heading2"/>
      </w:pPr>
      <w:r>
        <w:t>2.1 Entorno recomendado: Google Colab</w:t>
      </w:r>
    </w:p>
    <w:p>
      <w:r>
        <w:t>El notebook esta pensado para Google Colab, que ya trae la mayoria de dependencias y tiene acceso de red a Yahoo Finance. Para correrlo:</w:t>
      </w:r>
    </w:p>
    <w:p>
      <w:pPr>
        <w:pStyle w:val="ListBullet"/>
      </w:pPr>
      <w:r>
        <w:t>Subir Risk_Management_FINAL.ipynb a Colab (Archivo &gt; Subir cuaderno).</w:t>
      </w:r>
    </w:p>
    <w:p>
      <w:pPr>
        <w:pStyle w:val="ListBullet"/>
      </w:pPr>
      <w:r>
        <w:t>Ejecutar las celdas en orden, de arriba hacia abajo (Entorno de ejecucion &gt; Ejecutar todo).</w:t>
      </w:r>
    </w:p>
    <w:p>
      <w:pPr>
        <w:pStyle w:val="ListBullet"/>
      </w:pPr>
      <w:r>
        <w:t>La primera celda instala las dependencias que falten (yfinance, arch, cvxpy) y descarga los datos.</w:t>
      </w:r>
    </w:p>
    <w:p>
      <w:pPr>
        <w:pStyle w:val="Heading2"/>
      </w:pPr>
      <w:r>
        <w:t>2.2 Dependencias</w:t>
      </w:r>
    </w:p>
    <w:p>
      <w:r>
        <w:t>La celda de Setup incluye la instalacion. Si se ejecuta fuera de Colab, basta con:</w:t>
      </w:r>
    </w:p>
    <w:p>
      <w:r>
        <w:rPr>
          <w:rFonts w:ascii="Consolas" w:hAnsi="Consolas"/>
          <w:color w:val="333333"/>
          <w:sz w:val="19"/>
        </w:rPr>
        <w:t>pip install numpy pandas matplotlib scipy statsmodels arch cvxpy yfinance</w:t>
      </w:r>
    </w:p>
    <w:p>
      <w:pPr>
        <w:pStyle w:val="Heading2"/>
      </w:pPr>
      <w:r>
        <w:t>2.3 Orden de ejecucion</w:t>
      </w:r>
    </w:p>
    <w:p>
      <w:r>
        <w:t>Las celdas comparten estado por variables globales: la celda de Setup deja en memoria prices, returns, in_sample y oos; la Pregunta 2 deja el diccionario fitted (modelos GARCH ganadores); la Pregunta 2-DCC deja dcc_res y Sigma_dcc; la Pregunta 3 deja bt (pesos y retornos de portafolio). Por eso las celdas deben ejecutarse en orden y una sola vez; no es necesario reestimar nada entre preguntas (los modelos se estiman una vez y se reutilizan).</w:t>
      </w:r>
    </w:p>
    <w:p>
      <w:pPr>
        <w:pStyle w:val="Heading1"/>
      </w:pPr>
      <w:r>
        <w:t>3. Datos</w:t>
      </w:r>
    </w:p>
    <w:p>
      <w:r>
        <w:t>La fuente de datos es Yahoo Finance, accedida con la libreria yfinance. Se descargan precios diarios de cierre ajustado para los 15 activos aprobados por compliance, desde el 1 de enero de 2018 hasta el 31 de diciembre de 2025.</w:t>
      </w:r>
    </w:p>
    <w:p>
      <w:pPr>
        <w:pStyle w:val="ListBullet"/>
      </w:pPr>
      <w:r>
        <w:t>Ventana in-sample (estimacion): enero 2018 a diciembre 2023.</w:t>
      </w:r>
    </w:p>
    <w:p>
      <w:pPr>
        <w:pStyle w:val="ListBullet"/>
      </w:pPr>
      <w:r>
        <w:t>Ventana out-of-sample (backtesting): enero 2024 a diciembre 2025.</w:t>
      </w:r>
    </w:p>
    <w:p>
      <w:r>
        <w:t>Los 15 activos (ticker — descripcion):</w:t>
      </w:r>
    </w:p>
    <w:p>
      <w:pPr>
        <w:pStyle w:val="ListBullet"/>
      </w:pPr>
      <w:r>
        <w:t>SPY — S&amp;P 500 ETF</w:t>
      </w:r>
    </w:p>
    <w:p>
      <w:pPr>
        <w:pStyle w:val="ListBullet"/>
      </w:pPr>
      <w:r>
        <w:t>EEM — Emerging Markets ETF</w:t>
      </w:r>
    </w:p>
    <w:p>
      <w:pPr>
        <w:pStyle w:val="ListBullet"/>
      </w:pPr>
      <w:r>
        <w:t>EWJ — Japan ETF</w:t>
      </w:r>
    </w:p>
    <w:p>
      <w:pPr>
        <w:pStyle w:val="ListBullet"/>
      </w:pPr>
      <w:r>
        <w:t>TIP — TIPS — bonos protegidos contra inflacion</w:t>
      </w:r>
    </w:p>
    <w:p>
      <w:pPr>
        <w:pStyle w:val="ListBullet"/>
      </w:pPr>
      <w:r>
        <w:t>SHY — Treasuries corto plazo</w:t>
      </w:r>
    </w:p>
    <w:p>
      <w:pPr>
        <w:pStyle w:val="ListBullet"/>
      </w:pPr>
      <w:r>
        <w:t>TLT — Treasuries largo plazo</w:t>
      </w:r>
    </w:p>
    <w:p>
      <w:pPr>
        <w:pStyle w:val="ListBullet"/>
      </w:pPr>
      <w:r>
        <w:t>HYG — High Yield Corp. Bonds</w:t>
      </w:r>
    </w:p>
    <w:p>
      <w:pPr>
        <w:pStyle w:val="ListBullet"/>
      </w:pPr>
      <w:r>
        <w:t>LQD — Investment Grade Corp. Bonds</w:t>
      </w:r>
    </w:p>
    <w:p>
      <w:pPr>
        <w:pStyle w:val="ListBullet"/>
      </w:pPr>
      <w:r>
        <w:t>DBA — Commodities agricolas</w:t>
      </w:r>
    </w:p>
    <w:p>
      <w:pPr>
        <w:pStyle w:val="ListBullet"/>
      </w:pPr>
      <w:r>
        <w:t>GLD — Oro</w:t>
      </w:r>
    </w:p>
    <w:p>
      <w:pPr>
        <w:pStyle w:val="ListBullet"/>
      </w:pPr>
      <w:r>
        <w:t>USO — Petroleo</w:t>
      </w:r>
    </w:p>
    <w:p>
      <w:pPr>
        <w:pStyle w:val="ListBullet"/>
      </w:pPr>
      <w:r>
        <w:t>VIXY — Futuros VIX corto plazo</w:t>
      </w:r>
    </w:p>
    <w:p>
      <w:pPr>
        <w:pStyle w:val="ListBullet"/>
      </w:pPr>
      <w:r>
        <w:t>VNQ — Real Estate ETF</w:t>
      </w:r>
    </w:p>
    <w:p>
      <w:pPr>
        <w:pStyle w:val="ListBullet"/>
      </w:pPr>
      <w:r>
        <w:t>QQQ — Nasdaq 100 ETF</w:t>
      </w:r>
    </w:p>
    <w:p>
      <w:pPr>
        <w:pStyle w:val="ListBullet"/>
      </w:pPr>
      <w:r>
        <w:t>SOXX — Semiconductores ETF</w:t>
      </w:r>
    </w:p>
    <w:p>
      <w:r>
        <w:t>Nota: el retorno se calcula como log-retorno diario en escala porcentual (r_t = 100 * ln(P_t / P_{t-1})). La escala porcentual facilita la estimacion numerica de los modelos GARCH; las medidas de riesgo de portafolio en la Pregunta 5 se convierten de vuelta a escala decimal donde corresponde.</w:t>
      </w:r>
    </w:p>
    <w:p>
      <w:pPr>
        <w:pStyle w:val="Heading1"/>
      </w:pPr>
      <w:r>
        <w:t>4. Que hace y que produce cada pregunta</w:t>
      </w:r>
    </w:p>
    <w:p>
      <w:pPr>
        <w:pStyle w:val="Heading2"/>
      </w:pPr>
      <w:r>
        <w:t>Pregunta 1 — EDA (2 pts)</w:t>
      </w:r>
    </w:p>
    <w:p>
      <w:pPr>
        <w:pStyle w:val="ListBullet"/>
      </w:pPr>
      <w:r>
        <w:t>Tabla de descriptivos: media, desviacion (diaria y anualizada), skewness, exceso de kurtosis y Jarque-Bera.</w:t>
      </w:r>
    </w:p>
    <w:p>
      <w:pPr>
        <w:pStyle w:val="ListBullet"/>
      </w:pPr>
      <w:r>
        <w:t>Test LM de Engle: confirma la presencia de efecto ARCH antes de modelar volatilidad.</w:t>
      </w:r>
    </w:p>
    <w:p>
      <w:pPr>
        <w:pStyle w:val="ListBullet"/>
      </w:pPr>
      <w:r>
        <w:t>Ljung-Box sobre r y r^2: ausencia de autocorrelacion en media y presencia de volatility clustering.</w:t>
      </w:r>
    </w:p>
    <w:p>
      <w:pPr>
        <w:pStyle w:val="ListBullet"/>
      </w:pPr>
      <w:r>
        <w:t>Graficos: precios normalizados y retornos por activo; ACF de r vs r^2; histogramas vs Normal (fat tails).</w:t>
      </w:r>
    </w:p>
    <w:p>
      <w:pPr>
        <w:pStyle w:val="Heading2"/>
      </w:pPr>
      <w:r>
        <w:t>Pregunta 2 — Volatilidad condicional y DCC (5 pts)</w:t>
      </w:r>
    </w:p>
    <w:p>
      <w:pPr>
        <w:pStyle w:val="ListBullet"/>
      </w:pPr>
      <w:r>
        <w:t>Para cada activo estima 5 especificaciones: ARCH(5), GARCH(1,1)-Normal, GARCH(1,1)-t, GJR(1,1)-t y EGARCH(1,1)-t.</w:t>
      </w:r>
    </w:p>
    <w:p>
      <w:pPr>
        <w:pStyle w:val="ListBullet"/>
      </w:pPr>
      <w:r>
        <w:t>Selecciona el mejor modelo por BIC y diagnostica los residuos estandarizados (Ljung-Box sobre z^2 y Sign Bias Test).</w:t>
      </w:r>
    </w:p>
    <w:p>
      <w:pPr>
        <w:pStyle w:val="ListBullet"/>
      </w:pPr>
      <w:r>
        <w:t>Tabla resumen con el modelo ganador por activo y por que no hay una unica especificacion para todos.</w:t>
      </w:r>
    </w:p>
    <w:p>
      <w:pPr>
        <w:pStyle w:val="ListBullet"/>
      </w:pPr>
      <w:r>
        <w:t>DCC (Engle 2002): estima a y b por maxima verosimilitud sobre los residuos estandarizados y reconstruye Sigma_t = D_t R_t D_t.</w:t>
      </w:r>
    </w:p>
    <w:p>
      <w:pPr>
        <w:pStyle w:val="ListBullet"/>
      </w:pPr>
      <w:r>
        <w:t>Grafico de correlaciones condicionales DCC vs CCC (constante) para pares clave (ej. SPY-TLT, QQQ-SOXX).</w:t>
      </w:r>
    </w:p>
    <w:p>
      <w:pPr>
        <w:pStyle w:val="Heading2"/>
      </w:pPr>
      <w:r>
        <w:t>Pregunta 3 — Mean-Variance y Risk Parity (5 pts)</w:t>
      </w:r>
    </w:p>
    <w:p>
      <w:pPr>
        <w:pStyle w:val="ListBullet"/>
      </w:pPr>
      <w:r>
        <w:t>Mean-Variance: minimiza w' Sigma_t w sujeto a 1'w = 1 y w &gt;= 0 (long-only, totalmente invertido), resuelto con cvxpy.</w:t>
      </w:r>
    </w:p>
    <w:p>
      <w:pPr>
        <w:pStyle w:val="ListBullet"/>
      </w:pPr>
      <w:r>
        <w:t>Risk Parity: formulacion log-barrier de Maillard-Roncalli-Teiletche; verifica que las contribuciones de riesgo se igualan (~1/15).</w:t>
      </w:r>
    </w:p>
    <w:p>
      <w:pPr>
        <w:pStyle w:val="ListBullet"/>
      </w:pPr>
      <w:r>
        <w:t>Backtest de pesos con rebalanceo cada 21 dias habiles (~mensual) mas regla por evento (vol_5d &gt; 1.5x vol_60d).</w:t>
      </w:r>
    </w:p>
    <w:p>
      <w:pPr>
        <w:pStyle w:val="ListBullet"/>
      </w:pPr>
      <w:r>
        <w:t>Graficos de evolucion temporal de pesos (stacked area) para ambas estrategias.</w:t>
      </w:r>
    </w:p>
    <w:p>
      <w:pPr>
        <w:pStyle w:val="Heading2"/>
      </w:pPr>
      <w:r>
        <w:t>Pregunta 4 — VaR, ES y EVT al 97.5% (4 pts)</w:t>
      </w:r>
    </w:p>
    <w:p>
      <w:pPr>
        <w:pStyle w:val="ListBullet"/>
      </w:pPr>
      <w:r>
        <w:t>VaR y ES parametricos con sigma condicional del GARCH ganador, bajo Normal y t-Student.</w:t>
      </w:r>
    </w:p>
    <w:p>
      <w:pPr>
        <w:pStyle w:val="ListBullet"/>
      </w:pPr>
      <w:r>
        <w:t>VaR y ES historicos (no parametricos) sobre la distribucion empirica.</w:t>
      </w:r>
    </w:p>
    <w:p>
      <w:pPr>
        <w:pStyle w:val="ListBullet"/>
      </w:pPr>
      <w:r>
        <w:t>VaR y ES por EVT: POT + GPD sobre los residuos estandarizados (enfoque GARCH-EVT de McNeil-Frey), reescalados por sigma.</w:t>
      </w:r>
    </w:p>
    <w:p>
      <w:pPr>
        <w:pStyle w:val="ListBullet"/>
      </w:pPr>
      <w:r>
        <w:t>Tabla comparativa por activo y grafico de barras que muestra como la Normal subestima la cola frente a EVT.</w:t>
      </w:r>
    </w:p>
    <w:p>
      <w:pPr>
        <w:pStyle w:val="Heading2"/>
      </w:pPr>
      <w:r>
        <w:t>Pregunta 5 — Backtesting OOS y stress test (4 pts)</w:t>
      </w:r>
    </w:p>
    <w:p>
      <w:pPr>
        <w:pStyle w:val="ListBullet"/>
      </w:pPr>
      <w:r>
        <w:t>Reconstruye VaR/ES dinamico en la ventana OOS proyectando la volatilidad con forecast() y la ultima correlacion del DCC.</w:t>
      </w:r>
    </w:p>
    <w:p>
      <w:pPr>
        <w:pStyle w:val="ListBullet"/>
      </w:pPr>
      <w:r>
        <w:t>Test de Kupiec (cobertura incondicional) y de Christoffersen (independencia y cobertura condicional) para ambas estrategias.</w:t>
      </w:r>
    </w:p>
    <w:p>
      <w:pPr>
        <w:pStyle w:val="ListBullet"/>
      </w:pPr>
      <w:r>
        <w:t>Tasas de excepcion de ES y comparacion de la frecuencia de excepciones antes/despues de cada rebalanceo.</w:t>
      </w:r>
    </w:p>
    <w:p>
      <w:pPr>
        <w:pStyle w:val="ListBullet"/>
      </w:pPr>
      <w:r>
        <w:t>Calcula el shock minimo (multivariado y por activo) necesario para una perdida de portafolio del 20%.</w:t>
      </w:r>
    </w:p>
    <w:p>
      <w:pPr>
        <w:pStyle w:val="ListBullet"/>
      </w:pPr>
      <w:r>
        <w:t>Graficos de backtest: retorno del portafolio vs lineas de VaR, con las excepciones marcadas.</w:t>
      </w:r>
    </w:p>
    <w:p>
      <w:pPr>
        <w:pStyle w:val="Heading1"/>
      </w:pPr>
      <w:r>
        <w:t>5. Notas metodologicas y solucion de problemas</w:t>
      </w:r>
    </w:p>
    <w:p>
      <w:pPr>
        <w:pStyle w:val="ListBullet"/>
      </w:pPr>
      <w:r>
        <w:t>Solver de optimizacion: se usa CLARABEL (incluido por defecto en cvxpy moderno). Si el solver no convergiera, el codigo cae automaticamente a un fallback con scipy.optimize, de modo que el pipeline nunca se detiene con pesos vacios.</w:t>
      </w:r>
    </w:p>
    <w:p>
      <w:pPr>
        <w:pStyle w:val="ListBullet"/>
      </w:pPr>
      <w:r>
        <w:t>Pronostico de volatilidad OOS: se usa el metodo de simulacion de la libreria arch (method='simulation'), que funciona para todas las especificaciones, incluida EGARCH, que no admite pronostico analitico multi-paso.</w:t>
      </w:r>
    </w:p>
    <w:p>
      <w:pPr>
        <w:pStyle w:val="ListBullet"/>
      </w:pPr>
      <w:r>
        <w:t>Reproducibilidad: los modelos se estiman una sola vez sobre el in-sample y se reutilizan en todas las preguntas via variables globales; ejecutar las celdas en orden garantiza resultados consistentes.</w:t>
      </w:r>
    </w:p>
    <w:p>
      <w:pPr>
        <w:pStyle w:val="ListBullet"/>
      </w:pPr>
      <w:r>
        <w:t>Si Yahoo Finance no devolviera algun ticker (mantenimiento o limite de tasa), reintentar la celda de Setup; yfinance suele resolver en el segundo intento.</w:t>
      </w:r>
    </w:p>
    <w:p>
      <w:pPr>
        <w:pStyle w:val="ListBullet"/>
      </w:pPr>
      <w:r>
        <w:t>Tiempo de ejecucion: la estimacion de 5 modelos x 15 activos (Pregunta 2) es la parte mas pesada; en Colab toma unos pocos minutos. El resto de preguntas reutiliza esos modelos y corre en segundos.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