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436DE8">
      <w:pPr>
        <w:spacing w:before="560"/>
        <w:jc w:val="center"/>
      </w:pPr>
      <w:r>
        <w:rPr>
          <w:rFonts w:ascii="微软雅黑" w:hAnsi="微软雅黑" w:eastAsia="微软雅黑"/>
          <w:b/>
          <w:color w:val="0B2545"/>
          <w:sz w:val="46"/>
        </w:rPr>
        <w:t>中烟国际集团有限公司官网</w:t>
      </w:r>
      <w:r>
        <w:rPr>
          <w:rFonts w:ascii="微软雅黑" w:hAnsi="微软雅黑" w:eastAsia="微软雅黑"/>
          <w:b/>
          <w:color w:val="0B2545"/>
          <w:sz w:val="46"/>
        </w:rPr>
        <w:br w:type="textWrapping"/>
      </w:r>
      <w:r>
        <w:rPr>
          <w:rFonts w:ascii="微软雅黑" w:hAnsi="微软雅黑" w:eastAsia="微软雅黑"/>
          <w:b/>
          <w:color w:val="0B2545"/>
          <w:sz w:val="46"/>
        </w:rPr>
        <w:t>周运维巡检清单及记录</w:t>
      </w:r>
    </w:p>
    <w:p w14:paraId="24AE01EF">
      <w:pPr>
        <w:jc w:val="center"/>
      </w:pPr>
      <w:r>
        <w:rPr>
          <w:rFonts w:ascii="微软雅黑" w:hAnsi="微软雅黑" w:eastAsia="微软雅黑"/>
          <w:color w:val="555555"/>
          <w:sz w:val="24"/>
        </w:rPr>
        <w:t>验收材料 | 2026年3月 - 2026年6月1日</w:t>
      </w:r>
    </w:p>
    <w:tbl>
      <w:tblPr>
        <w:tblStyle w:val="32"/>
        <w:tblW w:w="0" w:type="auto"/>
        <w:jc w:val="center"/>
        <w:tblBorders>
          <w:top w:val="single" w:color="D0D7DE" w:sz="6" w:space="0"/>
          <w:left w:val="single" w:color="D0D7DE" w:sz="6" w:space="0"/>
          <w:bottom w:val="single" w:color="D0D7DE" w:sz="6" w:space="0"/>
          <w:right w:val="single" w:color="D0D7DE" w:sz="6" w:space="0"/>
          <w:insideH w:val="single" w:color="D0D7DE" w:sz="6" w:space="0"/>
          <w:insideV w:val="single" w:color="D0D7D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61"/>
        <w:gridCol w:w="6423"/>
      </w:tblGrid>
      <w:tr w14:paraId="0D80059B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</w:tblPrEx>
        <w:trPr>
          <w:jc w:val="center"/>
        </w:trPr>
        <w:tc>
          <w:tcPr>
            <w:tcW w:w="2016" w:type="dxa"/>
            <w:shd w:val="clear" w:color="auto" w:fill="E8EEF5"/>
            <w:vAlign w:val="center"/>
          </w:tcPr>
          <w:p w14:paraId="7DF518FF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项目</w:t>
            </w:r>
          </w:p>
        </w:tc>
        <w:tc>
          <w:tcPr>
            <w:tcW w:w="7992" w:type="dxa"/>
            <w:shd w:val="clear" w:color="auto" w:fill="E8EEF5"/>
            <w:vAlign w:val="center"/>
          </w:tcPr>
          <w:p w14:paraId="4D6AA9E2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内容</w:t>
            </w:r>
          </w:p>
        </w:tc>
      </w:tr>
      <w:tr w14:paraId="5DBBB23F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4E6190B1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项目名称</w:t>
            </w:r>
          </w:p>
        </w:tc>
        <w:tc>
          <w:tcPr>
            <w:tcW w:w="5184" w:type="dxa"/>
            <w:vAlign w:val="center"/>
          </w:tcPr>
          <w:p w14:paraId="55454630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中烟国际集团有限公司官网</w:t>
            </w:r>
          </w:p>
        </w:tc>
      </w:tr>
      <w:tr w14:paraId="485A61FD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00707CD8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材料类型</w:t>
            </w:r>
          </w:p>
        </w:tc>
        <w:tc>
          <w:tcPr>
            <w:tcW w:w="5184" w:type="dxa"/>
            <w:vAlign w:val="center"/>
          </w:tcPr>
          <w:p w14:paraId="520BA3B5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周运维巡检清单及执行记录</w:t>
            </w:r>
          </w:p>
        </w:tc>
      </w:tr>
      <w:tr w14:paraId="5FF076C2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6A6A3349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巡检周期</w:t>
            </w:r>
          </w:p>
        </w:tc>
        <w:tc>
          <w:tcPr>
            <w:tcW w:w="5184" w:type="dxa"/>
            <w:vAlign w:val="center"/>
          </w:tcPr>
          <w:p w14:paraId="2134FFEC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2026年3月2日 - 2026年6月1日</w:t>
            </w:r>
          </w:p>
        </w:tc>
      </w:tr>
      <w:tr w14:paraId="7BCBA790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34FDBB3A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巡检频率</w:t>
            </w:r>
          </w:p>
        </w:tc>
        <w:tc>
          <w:tcPr>
            <w:tcW w:w="5184" w:type="dxa"/>
            <w:vAlign w:val="center"/>
          </w:tcPr>
          <w:p w14:paraId="3C6A7884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每周一次，遇重大发布或安全告警时增加专项检查</w:t>
            </w:r>
          </w:p>
        </w:tc>
      </w:tr>
      <w:tr w14:paraId="614995EC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6E0D3D65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巡检结论</w:t>
            </w:r>
          </w:p>
        </w:tc>
        <w:tc>
          <w:tcPr>
            <w:tcW w:w="5184" w:type="dxa"/>
            <w:vAlign w:val="center"/>
          </w:tcPr>
          <w:p w14:paraId="3BB8BC9A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周期内网站运行正常，未发现影响验收和上线运行的异常问题</w:t>
            </w:r>
          </w:p>
        </w:tc>
      </w:tr>
      <w:tr w14:paraId="66FD3B72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76B37362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编制日期</w:t>
            </w:r>
          </w:p>
        </w:tc>
        <w:tc>
          <w:tcPr>
            <w:tcW w:w="5184" w:type="dxa"/>
            <w:vAlign w:val="center"/>
          </w:tcPr>
          <w:p w14:paraId="173550DB">
            <w:pPr>
              <w:jc w:val="left"/>
            </w:pPr>
          </w:p>
        </w:tc>
      </w:tr>
    </w:tbl>
    <w:p w14:paraId="4CA93782"/>
    <w:p w14:paraId="425843E9">
      <w:r>
        <w:br w:type="page"/>
      </w:r>
    </w:p>
    <w:p w14:paraId="379E0E18">
      <w:pPr>
        <w:pStyle w:val="3"/>
      </w:pPr>
      <w:r>
        <w:t>1. 运维巡检目标</w:t>
      </w:r>
    </w:p>
    <w:p w14:paraId="0DE443E0">
      <w:pPr>
        <w:spacing w:after="100"/>
      </w:pPr>
      <w:r>
        <w:rPr>
          <w:rFonts w:ascii="微软雅黑" w:hAnsi="微软雅黑" w:eastAsia="微软雅黑"/>
          <w:sz w:val="21"/>
        </w:rPr>
        <w:t>为保障中烟国际集团有限公司官网在验收及试运行期间稳定、安全、可持续运行，建立按周执行的运维巡检机制。巡检重点覆盖服务器运行状态、网站服务可用性、安全攻击迹象、日志异常、备份状态、页面内容一致性和访问性能等方面。</w:t>
      </w:r>
    </w:p>
    <w:p w14:paraId="77A2C1A7">
      <w:pPr>
        <w:pStyle w:val="3"/>
      </w:pPr>
      <w:r>
        <w:t>2. 周巡检标准清单</w:t>
      </w:r>
    </w:p>
    <w:tbl>
      <w:tblPr>
        <w:tblStyle w:val="32"/>
        <w:tblW w:w="0" w:type="auto"/>
        <w:jc w:val="center"/>
        <w:tblBorders>
          <w:top w:val="single" w:color="D0D7DE" w:sz="6" w:space="0"/>
          <w:left w:val="single" w:color="D0D7DE" w:sz="6" w:space="0"/>
          <w:bottom w:val="single" w:color="D0D7DE" w:sz="6" w:space="0"/>
          <w:right w:val="single" w:color="D0D7DE" w:sz="6" w:space="0"/>
          <w:insideH w:val="single" w:color="D0D7DE" w:sz="6" w:space="0"/>
          <w:insideV w:val="single" w:color="D0D7D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0"/>
        <w:gridCol w:w="2161"/>
        <w:gridCol w:w="4213"/>
        <w:gridCol w:w="2120"/>
      </w:tblGrid>
      <w:tr w14:paraId="0CD9F4A8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0" w:type="dxa"/>
            <w:shd w:val="clear" w:color="auto" w:fill="E8EEF5"/>
            <w:vAlign w:val="center"/>
          </w:tcPr>
          <w:p w14:paraId="48635C61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6"/>
              </w:rPr>
              <w:t>序号</w:t>
            </w:r>
          </w:p>
        </w:tc>
        <w:tc>
          <w:tcPr>
            <w:tcW w:w="1800" w:type="dxa"/>
            <w:shd w:val="clear" w:color="auto" w:fill="E8EEF5"/>
            <w:vAlign w:val="center"/>
          </w:tcPr>
          <w:p w14:paraId="723776A7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6"/>
              </w:rPr>
              <w:t>巡检项目</w:t>
            </w:r>
          </w:p>
        </w:tc>
        <w:tc>
          <w:tcPr>
            <w:tcW w:w="5256" w:type="dxa"/>
            <w:shd w:val="clear" w:color="auto" w:fill="E8EEF5"/>
            <w:vAlign w:val="center"/>
          </w:tcPr>
          <w:p w14:paraId="0DDCCAD4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6"/>
              </w:rPr>
              <w:t>巡检内容</w:t>
            </w:r>
          </w:p>
        </w:tc>
        <w:tc>
          <w:tcPr>
            <w:tcW w:w="2232" w:type="dxa"/>
            <w:shd w:val="clear" w:color="auto" w:fill="E8EEF5"/>
            <w:vAlign w:val="center"/>
          </w:tcPr>
          <w:p w14:paraId="0FECD815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6"/>
              </w:rPr>
              <w:t>正常判定标准</w:t>
            </w:r>
          </w:p>
        </w:tc>
      </w:tr>
      <w:tr w14:paraId="05843830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7A08A456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1</w:t>
            </w:r>
          </w:p>
        </w:tc>
        <w:tc>
          <w:tcPr>
            <w:tcW w:w="2592" w:type="dxa"/>
            <w:vAlign w:val="center"/>
          </w:tcPr>
          <w:p w14:paraId="21EF74EE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服务器运行状态</w:t>
            </w:r>
          </w:p>
        </w:tc>
        <w:tc>
          <w:tcPr>
            <w:tcW w:w="2592" w:type="dxa"/>
            <w:vAlign w:val="center"/>
          </w:tcPr>
          <w:p w14:paraId="4B6AC988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检查服务器在线状态、系统负载、CPU、内存、磁盘容量、系统时间。</w:t>
            </w:r>
          </w:p>
        </w:tc>
        <w:tc>
          <w:tcPr>
            <w:tcW w:w="2592" w:type="dxa"/>
            <w:vAlign w:val="center"/>
          </w:tcPr>
          <w:p w14:paraId="322B2DCE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运行正常，无异常告警</w:t>
            </w:r>
          </w:p>
        </w:tc>
      </w:tr>
      <w:tr w14:paraId="3EE937ED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27069BF1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</w:t>
            </w:r>
          </w:p>
        </w:tc>
        <w:tc>
          <w:tcPr>
            <w:tcW w:w="2592" w:type="dxa"/>
            <w:vAlign w:val="center"/>
          </w:tcPr>
          <w:p w14:paraId="586E5F9A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网站服务状态</w:t>
            </w:r>
          </w:p>
        </w:tc>
        <w:tc>
          <w:tcPr>
            <w:tcW w:w="2592" w:type="dxa"/>
            <w:vAlign w:val="center"/>
          </w:tcPr>
          <w:p w14:paraId="15B2E792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检查 Web 服务进程、端口监听、首页与主页面访问。</w:t>
            </w:r>
          </w:p>
        </w:tc>
        <w:tc>
          <w:tcPr>
            <w:tcW w:w="2592" w:type="dxa"/>
            <w:vAlign w:val="center"/>
          </w:tcPr>
          <w:p w14:paraId="7D391512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服务正常，页面可访问</w:t>
            </w:r>
          </w:p>
        </w:tc>
      </w:tr>
      <w:tr w14:paraId="2BBFEF4D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05E5A20B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3</w:t>
            </w:r>
          </w:p>
        </w:tc>
        <w:tc>
          <w:tcPr>
            <w:tcW w:w="2592" w:type="dxa"/>
            <w:vAlign w:val="center"/>
          </w:tcPr>
          <w:p w14:paraId="1A79791D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网站功能巡检</w:t>
            </w:r>
          </w:p>
        </w:tc>
        <w:tc>
          <w:tcPr>
            <w:tcW w:w="2592" w:type="dxa"/>
            <w:vAlign w:val="center"/>
          </w:tcPr>
          <w:p w14:paraId="5BAAD877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检查首页、新闻资讯、公司概况、主营业务、人才招聘、联系我们、搜索和语言切换。</w:t>
            </w:r>
          </w:p>
        </w:tc>
        <w:tc>
          <w:tcPr>
            <w:tcW w:w="2592" w:type="dxa"/>
            <w:vAlign w:val="center"/>
          </w:tcPr>
          <w:p w14:paraId="445A722E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功能正常，跳转正确</w:t>
            </w:r>
          </w:p>
        </w:tc>
      </w:tr>
      <w:tr w14:paraId="5D5A7B8B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73987930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4</w:t>
            </w:r>
          </w:p>
        </w:tc>
        <w:tc>
          <w:tcPr>
            <w:tcW w:w="2592" w:type="dxa"/>
            <w:vAlign w:val="center"/>
          </w:tcPr>
          <w:p w14:paraId="4F078394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HTTPS与证书</w:t>
            </w:r>
          </w:p>
        </w:tc>
        <w:tc>
          <w:tcPr>
            <w:tcW w:w="2592" w:type="dxa"/>
            <w:vAlign w:val="center"/>
          </w:tcPr>
          <w:p w14:paraId="40D7A59E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检查 HTTPS 访问、证书有效期、浏览器安全提示。</w:t>
            </w:r>
          </w:p>
        </w:tc>
        <w:tc>
          <w:tcPr>
            <w:tcW w:w="2592" w:type="dxa"/>
            <w:vAlign w:val="center"/>
          </w:tcPr>
          <w:p w14:paraId="3360207C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证书有效，无安全拦截</w:t>
            </w:r>
          </w:p>
        </w:tc>
      </w:tr>
      <w:tr w14:paraId="13119596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47D11710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5</w:t>
            </w:r>
          </w:p>
        </w:tc>
        <w:tc>
          <w:tcPr>
            <w:tcW w:w="2592" w:type="dxa"/>
            <w:vAlign w:val="center"/>
          </w:tcPr>
          <w:p w14:paraId="0C906F65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安全攻击迹象</w:t>
            </w:r>
          </w:p>
        </w:tc>
        <w:tc>
          <w:tcPr>
            <w:tcW w:w="2592" w:type="dxa"/>
            <w:vAlign w:val="center"/>
          </w:tcPr>
          <w:p w14:paraId="1640318D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检查异常登录、暴力尝试、扫描请求、异常 IP、访问频次突增。</w:t>
            </w:r>
          </w:p>
        </w:tc>
        <w:tc>
          <w:tcPr>
            <w:tcW w:w="2592" w:type="dxa"/>
            <w:vAlign w:val="center"/>
          </w:tcPr>
          <w:p w14:paraId="0FBCCC34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未发现攻击或已被拦截</w:t>
            </w:r>
          </w:p>
        </w:tc>
      </w:tr>
      <w:tr w14:paraId="6FEB3669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1608D636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6</w:t>
            </w:r>
          </w:p>
        </w:tc>
        <w:tc>
          <w:tcPr>
            <w:tcW w:w="2592" w:type="dxa"/>
            <w:vAlign w:val="center"/>
          </w:tcPr>
          <w:p w14:paraId="1194408F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防火墙/安全策略</w:t>
            </w:r>
          </w:p>
        </w:tc>
        <w:tc>
          <w:tcPr>
            <w:tcW w:w="2592" w:type="dxa"/>
            <w:vAlign w:val="center"/>
          </w:tcPr>
          <w:p w14:paraId="6193D8A5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检查防火墙、安全组、访问控制策略和必要端口开放情况。</w:t>
            </w:r>
          </w:p>
        </w:tc>
        <w:tc>
          <w:tcPr>
            <w:tcW w:w="2592" w:type="dxa"/>
            <w:vAlign w:val="center"/>
          </w:tcPr>
          <w:p w14:paraId="0964CDB7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策略有效，端口开放合理</w:t>
            </w:r>
          </w:p>
        </w:tc>
      </w:tr>
      <w:tr w14:paraId="1D5CA184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4728BA30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7</w:t>
            </w:r>
          </w:p>
        </w:tc>
        <w:tc>
          <w:tcPr>
            <w:tcW w:w="2592" w:type="dxa"/>
            <w:vAlign w:val="center"/>
          </w:tcPr>
          <w:p w14:paraId="1D56026D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系统与应用日志</w:t>
            </w:r>
          </w:p>
        </w:tc>
        <w:tc>
          <w:tcPr>
            <w:tcW w:w="2592" w:type="dxa"/>
            <w:vAlign w:val="center"/>
          </w:tcPr>
          <w:p w14:paraId="6C1A5331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检查系统日志、Web 访问日志、错误日志、前端资源加载错误。</w:t>
            </w:r>
          </w:p>
        </w:tc>
        <w:tc>
          <w:tcPr>
            <w:tcW w:w="2592" w:type="dxa"/>
            <w:vAlign w:val="center"/>
          </w:tcPr>
          <w:p w14:paraId="67462B12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无阻断性错误</w:t>
            </w:r>
          </w:p>
        </w:tc>
      </w:tr>
      <w:tr w14:paraId="78E6E93B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0A9C6D05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8</w:t>
            </w:r>
          </w:p>
        </w:tc>
        <w:tc>
          <w:tcPr>
            <w:tcW w:w="2592" w:type="dxa"/>
            <w:vAlign w:val="center"/>
          </w:tcPr>
          <w:p w14:paraId="71D24B0A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备份与恢复准备</w:t>
            </w:r>
          </w:p>
        </w:tc>
        <w:tc>
          <w:tcPr>
            <w:tcW w:w="2592" w:type="dxa"/>
            <w:vAlign w:val="center"/>
          </w:tcPr>
          <w:p w14:paraId="4DEE1591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检查代码/配置/站点文件备份状态，确认可追溯版本。</w:t>
            </w:r>
          </w:p>
        </w:tc>
        <w:tc>
          <w:tcPr>
            <w:tcW w:w="2592" w:type="dxa"/>
            <w:vAlign w:val="center"/>
          </w:tcPr>
          <w:p w14:paraId="5095611B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备份正常，可用于恢复</w:t>
            </w:r>
          </w:p>
        </w:tc>
      </w:tr>
      <w:tr w14:paraId="445A1213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0178DB02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9</w:t>
            </w:r>
          </w:p>
        </w:tc>
        <w:tc>
          <w:tcPr>
            <w:tcW w:w="2592" w:type="dxa"/>
            <w:vAlign w:val="center"/>
          </w:tcPr>
          <w:p w14:paraId="7E77EF98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资源与性能</w:t>
            </w:r>
          </w:p>
        </w:tc>
        <w:tc>
          <w:tcPr>
            <w:tcW w:w="2592" w:type="dxa"/>
            <w:vAlign w:val="center"/>
          </w:tcPr>
          <w:p w14:paraId="1B1E8496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检查页面响应、静态资源加载、图片加载、带宽和访问延迟。</w:t>
            </w:r>
          </w:p>
        </w:tc>
        <w:tc>
          <w:tcPr>
            <w:tcW w:w="2592" w:type="dxa"/>
            <w:vAlign w:val="center"/>
          </w:tcPr>
          <w:p w14:paraId="7B3A5122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访问稳定，资源加载正常</w:t>
            </w:r>
          </w:p>
        </w:tc>
      </w:tr>
      <w:tr w14:paraId="1287F3DB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6C3D3E30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10</w:t>
            </w:r>
          </w:p>
        </w:tc>
        <w:tc>
          <w:tcPr>
            <w:tcW w:w="2592" w:type="dxa"/>
            <w:vAlign w:val="center"/>
          </w:tcPr>
          <w:p w14:paraId="55713903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内容一致性</w:t>
            </w:r>
          </w:p>
        </w:tc>
        <w:tc>
          <w:tcPr>
            <w:tcW w:w="2592" w:type="dxa"/>
            <w:vAlign w:val="center"/>
          </w:tcPr>
          <w:p w14:paraId="31397368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检查新闻、联系方式、页脚、导航内容是否与验收版本一致。</w:t>
            </w:r>
          </w:p>
        </w:tc>
        <w:tc>
          <w:tcPr>
            <w:tcW w:w="2592" w:type="dxa"/>
            <w:vAlign w:val="center"/>
          </w:tcPr>
          <w:p w14:paraId="4D85CAE0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内容一致，无误删误改</w:t>
            </w:r>
          </w:p>
        </w:tc>
      </w:tr>
    </w:tbl>
    <w:p w14:paraId="5C6791E6"/>
    <w:p w14:paraId="4354B01C">
      <w:pPr>
        <w:pStyle w:val="3"/>
      </w:pPr>
      <w:r>
        <w:t>3. 周巡检执行记录</w:t>
      </w:r>
    </w:p>
    <w:p w14:paraId="1823B29E">
      <w:pPr>
        <w:spacing w:after="100"/>
      </w:pPr>
      <w:r>
        <w:rPr>
          <w:rFonts w:ascii="微软雅黑" w:hAnsi="微软雅黑" w:eastAsia="微软雅黑"/>
          <w:sz w:val="21"/>
        </w:rPr>
        <w:t>说明：表格中“√”表示该项已完成检查且结果正常；如发现异常，应在备注中记录异常现象、处理措施和复核结果。</w:t>
      </w:r>
    </w:p>
    <w:tbl>
      <w:tblPr>
        <w:tblStyle w:val="32"/>
        <w:tblW w:w="0" w:type="auto"/>
        <w:jc w:val="center"/>
        <w:tblBorders>
          <w:top w:val="single" w:color="D0D7DE" w:sz="6" w:space="0"/>
          <w:left w:val="single" w:color="D0D7DE" w:sz="6" w:space="0"/>
          <w:bottom w:val="single" w:color="D0D7DE" w:sz="6" w:space="0"/>
          <w:right w:val="single" w:color="D0D7DE" w:sz="6" w:space="0"/>
          <w:insideH w:val="single" w:color="D0D7DE" w:sz="6" w:space="0"/>
          <w:insideV w:val="single" w:color="D0D7D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"/>
        <w:gridCol w:w="1564"/>
        <w:gridCol w:w="988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643"/>
        <w:gridCol w:w="979"/>
      </w:tblGrid>
      <w:tr w14:paraId="43985B78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shd w:val="clear" w:color="auto" w:fill="E8EEF5"/>
            <w:vAlign w:val="center"/>
          </w:tcPr>
          <w:p w14:paraId="54F0C351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3"/>
              </w:rPr>
              <w:t>周次</w:t>
            </w:r>
          </w:p>
        </w:tc>
        <w:tc>
          <w:tcPr>
            <w:tcW w:w="2088" w:type="dxa"/>
            <w:shd w:val="clear" w:color="auto" w:fill="E8EEF5"/>
            <w:vAlign w:val="center"/>
          </w:tcPr>
          <w:p w14:paraId="31E95071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3"/>
              </w:rPr>
              <w:t>巡检周期</w:t>
            </w:r>
          </w:p>
        </w:tc>
        <w:tc>
          <w:tcPr>
            <w:tcW w:w="1224" w:type="dxa"/>
            <w:shd w:val="clear" w:color="auto" w:fill="E8EEF5"/>
            <w:vAlign w:val="center"/>
          </w:tcPr>
          <w:p w14:paraId="1B5D0165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3"/>
              </w:rPr>
              <w:t>巡检日期</w:t>
            </w:r>
          </w:p>
        </w:tc>
        <w:tc>
          <w:tcPr>
            <w:tcW w:w="547" w:type="dxa"/>
            <w:shd w:val="clear" w:color="auto" w:fill="E8EEF5"/>
            <w:vAlign w:val="center"/>
          </w:tcPr>
          <w:p w14:paraId="16AB48CE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3"/>
              </w:rPr>
              <w:t>运行</w:t>
            </w:r>
          </w:p>
        </w:tc>
        <w:tc>
          <w:tcPr>
            <w:tcW w:w="547" w:type="dxa"/>
            <w:shd w:val="clear" w:color="auto" w:fill="E8EEF5"/>
            <w:vAlign w:val="center"/>
          </w:tcPr>
          <w:p w14:paraId="687553E5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3"/>
              </w:rPr>
              <w:t>服务</w:t>
            </w:r>
          </w:p>
        </w:tc>
        <w:tc>
          <w:tcPr>
            <w:tcW w:w="547" w:type="dxa"/>
            <w:shd w:val="clear" w:color="auto" w:fill="E8EEF5"/>
            <w:vAlign w:val="center"/>
          </w:tcPr>
          <w:p w14:paraId="68320A07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3"/>
              </w:rPr>
              <w:t>功能</w:t>
            </w:r>
          </w:p>
        </w:tc>
        <w:tc>
          <w:tcPr>
            <w:tcW w:w="547" w:type="dxa"/>
            <w:shd w:val="clear" w:color="auto" w:fill="E8EEF5"/>
            <w:vAlign w:val="center"/>
          </w:tcPr>
          <w:p w14:paraId="5937614B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3"/>
              </w:rPr>
              <w:t>证书</w:t>
            </w:r>
          </w:p>
        </w:tc>
        <w:tc>
          <w:tcPr>
            <w:tcW w:w="547" w:type="dxa"/>
            <w:shd w:val="clear" w:color="auto" w:fill="E8EEF5"/>
            <w:vAlign w:val="center"/>
          </w:tcPr>
          <w:p w14:paraId="3DC0A416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3"/>
              </w:rPr>
              <w:t>攻击</w:t>
            </w:r>
          </w:p>
        </w:tc>
        <w:tc>
          <w:tcPr>
            <w:tcW w:w="547" w:type="dxa"/>
            <w:shd w:val="clear" w:color="auto" w:fill="E8EEF5"/>
            <w:vAlign w:val="center"/>
          </w:tcPr>
          <w:p w14:paraId="329400AB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3"/>
              </w:rPr>
              <w:t>策略</w:t>
            </w:r>
          </w:p>
        </w:tc>
        <w:tc>
          <w:tcPr>
            <w:tcW w:w="547" w:type="dxa"/>
            <w:shd w:val="clear" w:color="auto" w:fill="E8EEF5"/>
            <w:vAlign w:val="center"/>
          </w:tcPr>
          <w:p w14:paraId="6E859657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3"/>
              </w:rPr>
              <w:t>日志</w:t>
            </w:r>
          </w:p>
        </w:tc>
        <w:tc>
          <w:tcPr>
            <w:tcW w:w="547" w:type="dxa"/>
            <w:shd w:val="clear" w:color="auto" w:fill="E8EEF5"/>
            <w:vAlign w:val="center"/>
          </w:tcPr>
          <w:p w14:paraId="6E26A864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3"/>
              </w:rPr>
              <w:t>备份</w:t>
            </w:r>
          </w:p>
        </w:tc>
        <w:tc>
          <w:tcPr>
            <w:tcW w:w="547" w:type="dxa"/>
            <w:shd w:val="clear" w:color="auto" w:fill="E8EEF5"/>
            <w:vAlign w:val="center"/>
          </w:tcPr>
          <w:p w14:paraId="10B98854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3"/>
              </w:rPr>
              <w:t>性能</w:t>
            </w:r>
          </w:p>
        </w:tc>
        <w:tc>
          <w:tcPr>
            <w:tcW w:w="547" w:type="dxa"/>
            <w:shd w:val="clear" w:color="auto" w:fill="E8EEF5"/>
            <w:vAlign w:val="center"/>
          </w:tcPr>
          <w:p w14:paraId="36B62391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3"/>
              </w:rPr>
              <w:t>内容</w:t>
            </w:r>
          </w:p>
        </w:tc>
        <w:tc>
          <w:tcPr>
            <w:tcW w:w="792" w:type="dxa"/>
            <w:shd w:val="clear" w:color="auto" w:fill="E8EEF5"/>
            <w:vAlign w:val="center"/>
          </w:tcPr>
          <w:p w14:paraId="29F1DCF8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3"/>
              </w:rPr>
              <w:t>结论</w:t>
            </w:r>
          </w:p>
        </w:tc>
        <w:tc>
          <w:tcPr>
            <w:tcW w:w="1296" w:type="dxa"/>
            <w:shd w:val="clear" w:color="auto" w:fill="E8EEF5"/>
            <w:vAlign w:val="center"/>
          </w:tcPr>
          <w:p w14:paraId="64650ACA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3"/>
              </w:rPr>
              <w:t>备注</w:t>
            </w:r>
          </w:p>
        </w:tc>
      </w:tr>
      <w:tr w14:paraId="7355A4E1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1" w:type="dxa"/>
            <w:vAlign w:val="center"/>
          </w:tcPr>
          <w:p w14:paraId="700930FB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第1周</w:t>
            </w:r>
          </w:p>
        </w:tc>
        <w:tc>
          <w:tcPr>
            <w:tcW w:w="691" w:type="dxa"/>
            <w:vAlign w:val="center"/>
          </w:tcPr>
          <w:p w14:paraId="7C3A6E48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2026年03月02日 - 2026年03月08日</w:t>
            </w:r>
          </w:p>
        </w:tc>
        <w:tc>
          <w:tcPr>
            <w:tcW w:w="691" w:type="dxa"/>
            <w:vAlign w:val="center"/>
          </w:tcPr>
          <w:p w14:paraId="37715346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2026年03月04日</w:t>
            </w:r>
          </w:p>
        </w:tc>
        <w:tc>
          <w:tcPr>
            <w:tcW w:w="691" w:type="dxa"/>
            <w:vAlign w:val="center"/>
          </w:tcPr>
          <w:p w14:paraId="5FFAB2FF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55ECE1AF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0E42539F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0FE9BBBA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49BE149A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534033C5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32F8B5E9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67AE6F7D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1FBE0293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1BB598DF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1EA26C81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正常</w:t>
            </w:r>
          </w:p>
        </w:tc>
        <w:tc>
          <w:tcPr>
            <w:tcW w:w="691" w:type="dxa"/>
            <w:vAlign w:val="center"/>
          </w:tcPr>
          <w:p w14:paraId="62F32E94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未发现异常</w:t>
            </w:r>
          </w:p>
        </w:tc>
      </w:tr>
      <w:tr w14:paraId="5B3BC276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1" w:type="dxa"/>
            <w:vAlign w:val="center"/>
          </w:tcPr>
          <w:p w14:paraId="1969BE60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第2周</w:t>
            </w:r>
          </w:p>
        </w:tc>
        <w:tc>
          <w:tcPr>
            <w:tcW w:w="691" w:type="dxa"/>
            <w:vAlign w:val="center"/>
          </w:tcPr>
          <w:p w14:paraId="0DB28F09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2026年03月09日 - 2026年03月15日</w:t>
            </w:r>
          </w:p>
        </w:tc>
        <w:tc>
          <w:tcPr>
            <w:tcW w:w="691" w:type="dxa"/>
            <w:vAlign w:val="center"/>
          </w:tcPr>
          <w:p w14:paraId="03577FC4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2026年03月11日</w:t>
            </w:r>
          </w:p>
        </w:tc>
        <w:tc>
          <w:tcPr>
            <w:tcW w:w="691" w:type="dxa"/>
            <w:vAlign w:val="center"/>
          </w:tcPr>
          <w:p w14:paraId="2280DB01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4B92BA52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6A48A84F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0F4DF110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4D94437D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446B77B6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48FCCEA0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4A238F46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16AAC4A3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1200D802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5CA78946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正常</w:t>
            </w:r>
          </w:p>
        </w:tc>
        <w:tc>
          <w:tcPr>
            <w:tcW w:w="691" w:type="dxa"/>
            <w:vAlign w:val="center"/>
          </w:tcPr>
          <w:p w14:paraId="574AA655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未发现异常</w:t>
            </w:r>
          </w:p>
        </w:tc>
      </w:tr>
      <w:tr w14:paraId="5777AB9E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1" w:type="dxa"/>
            <w:vAlign w:val="center"/>
          </w:tcPr>
          <w:p w14:paraId="66020CA3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第3周</w:t>
            </w:r>
          </w:p>
        </w:tc>
        <w:tc>
          <w:tcPr>
            <w:tcW w:w="691" w:type="dxa"/>
            <w:vAlign w:val="center"/>
          </w:tcPr>
          <w:p w14:paraId="4E394E24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2026年03月16日 - 2026年03月22日</w:t>
            </w:r>
          </w:p>
        </w:tc>
        <w:tc>
          <w:tcPr>
            <w:tcW w:w="691" w:type="dxa"/>
            <w:vAlign w:val="center"/>
          </w:tcPr>
          <w:p w14:paraId="746D8AD2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2026年03月18日</w:t>
            </w:r>
          </w:p>
        </w:tc>
        <w:tc>
          <w:tcPr>
            <w:tcW w:w="691" w:type="dxa"/>
            <w:vAlign w:val="center"/>
          </w:tcPr>
          <w:p w14:paraId="25390338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7DD0370D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5FE3A835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0332167A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2C6C51EB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228E6752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31136209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1ADC6580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403FC251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770F5691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38F62824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正常</w:t>
            </w:r>
          </w:p>
        </w:tc>
        <w:tc>
          <w:tcPr>
            <w:tcW w:w="691" w:type="dxa"/>
            <w:vAlign w:val="center"/>
          </w:tcPr>
          <w:p w14:paraId="3232F097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未发现异常</w:t>
            </w:r>
          </w:p>
        </w:tc>
      </w:tr>
      <w:tr w14:paraId="475D7A10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1" w:type="dxa"/>
            <w:vAlign w:val="center"/>
          </w:tcPr>
          <w:p w14:paraId="004E5D78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第4周</w:t>
            </w:r>
          </w:p>
        </w:tc>
        <w:tc>
          <w:tcPr>
            <w:tcW w:w="691" w:type="dxa"/>
            <w:vAlign w:val="center"/>
          </w:tcPr>
          <w:p w14:paraId="511C7AA1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2026年03月23日 - 2026年03月29日</w:t>
            </w:r>
          </w:p>
        </w:tc>
        <w:tc>
          <w:tcPr>
            <w:tcW w:w="691" w:type="dxa"/>
            <w:vAlign w:val="center"/>
          </w:tcPr>
          <w:p w14:paraId="49C9F730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2026年03月25日</w:t>
            </w:r>
          </w:p>
        </w:tc>
        <w:tc>
          <w:tcPr>
            <w:tcW w:w="691" w:type="dxa"/>
            <w:vAlign w:val="center"/>
          </w:tcPr>
          <w:p w14:paraId="51DB9593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2BA9B3C0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0FA44F78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38345DBA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5599B610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5237F02C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25317904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533872A6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4ED62E82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00EF168D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4A6D3F65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正常</w:t>
            </w:r>
          </w:p>
        </w:tc>
        <w:tc>
          <w:tcPr>
            <w:tcW w:w="691" w:type="dxa"/>
            <w:vAlign w:val="center"/>
          </w:tcPr>
          <w:p w14:paraId="47664FBB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未发现异常</w:t>
            </w:r>
          </w:p>
        </w:tc>
      </w:tr>
      <w:tr w14:paraId="1B60A9DE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1" w:type="dxa"/>
            <w:vAlign w:val="center"/>
          </w:tcPr>
          <w:p w14:paraId="3E5BA6E7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第5周</w:t>
            </w:r>
          </w:p>
        </w:tc>
        <w:tc>
          <w:tcPr>
            <w:tcW w:w="691" w:type="dxa"/>
            <w:vAlign w:val="center"/>
          </w:tcPr>
          <w:p w14:paraId="04F95BAC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2026年03月30日 - 2026年04月05日</w:t>
            </w:r>
          </w:p>
        </w:tc>
        <w:tc>
          <w:tcPr>
            <w:tcW w:w="691" w:type="dxa"/>
            <w:vAlign w:val="center"/>
          </w:tcPr>
          <w:p w14:paraId="161509C7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2026年04月01日</w:t>
            </w:r>
          </w:p>
        </w:tc>
        <w:tc>
          <w:tcPr>
            <w:tcW w:w="691" w:type="dxa"/>
            <w:vAlign w:val="center"/>
          </w:tcPr>
          <w:p w14:paraId="461D2138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59FCF1CF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48DEE251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3A7F8286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3A1BDE97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7F7D7174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3C72330D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154EB15C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3EEC0552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574CD42B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4882FBFF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正常</w:t>
            </w:r>
          </w:p>
        </w:tc>
        <w:tc>
          <w:tcPr>
            <w:tcW w:w="691" w:type="dxa"/>
            <w:vAlign w:val="center"/>
          </w:tcPr>
          <w:p w14:paraId="6D014667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未发现异常</w:t>
            </w:r>
          </w:p>
        </w:tc>
      </w:tr>
      <w:tr w14:paraId="12CD5C52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1" w:type="dxa"/>
            <w:vAlign w:val="center"/>
          </w:tcPr>
          <w:p w14:paraId="500B1022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第6周</w:t>
            </w:r>
          </w:p>
        </w:tc>
        <w:tc>
          <w:tcPr>
            <w:tcW w:w="691" w:type="dxa"/>
            <w:vAlign w:val="center"/>
          </w:tcPr>
          <w:p w14:paraId="2A169B8F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2026年04月06日 - 2026年04月12日</w:t>
            </w:r>
          </w:p>
        </w:tc>
        <w:tc>
          <w:tcPr>
            <w:tcW w:w="691" w:type="dxa"/>
            <w:vAlign w:val="center"/>
          </w:tcPr>
          <w:p w14:paraId="4EF07003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2026年04月08日</w:t>
            </w:r>
          </w:p>
        </w:tc>
        <w:tc>
          <w:tcPr>
            <w:tcW w:w="691" w:type="dxa"/>
            <w:vAlign w:val="center"/>
          </w:tcPr>
          <w:p w14:paraId="5119E953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5E65A602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0A5F4DA6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0754ADED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758AAFE9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20D80807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67F86DBB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346FEAEE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0D5EEDCB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5417633D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62BE343D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正常</w:t>
            </w:r>
          </w:p>
        </w:tc>
        <w:tc>
          <w:tcPr>
            <w:tcW w:w="691" w:type="dxa"/>
            <w:vAlign w:val="center"/>
          </w:tcPr>
          <w:p w14:paraId="26F67E89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未发现异常</w:t>
            </w:r>
          </w:p>
        </w:tc>
      </w:tr>
      <w:tr w14:paraId="0596EA0F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1" w:type="dxa"/>
            <w:vAlign w:val="center"/>
          </w:tcPr>
          <w:p w14:paraId="32FC7CCD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第7周</w:t>
            </w:r>
          </w:p>
        </w:tc>
        <w:tc>
          <w:tcPr>
            <w:tcW w:w="691" w:type="dxa"/>
            <w:vAlign w:val="center"/>
          </w:tcPr>
          <w:p w14:paraId="0EC26C7D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2026年04月13日 - 2026年04月19日</w:t>
            </w:r>
          </w:p>
        </w:tc>
        <w:tc>
          <w:tcPr>
            <w:tcW w:w="691" w:type="dxa"/>
            <w:vAlign w:val="center"/>
          </w:tcPr>
          <w:p w14:paraId="3F335D33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2026年04月15日</w:t>
            </w:r>
          </w:p>
        </w:tc>
        <w:tc>
          <w:tcPr>
            <w:tcW w:w="691" w:type="dxa"/>
            <w:vAlign w:val="center"/>
          </w:tcPr>
          <w:p w14:paraId="4A6B404E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4629675D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3D5B00E2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071473C0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66A042E0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3DF0200A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2EC533C9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3B5FB5E9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5D1CC2A5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786ABBB0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402630EC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正常</w:t>
            </w:r>
          </w:p>
        </w:tc>
        <w:tc>
          <w:tcPr>
            <w:tcW w:w="691" w:type="dxa"/>
            <w:vAlign w:val="center"/>
          </w:tcPr>
          <w:p w14:paraId="015F7558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未发现异常</w:t>
            </w:r>
          </w:p>
        </w:tc>
      </w:tr>
      <w:tr w14:paraId="0958E40F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1" w:type="dxa"/>
            <w:vAlign w:val="center"/>
          </w:tcPr>
          <w:p w14:paraId="1A9D2AE4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第8周</w:t>
            </w:r>
          </w:p>
        </w:tc>
        <w:tc>
          <w:tcPr>
            <w:tcW w:w="691" w:type="dxa"/>
            <w:vAlign w:val="center"/>
          </w:tcPr>
          <w:p w14:paraId="31801FDD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2026年04月20日 - 2026年04月26日</w:t>
            </w:r>
          </w:p>
        </w:tc>
        <w:tc>
          <w:tcPr>
            <w:tcW w:w="691" w:type="dxa"/>
            <w:vAlign w:val="center"/>
          </w:tcPr>
          <w:p w14:paraId="57307D63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2026年04月22日</w:t>
            </w:r>
          </w:p>
        </w:tc>
        <w:tc>
          <w:tcPr>
            <w:tcW w:w="691" w:type="dxa"/>
            <w:vAlign w:val="center"/>
          </w:tcPr>
          <w:p w14:paraId="016696E7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0967A7B1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6A2C2097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51E2E726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3137D263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787D869A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11741677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3A645740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2AB38FCC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2F9F2544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64772448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正常</w:t>
            </w:r>
          </w:p>
        </w:tc>
        <w:tc>
          <w:tcPr>
            <w:tcW w:w="691" w:type="dxa"/>
            <w:vAlign w:val="center"/>
          </w:tcPr>
          <w:p w14:paraId="525A5938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未发现异常</w:t>
            </w:r>
          </w:p>
        </w:tc>
      </w:tr>
      <w:tr w14:paraId="6777A89E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1" w:type="dxa"/>
            <w:vAlign w:val="center"/>
          </w:tcPr>
          <w:p w14:paraId="069ACCDE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第9周</w:t>
            </w:r>
          </w:p>
        </w:tc>
        <w:tc>
          <w:tcPr>
            <w:tcW w:w="691" w:type="dxa"/>
            <w:vAlign w:val="center"/>
          </w:tcPr>
          <w:p w14:paraId="7E701A98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2026年04月27日 - 2026年05月03日</w:t>
            </w:r>
          </w:p>
        </w:tc>
        <w:tc>
          <w:tcPr>
            <w:tcW w:w="691" w:type="dxa"/>
            <w:vAlign w:val="center"/>
          </w:tcPr>
          <w:p w14:paraId="79604029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2026年04月29日</w:t>
            </w:r>
          </w:p>
        </w:tc>
        <w:tc>
          <w:tcPr>
            <w:tcW w:w="691" w:type="dxa"/>
            <w:vAlign w:val="center"/>
          </w:tcPr>
          <w:p w14:paraId="50FAB20B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043D4AEB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27145D85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094F06D8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01A2D0B3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4A39935B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60CF0072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3B23BEF3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2565003A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6D948939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263722B0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正常</w:t>
            </w:r>
          </w:p>
        </w:tc>
        <w:tc>
          <w:tcPr>
            <w:tcW w:w="691" w:type="dxa"/>
            <w:vAlign w:val="center"/>
          </w:tcPr>
          <w:p w14:paraId="1095D44E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未发现异常</w:t>
            </w:r>
          </w:p>
        </w:tc>
      </w:tr>
      <w:tr w14:paraId="3F1145D4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1" w:type="dxa"/>
            <w:vAlign w:val="center"/>
          </w:tcPr>
          <w:p w14:paraId="4F211634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第10周</w:t>
            </w:r>
          </w:p>
        </w:tc>
        <w:tc>
          <w:tcPr>
            <w:tcW w:w="691" w:type="dxa"/>
            <w:vAlign w:val="center"/>
          </w:tcPr>
          <w:p w14:paraId="59019FEB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2026年05月04日 - 2026年05月10日</w:t>
            </w:r>
          </w:p>
        </w:tc>
        <w:tc>
          <w:tcPr>
            <w:tcW w:w="691" w:type="dxa"/>
            <w:vAlign w:val="center"/>
          </w:tcPr>
          <w:p w14:paraId="33ABCF2F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2026年05月06日</w:t>
            </w:r>
          </w:p>
        </w:tc>
        <w:tc>
          <w:tcPr>
            <w:tcW w:w="691" w:type="dxa"/>
            <w:vAlign w:val="center"/>
          </w:tcPr>
          <w:p w14:paraId="6743C7D5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545EEB92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14E30441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7A2C6DD4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7B6D07DD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0693104E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03FF8A14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37B18F72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7E012A26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0EF4A22A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2C782841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正常</w:t>
            </w:r>
          </w:p>
        </w:tc>
        <w:tc>
          <w:tcPr>
            <w:tcW w:w="691" w:type="dxa"/>
            <w:vAlign w:val="center"/>
          </w:tcPr>
          <w:p w14:paraId="557A7AEB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未发现异常</w:t>
            </w:r>
          </w:p>
        </w:tc>
      </w:tr>
      <w:tr w14:paraId="3A61A94D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1" w:type="dxa"/>
            <w:vAlign w:val="center"/>
          </w:tcPr>
          <w:p w14:paraId="62BB15EA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第11周</w:t>
            </w:r>
          </w:p>
        </w:tc>
        <w:tc>
          <w:tcPr>
            <w:tcW w:w="691" w:type="dxa"/>
            <w:vAlign w:val="center"/>
          </w:tcPr>
          <w:p w14:paraId="594A7E9B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2026年05月11日 - 2026年05月17日</w:t>
            </w:r>
          </w:p>
        </w:tc>
        <w:tc>
          <w:tcPr>
            <w:tcW w:w="691" w:type="dxa"/>
            <w:vAlign w:val="center"/>
          </w:tcPr>
          <w:p w14:paraId="3810BFA7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2026年05月13日</w:t>
            </w:r>
          </w:p>
        </w:tc>
        <w:tc>
          <w:tcPr>
            <w:tcW w:w="691" w:type="dxa"/>
            <w:vAlign w:val="center"/>
          </w:tcPr>
          <w:p w14:paraId="0C72EB85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31786364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3CDCD627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5B91EFDD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37AFC1B9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25C366C5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4618C220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3D59B285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27402C05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15F64F1C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576166B1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正常</w:t>
            </w:r>
          </w:p>
        </w:tc>
        <w:tc>
          <w:tcPr>
            <w:tcW w:w="691" w:type="dxa"/>
            <w:vAlign w:val="center"/>
          </w:tcPr>
          <w:p w14:paraId="061FF098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未发现异常</w:t>
            </w:r>
          </w:p>
        </w:tc>
      </w:tr>
      <w:tr w14:paraId="44516336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1" w:type="dxa"/>
            <w:vAlign w:val="center"/>
          </w:tcPr>
          <w:p w14:paraId="3F70BD7F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第12周</w:t>
            </w:r>
          </w:p>
        </w:tc>
        <w:tc>
          <w:tcPr>
            <w:tcW w:w="691" w:type="dxa"/>
            <w:vAlign w:val="center"/>
          </w:tcPr>
          <w:p w14:paraId="5C72235B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2026年05月18日 - 2026年05月24日</w:t>
            </w:r>
          </w:p>
        </w:tc>
        <w:tc>
          <w:tcPr>
            <w:tcW w:w="691" w:type="dxa"/>
            <w:vAlign w:val="center"/>
          </w:tcPr>
          <w:p w14:paraId="4BA7E492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2026年05月20日</w:t>
            </w:r>
          </w:p>
        </w:tc>
        <w:tc>
          <w:tcPr>
            <w:tcW w:w="691" w:type="dxa"/>
            <w:vAlign w:val="center"/>
          </w:tcPr>
          <w:p w14:paraId="68011EEE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2213CAB4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351A78FB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7F3BBFAC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4DB330E4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6247B31F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6909A863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23065E39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0925E262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5B510A04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40EBE499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正常</w:t>
            </w:r>
          </w:p>
        </w:tc>
        <w:tc>
          <w:tcPr>
            <w:tcW w:w="691" w:type="dxa"/>
            <w:vAlign w:val="center"/>
          </w:tcPr>
          <w:p w14:paraId="3A233EC2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未发现异常</w:t>
            </w:r>
          </w:p>
        </w:tc>
      </w:tr>
      <w:tr w14:paraId="0AD8989D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1" w:type="dxa"/>
            <w:vAlign w:val="center"/>
          </w:tcPr>
          <w:p w14:paraId="25802539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第13周</w:t>
            </w:r>
          </w:p>
        </w:tc>
        <w:tc>
          <w:tcPr>
            <w:tcW w:w="691" w:type="dxa"/>
            <w:vAlign w:val="center"/>
          </w:tcPr>
          <w:p w14:paraId="13C87D68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2026年05月25日 - 2026年05月31日</w:t>
            </w:r>
          </w:p>
        </w:tc>
        <w:tc>
          <w:tcPr>
            <w:tcW w:w="691" w:type="dxa"/>
            <w:vAlign w:val="center"/>
          </w:tcPr>
          <w:p w14:paraId="4A1ADE6D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2026年05月27日</w:t>
            </w:r>
          </w:p>
        </w:tc>
        <w:tc>
          <w:tcPr>
            <w:tcW w:w="691" w:type="dxa"/>
            <w:vAlign w:val="center"/>
          </w:tcPr>
          <w:p w14:paraId="79F1BF44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3073F1EF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3CF633A7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668DC494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3FB4F5E5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5C604702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55C84F9C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1E858219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7390BA64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392E1078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482C064F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正常</w:t>
            </w:r>
          </w:p>
        </w:tc>
        <w:tc>
          <w:tcPr>
            <w:tcW w:w="691" w:type="dxa"/>
            <w:vAlign w:val="center"/>
          </w:tcPr>
          <w:p w14:paraId="206ABED3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未发现异常</w:t>
            </w:r>
          </w:p>
        </w:tc>
      </w:tr>
      <w:tr w14:paraId="16EAD78A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1" w:type="dxa"/>
            <w:vAlign w:val="center"/>
          </w:tcPr>
          <w:p w14:paraId="2F823CED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第14周</w:t>
            </w:r>
          </w:p>
        </w:tc>
        <w:tc>
          <w:tcPr>
            <w:tcW w:w="691" w:type="dxa"/>
            <w:vAlign w:val="center"/>
          </w:tcPr>
          <w:p w14:paraId="5D68C242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2026年06月01日</w:t>
            </w:r>
          </w:p>
        </w:tc>
        <w:tc>
          <w:tcPr>
            <w:tcW w:w="691" w:type="dxa"/>
            <w:vAlign w:val="center"/>
          </w:tcPr>
          <w:p w14:paraId="4C6DFAF2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2026年06月01日</w:t>
            </w:r>
          </w:p>
        </w:tc>
        <w:tc>
          <w:tcPr>
            <w:tcW w:w="691" w:type="dxa"/>
            <w:vAlign w:val="center"/>
          </w:tcPr>
          <w:p w14:paraId="6A6D1FD1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3175E0DE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0C27479C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776481E7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204012C8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32817112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34105FCF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3FE5078B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1098F3A8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33989EE3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√</w:t>
            </w:r>
          </w:p>
        </w:tc>
        <w:tc>
          <w:tcPr>
            <w:tcW w:w="691" w:type="dxa"/>
            <w:vAlign w:val="center"/>
          </w:tcPr>
          <w:p w14:paraId="40656656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正常</w:t>
            </w:r>
          </w:p>
        </w:tc>
        <w:tc>
          <w:tcPr>
            <w:tcW w:w="691" w:type="dxa"/>
            <w:vAlign w:val="center"/>
          </w:tcPr>
          <w:p w14:paraId="63D98C1E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3"/>
              </w:rPr>
              <w:t>未发现异常</w:t>
            </w:r>
          </w:p>
        </w:tc>
      </w:tr>
    </w:tbl>
    <w:p w14:paraId="78EF047B"/>
    <w:p w14:paraId="33B05202">
      <w:pPr>
        <w:pStyle w:val="3"/>
      </w:pPr>
      <w:r>
        <w:t>4. 巡检问题处理要求</w:t>
      </w:r>
    </w:p>
    <w:p w14:paraId="7EB1056B">
      <w:pPr>
        <w:pStyle w:val="16"/>
        <w:spacing w:after="60"/>
      </w:pPr>
      <w:r>
        <w:rPr>
          <w:rFonts w:ascii="微软雅黑" w:hAnsi="微软雅黑" w:eastAsia="微软雅黑"/>
          <w:sz w:val="20"/>
        </w:rPr>
        <w:t>发现服务器负载、磁盘容量、服务进程或站点访问异常时，应立即记录异常时间、影响范围和处理动作。</w:t>
      </w:r>
    </w:p>
    <w:p w14:paraId="0392FD4C">
      <w:pPr>
        <w:pStyle w:val="16"/>
        <w:spacing w:after="60"/>
      </w:pPr>
      <w:r>
        <w:rPr>
          <w:rFonts w:ascii="微软雅黑" w:hAnsi="微软雅黑" w:eastAsia="微软雅黑"/>
          <w:sz w:val="20"/>
        </w:rPr>
        <w:t>发现异常登录、扫描、攻击请求或访问突增时，应核查来源 IP、请求路径和防护策略，并视情况调整安全组或防火墙规则。</w:t>
      </w:r>
    </w:p>
    <w:p w14:paraId="66978B7B">
      <w:pPr>
        <w:pStyle w:val="16"/>
        <w:spacing w:after="60"/>
      </w:pPr>
      <w:r>
        <w:rPr>
          <w:rFonts w:ascii="微软雅黑" w:hAnsi="微软雅黑" w:eastAsia="微软雅黑"/>
          <w:sz w:val="20"/>
        </w:rPr>
        <w:t>发现页面错链、内容缺失、图片加载失败或新闻内容不一致时，应完成内容修正并进行一次主页面回归检查。</w:t>
      </w:r>
    </w:p>
    <w:p w14:paraId="272B6D01">
      <w:pPr>
        <w:pStyle w:val="16"/>
        <w:spacing w:after="60"/>
      </w:pPr>
      <w:r>
        <w:rPr>
          <w:rFonts w:ascii="微软雅黑" w:hAnsi="微软雅黑" w:eastAsia="微软雅黑"/>
          <w:sz w:val="20"/>
        </w:rPr>
        <w:t>发现备份缺失、证书临近到期、日志持续报错等隐患时，应纳入整改跟踪，整改后补充复核记录。</w:t>
      </w:r>
    </w:p>
    <w:p w14:paraId="33D1D53E">
      <w:pPr>
        <w:pStyle w:val="3"/>
      </w:pPr>
      <w:r>
        <w:t>5. 阶段性运维结论</w:t>
      </w:r>
    </w:p>
    <w:p w14:paraId="71C16327">
      <w:pPr>
        <w:spacing w:after="100"/>
      </w:pPr>
      <w:r>
        <w:rPr>
          <w:rFonts w:ascii="微软雅黑" w:hAnsi="微软雅黑" w:eastAsia="微软雅黑"/>
          <w:sz w:val="21"/>
        </w:rPr>
        <w:t>2026年3月至2026年6月1日期间，已按周完成网站运行巡检。巡检记录显示：服务器运行状态正常，网站服务访问稳定，主要页面和交互功能正常，未发现影响网站验收和上线运行的安全攻击事件或阻断性故障。系统具备持续上线运行条件。</w:t>
      </w:r>
    </w:p>
    <w:p w14:paraId="082544A8">
      <w:bookmarkStart w:id="0" w:name="_GoBack"/>
      <w:bookmarkEnd w:id="0"/>
    </w:p>
    <w:sectPr>
      <w:footerReference r:id="rId5" w:type="default"/>
      <w:pgSz w:w="12240" w:h="15840"/>
      <w:pgMar w:top="1037" w:right="936" w:bottom="1037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08DE0E">
    <w:pPr>
      <w:pStyle w:val="24"/>
      <w:jc w:val="center"/>
    </w:pPr>
    <w:r>
      <w:rPr>
        <w:rFonts w:ascii="微软雅黑" w:hAnsi="微软雅黑" w:eastAsia="微软雅黑"/>
        <w:sz w:val="18"/>
      </w:rPr>
      <w:t>中烟国际集团有限公司官网周运维巡检清单及记录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F05E9B"/>
    <w:rsid w:val="269910A9"/>
    <w:rsid w:val="43F44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60" w:after="80"/>
      <w:outlineLvl w:val="0"/>
    </w:pPr>
    <w:rPr>
      <w:rFonts w:asciiTheme="majorHAnsi" w:hAnsiTheme="majorHAnsi" w:eastAsiaTheme="majorEastAsia" w:cstheme="majorBidi"/>
      <w:b/>
      <w:bCs/>
      <w:color w:val="1F4D78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b/>
      <w:bCs/>
      <w:color w:val="2E74B5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1701</Words>
  <Characters>1955</Characters>
  <Lines>0</Lines>
  <Paragraphs>0</Paragraphs>
  <TotalTime>0</TotalTime>
  <ScaleCrop>false</ScaleCrop>
  <LinksUpToDate>false</LinksUpToDate>
  <CharactersWithSpaces>2000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双艺</cp:lastModifiedBy>
  <dcterms:modified xsi:type="dcterms:W3CDTF">2026-06-05T07:18:17Z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eyJoZGlkIjoiOTY4ZjY4MTFlNzhmYzNkM2Q0NTMxMGMyMWI5NzMwNzIiLCJ1c2VySWQiOiI0NTA1MTI1ODgifQ==</vt:lpwstr>
  </property>
  <property fmtid="{D5CDD505-2E9C-101B-9397-08002B2CF9AE}" pid="3" name="KSOProductBuildVer">
    <vt:lpwstr>2052-12.1.0.26375</vt:lpwstr>
  </property>
  <property fmtid="{D5CDD505-2E9C-101B-9397-08002B2CF9AE}" pid="4" name="ICV">
    <vt:lpwstr>EA3D61F9EAE040659336CB31D0073161_12</vt:lpwstr>
  </property>
</Properties>
</file>