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7D108">
      <w:pPr>
        <w:jc w:val="center"/>
      </w:pPr>
      <w:r>
        <w:rPr>
          <w:rFonts w:ascii="微软雅黑" w:hAnsi="微软雅黑" w:eastAsia="微软雅黑"/>
          <w:b/>
          <w:sz w:val="48"/>
        </w:rPr>
        <w:t>中烟国际集团有限公司官网</w:t>
      </w:r>
      <w:r>
        <w:rPr>
          <w:rFonts w:ascii="微软雅黑" w:hAnsi="微软雅黑" w:eastAsia="微软雅黑"/>
          <w:b/>
          <w:sz w:val="48"/>
        </w:rPr>
        <w:br w:type="textWrapping"/>
      </w:r>
      <w:r>
        <w:rPr>
          <w:rFonts w:ascii="微软雅黑" w:hAnsi="微软雅黑" w:eastAsia="微软雅黑"/>
          <w:b/>
          <w:sz w:val="48"/>
        </w:rPr>
        <w:t>开发设计文档</w:t>
      </w:r>
    </w:p>
    <w:p w14:paraId="59CDE50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0E22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623EAF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73300E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B2F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5C0F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项目类型</w:t>
            </w:r>
          </w:p>
        </w:tc>
        <w:tc>
          <w:tcPr>
            <w:tcW w:w="4816" w:type="dxa"/>
            <w:vAlign w:val="center"/>
          </w:tcPr>
          <w:p w14:paraId="662E96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 3 + Vite 企业门户前端单页应用</w:t>
            </w:r>
          </w:p>
        </w:tc>
      </w:tr>
      <w:tr w14:paraId="6404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38BAA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代码仓库</w:t>
            </w:r>
          </w:p>
        </w:tc>
        <w:tc>
          <w:tcPr>
            <w:tcW w:w="4816" w:type="dxa"/>
            <w:vAlign w:val="center"/>
          </w:tcPr>
          <w:p w14:paraId="154872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tobacco.git（本文档不包含访问凭据）</w:t>
            </w:r>
          </w:p>
        </w:tc>
      </w:tr>
      <w:tr w14:paraId="3B688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ABA59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当前分支</w:t>
            </w:r>
          </w:p>
        </w:tc>
        <w:tc>
          <w:tcPr>
            <w:tcW w:w="4816" w:type="dxa"/>
            <w:vAlign w:val="center"/>
          </w:tcPr>
          <w:p w14:paraId="5B1BC1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master</w:t>
            </w:r>
          </w:p>
        </w:tc>
      </w:tr>
      <w:tr w14:paraId="2EBB4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71DD1E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当前提交</w:t>
            </w:r>
          </w:p>
        </w:tc>
        <w:tc>
          <w:tcPr>
            <w:tcW w:w="4816" w:type="dxa"/>
            <w:vAlign w:val="center"/>
          </w:tcPr>
          <w:p w14:paraId="3BEB2BBF">
            <w:pPr>
              <w:spacing w:after="0" w:line="240" w:lineRule="auto"/>
            </w:pPr>
          </w:p>
        </w:tc>
      </w:tr>
      <w:tr w14:paraId="3A9B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2D7EF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代码一致性</w:t>
            </w:r>
          </w:p>
        </w:tc>
        <w:tc>
          <w:tcPr>
            <w:tcW w:w="4816" w:type="dxa"/>
            <w:vAlign w:val="center"/>
          </w:tcPr>
          <w:p w14:paraId="2E6F71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已执行远程引用获取校验，本地 HEAD 与 origin/master 一致，源码工作区干净</w:t>
            </w:r>
          </w:p>
        </w:tc>
      </w:tr>
      <w:tr w14:paraId="69763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04697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w="4816" w:type="dxa"/>
            <w:vAlign w:val="center"/>
          </w:tcPr>
          <w:p w14:paraId="1231A6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</w:tr>
      <w:tr w14:paraId="2351E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2DC38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日期</w:t>
            </w:r>
          </w:p>
        </w:tc>
        <w:tc>
          <w:tcPr>
            <w:tcW w:w="4816" w:type="dxa"/>
            <w:vAlign w:val="center"/>
          </w:tcPr>
          <w:p w14:paraId="37887E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</w:tr>
      <w:tr w14:paraId="2C23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750C62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部署定位</w:t>
            </w:r>
          </w:p>
        </w:tc>
        <w:tc>
          <w:tcPr>
            <w:tcW w:w="4816" w:type="dxa"/>
            <w:vAlign w:val="center"/>
          </w:tcPr>
          <w:p w14:paraId="5989DF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面向云服务器静态站点部署，生产访问地址、端口、域名、证书与接口代理由服务器环境配置</w:t>
            </w:r>
          </w:p>
        </w:tc>
      </w:tr>
    </w:tbl>
    <w:p w14:paraId="7FD87346"/>
    <w:p w14:paraId="20844CD9">
      <w:r>
        <w:br w:type="page"/>
      </w:r>
    </w:p>
    <w:p w14:paraId="00ADB3D0">
      <w:pPr>
        <w:pStyle w:val="3"/>
      </w:pPr>
      <w:r>
        <w:t>目录</w:t>
      </w:r>
    </w:p>
    <w:p w14:paraId="28C4B36F">
      <w:r>
        <w:rPr>
          <w:rFonts w:ascii="微软雅黑" w:hAnsi="微软雅黑" w:eastAsia="微软雅黑"/>
          <w:sz w:val="21"/>
        </w:rPr>
        <w:t>1. 项目概述</w:t>
      </w:r>
    </w:p>
    <w:p w14:paraId="72EAE5A6">
      <w:r>
        <w:rPr>
          <w:rFonts w:ascii="微软雅黑" w:hAnsi="微软雅黑" w:eastAsia="微软雅黑"/>
          <w:sz w:val="21"/>
        </w:rPr>
        <w:t>2. 技术栈与依赖</w:t>
      </w:r>
    </w:p>
    <w:p w14:paraId="52CD4587">
      <w:r>
        <w:rPr>
          <w:rFonts w:ascii="微软雅黑" w:hAnsi="微软雅黑" w:eastAsia="微软雅黑"/>
          <w:sz w:val="21"/>
        </w:rPr>
        <w:t>3. 总体架构设计</w:t>
      </w:r>
    </w:p>
    <w:p w14:paraId="6F358E97">
      <w:r>
        <w:rPr>
          <w:rFonts w:ascii="微软雅黑" w:hAnsi="微软雅黑" w:eastAsia="微软雅黑"/>
          <w:sz w:val="21"/>
        </w:rPr>
        <w:t>4. 目录结构设计</w:t>
      </w:r>
    </w:p>
    <w:p w14:paraId="1F6CD3DC">
      <w:r>
        <w:rPr>
          <w:rFonts w:ascii="微软雅黑" w:hAnsi="微软雅黑" w:eastAsia="微软雅黑"/>
          <w:sz w:val="21"/>
        </w:rPr>
        <w:t>5. 路由与页面设计</w:t>
      </w:r>
    </w:p>
    <w:p w14:paraId="25D2888D">
      <w:r>
        <w:rPr>
          <w:rFonts w:ascii="微软雅黑" w:hAnsi="微软雅黑" w:eastAsia="微软雅黑"/>
          <w:sz w:val="21"/>
        </w:rPr>
        <w:t>6. 组件设计</w:t>
      </w:r>
    </w:p>
    <w:p w14:paraId="7BD67BA8">
      <w:r>
        <w:rPr>
          <w:rFonts w:ascii="微软雅黑" w:hAnsi="微软雅黑" w:eastAsia="微软雅黑"/>
          <w:sz w:val="21"/>
        </w:rPr>
        <w:t>7. 新闻内容设计</w:t>
      </w:r>
    </w:p>
    <w:p w14:paraId="1315D627">
      <w:r>
        <w:rPr>
          <w:rFonts w:ascii="微软雅黑" w:hAnsi="微软雅黑" w:eastAsia="微软雅黑"/>
          <w:sz w:val="21"/>
        </w:rPr>
        <w:t>8. 接口与数据设计</w:t>
      </w:r>
    </w:p>
    <w:p w14:paraId="7D03FBF1">
      <w:r>
        <w:rPr>
          <w:rFonts w:ascii="微软雅黑" w:hAnsi="微软雅黑" w:eastAsia="微软雅黑"/>
          <w:sz w:val="21"/>
        </w:rPr>
        <w:t>9. 国际化与状态管理</w:t>
      </w:r>
    </w:p>
    <w:p w14:paraId="317619C7">
      <w:r>
        <w:rPr>
          <w:rFonts w:ascii="微软雅黑" w:hAnsi="微软雅黑" w:eastAsia="微软雅黑"/>
          <w:sz w:val="21"/>
        </w:rPr>
        <w:t>10. 响应式与无障碍设计</w:t>
      </w:r>
    </w:p>
    <w:p w14:paraId="39D5458F">
      <w:r>
        <w:rPr>
          <w:rFonts w:ascii="微软雅黑" w:hAnsi="微软雅黑" w:eastAsia="微软雅黑"/>
          <w:sz w:val="21"/>
        </w:rPr>
        <w:t>11. 构建与云服务器部署设计</w:t>
      </w:r>
    </w:p>
    <w:p w14:paraId="00988952">
      <w:r>
        <w:rPr>
          <w:rFonts w:ascii="微软雅黑" w:hAnsi="微软雅黑" w:eastAsia="微软雅黑"/>
          <w:sz w:val="21"/>
        </w:rPr>
        <w:t>12. 测试验收方案</w:t>
      </w:r>
    </w:p>
    <w:p w14:paraId="00335377">
      <w:r>
        <w:rPr>
          <w:rFonts w:ascii="微软雅黑" w:hAnsi="微软雅黑" w:eastAsia="微软雅黑"/>
          <w:sz w:val="21"/>
        </w:rPr>
        <w:t>13. 风险与维护建议</w:t>
      </w:r>
    </w:p>
    <w:p w14:paraId="20F3EA17">
      <w:r>
        <w:rPr>
          <w:rFonts w:ascii="微软雅黑" w:hAnsi="微软雅黑" w:eastAsia="微软雅黑"/>
          <w:sz w:val="21"/>
        </w:rPr>
        <w:t>14. 附录</w:t>
      </w:r>
    </w:p>
    <w:p w14:paraId="46401206">
      <w:r>
        <w:br w:type="page"/>
      </w:r>
    </w:p>
    <w:p w14:paraId="31818D34">
      <w:pPr>
        <w:pStyle w:val="3"/>
      </w:pPr>
      <w:r>
        <w:t>1. 项目概述</w:t>
      </w:r>
    </w:p>
    <w:p w14:paraId="471F8860">
      <w:r>
        <w:rPr>
          <w:rFonts w:ascii="微软雅黑" w:hAnsi="微软雅黑" w:eastAsia="微软雅黑"/>
          <w:sz w:val="21"/>
        </w:rPr>
        <w:t>本项目为中烟国际集团有限公司官网前端，主要用于展示集团首页、集团概况、新闻动态、主营业务、人才招聘、联系方式和参控股企业等内容。项目采用 Vue 3 单页应用架构，构建产物为静态资源，可通过云服务器 Web 服务进行托管。</w:t>
      </w:r>
    </w:p>
    <w:p w14:paraId="2F14635F">
      <w:r>
        <w:rPr>
          <w:rFonts w:ascii="微软雅黑" w:hAnsi="微软雅黑" w:eastAsia="微软雅黑"/>
          <w:sz w:val="21"/>
        </w:rPr>
        <w:t>网站首屏包含“本人年满18岁声明”访问确认弹窗，符合烟草相关内容面向成年人访问的业务要求。站点支持简体中文、繁体中文、英文三种语言，其中新闻模块主要面向中文/繁体中文展示，英文版本隐藏新闻入口和首页新闻模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6B961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398689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7BF726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44E4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13F79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业务定位</w:t>
            </w:r>
          </w:p>
        </w:tc>
        <w:tc>
          <w:tcPr>
            <w:tcW w:w="4816" w:type="dxa"/>
            <w:vAlign w:val="center"/>
          </w:tcPr>
          <w:p w14:paraId="4BBF46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企业门户官网，承担公司形象展示、新闻发布、业务介绍和联系方式承载。</w:t>
            </w:r>
          </w:p>
        </w:tc>
      </w:tr>
      <w:tr w14:paraId="3B7DA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FDA07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目标用户</w:t>
            </w:r>
          </w:p>
        </w:tc>
        <w:tc>
          <w:tcPr>
            <w:tcW w:w="4816" w:type="dxa"/>
            <w:vAlign w:val="center"/>
          </w:tcPr>
          <w:p w14:paraId="3C11A4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公众访问者、合作方、投资/业务咨询用户、求职者、网站维护人员。</w:t>
            </w:r>
          </w:p>
        </w:tc>
      </w:tr>
      <w:tr w14:paraId="62F44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2D2C8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主要功能</w:t>
            </w:r>
          </w:p>
        </w:tc>
        <w:tc>
          <w:tcPr>
            <w:tcW w:w="4816" w:type="dxa"/>
            <w:vAlign w:val="center"/>
          </w:tcPr>
          <w:p w14:paraId="48799F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首页展示、新闻列表/详情、多语言切换、响应式布局、站内搜索、用户指南、年龄声明弹窗。</w:t>
            </w:r>
          </w:p>
        </w:tc>
      </w:tr>
      <w:tr w14:paraId="571E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B9C9C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运行形态</w:t>
            </w:r>
          </w:p>
        </w:tc>
        <w:tc>
          <w:tcPr>
            <w:tcW w:w="4816" w:type="dxa"/>
            <w:vAlign w:val="center"/>
          </w:tcPr>
          <w:p w14:paraId="7198D0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前端静态站点；接口通过 /api 统一访问，生产环境建议由云服务器反向代理转发。</w:t>
            </w:r>
          </w:p>
        </w:tc>
      </w:tr>
    </w:tbl>
    <w:p w14:paraId="5082B9D0"/>
    <w:p w14:paraId="2313D9DF">
      <w:pPr>
        <w:pStyle w:val="3"/>
      </w:pPr>
      <w:r>
        <w:t>2. 技术栈与依赖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4830D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06308A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3DB6AF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技术/工具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3FED8F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48B7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91763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核心框架</w:t>
            </w:r>
          </w:p>
        </w:tc>
        <w:tc>
          <w:tcPr>
            <w:tcW w:w="3211" w:type="dxa"/>
            <w:vAlign w:val="center"/>
          </w:tcPr>
          <w:p w14:paraId="61C77A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 3.3.4</w:t>
            </w:r>
          </w:p>
        </w:tc>
        <w:tc>
          <w:tcPr>
            <w:tcW w:w="3211" w:type="dxa"/>
            <w:vAlign w:val="center"/>
          </w:tcPr>
          <w:p w14:paraId="2F8B16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使用组合式 API 开发组件。</w:t>
            </w:r>
          </w:p>
        </w:tc>
      </w:tr>
      <w:tr w14:paraId="781F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BD4AD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构建工具</w:t>
            </w:r>
          </w:p>
        </w:tc>
        <w:tc>
          <w:tcPr>
            <w:tcW w:w="3211" w:type="dxa"/>
            <w:vAlign w:val="center"/>
          </w:tcPr>
          <w:p w14:paraId="3C9C0D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Vite 4.3.9</w:t>
            </w:r>
          </w:p>
        </w:tc>
        <w:tc>
          <w:tcPr>
            <w:tcW w:w="3211" w:type="dxa"/>
            <w:vAlign w:val="center"/>
          </w:tcPr>
          <w:p w14:paraId="77D26D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开发、构建、生产资源打包。</w:t>
            </w:r>
          </w:p>
        </w:tc>
      </w:tr>
      <w:tr w14:paraId="60D31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D37E7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路由</w:t>
            </w:r>
          </w:p>
        </w:tc>
        <w:tc>
          <w:tcPr>
            <w:tcW w:w="3211" w:type="dxa"/>
            <w:vAlign w:val="center"/>
          </w:tcPr>
          <w:p w14:paraId="1E8092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vue-router 4.2.2</w:t>
            </w:r>
          </w:p>
        </w:tc>
        <w:tc>
          <w:tcPr>
            <w:tcW w:w="3211" w:type="dxa"/>
            <w:vAlign w:val="center"/>
          </w:tcPr>
          <w:p w14:paraId="31960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history 模式单页路由。</w:t>
            </w:r>
          </w:p>
        </w:tc>
      </w:tr>
      <w:tr w14:paraId="7C66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804A6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状态管理</w:t>
            </w:r>
          </w:p>
        </w:tc>
        <w:tc>
          <w:tcPr>
            <w:tcW w:w="3211" w:type="dxa"/>
            <w:vAlign w:val="center"/>
          </w:tcPr>
          <w:p w14:paraId="3C3144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Pinia 2.1.4</w:t>
            </w:r>
          </w:p>
        </w:tc>
        <w:tc>
          <w:tcPr>
            <w:tcW w:w="3211" w:type="dxa"/>
            <w:vAlign w:val="center"/>
          </w:tcPr>
          <w:p w14:paraId="40EDC7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分类等共享状态管理。</w:t>
            </w:r>
          </w:p>
        </w:tc>
      </w:tr>
      <w:tr w14:paraId="667F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D41E4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UI 组件</w:t>
            </w:r>
          </w:p>
        </w:tc>
        <w:tc>
          <w:tcPr>
            <w:tcW w:w="3211" w:type="dxa"/>
            <w:vAlign w:val="center"/>
          </w:tcPr>
          <w:p w14:paraId="63B389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Element Plus 2.3.7</w:t>
            </w:r>
          </w:p>
        </w:tc>
        <w:tc>
          <w:tcPr>
            <w:tcW w:w="3211" w:type="dxa"/>
            <w:vAlign w:val="center"/>
          </w:tcPr>
          <w:p w14:paraId="13DEEE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抽屉、消息、统计等组件。</w:t>
            </w:r>
          </w:p>
        </w:tc>
      </w:tr>
      <w:tr w14:paraId="32DB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977A7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国际化</w:t>
            </w:r>
          </w:p>
        </w:tc>
        <w:tc>
          <w:tcPr>
            <w:tcW w:w="3211" w:type="dxa"/>
            <w:vAlign w:val="center"/>
          </w:tcPr>
          <w:p w14:paraId="4E1DC9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vue-i18n 10.0.0</w:t>
            </w:r>
          </w:p>
        </w:tc>
        <w:tc>
          <w:tcPr>
            <w:tcW w:w="3211" w:type="dxa"/>
            <w:vAlign w:val="center"/>
          </w:tcPr>
          <w:p w14:paraId="43753B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简体中文、繁体中文、英文语言包。</w:t>
            </w:r>
          </w:p>
        </w:tc>
      </w:tr>
      <w:tr w14:paraId="6EB6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4CBE0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HTTP</w:t>
            </w:r>
          </w:p>
        </w:tc>
        <w:tc>
          <w:tcPr>
            <w:tcW w:w="3211" w:type="dxa"/>
            <w:vAlign w:val="center"/>
          </w:tcPr>
          <w:p w14:paraId="00AFA6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axios 1.4.0</w:t>
            </w:r>
          </w:p>
        </w:tc>
        <w:tc>
          <w:tcPr>
            <w:tcW w:w="3211" w:type="dxa"/>
            <w:vAlign w:val="center"/>
          </w:tcPr>
          <w:p w14:paraId="222D46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统一请求实例与接口封装。</w:t>
            </w:r>
          </w:p>
        </w:tc>
      </w:tr>
      <w:tr w14:paraId="140E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781A9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样式与交互</w:t>
            </w:r>
          </w:p>
        </w:tc>
        <w:tc>
          <w:tcPr>
            <w:tcW w:w="3211" w:type="dxa"/>
            <w:vAlign w:val="center"/>
          </w:tcPr>
          <w:p w14:paraId="510C26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SCSS、animate.css、Font Awesome、Swiper、@vueuse/core</w:t>
            </w:r>
          </w:p>
        </w:tc>
        <w:tc>
          <w:tcPr>
            <w:tcW w:w="3211" w:type="dxa"/>
            <w:vAlign w:val="center"/>
          </w:tcPr>
          <w:p w14:paraId="701877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响应式布局、动效、图标、轮播、懒加载。</w:t>
            </w:r>
          </w:p>
        </w:tc>
      </w:tr>
    </w:tbl>
    <w:p w14:paraId="341B373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61495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166B71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脚本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7A8C37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6B7AFE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生产部署建议</w:t>
            </w:r>
          </w:p>
        </w:tc>
      </w:tr>
      <w:tr w14:paraId="7744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8AC22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npm install</w:t>
            </w:r>
          </w:p>
        </w:tc>
        <w:tc>
          <w:tcPr>
            <w:tcW w:w="3211" w:type="dxa"/>
            <w:vAlign w:val="center"/>
          </w:tcPr>
          <w:p w14:paraId="294D71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安装依赖</w:t>
            </w:r>
          </w:p>
        </w:tc>
        <w:tc>
          <w:tcPr>
            <w:tcW w:w="3211" w:type="dxa"/>
            <w:vAlign w:val="center"/>
          </w:tcPr>
          <w:p w14:paraId="2AFAF6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首次构建或依赖变更时执行。</w:t>
            </w:r>
          </w:p>
        </w:tc>
      </w:tr>
      <w:tr w14:paraId="64AB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2A1E6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npm run dev</w:t>
            </w:r>
          </w:p>
        </w:tc>
        <w:tc>
          <w:tcPr>
            <w:tcW w:w="3211" w:type="dxa"/>
            <w:vAlign w:val="center"/>
          </w:tcPr>
          <w:p w14:paraId="57F16D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开发调试服务</w:t>
            </w:r>
          </w:p>
        </w:tc>
        <w:tc>
          <w:tcPr>
            <w:tcW w:w="3211" w:type="dxa"/>
            <w:vAlign w:val="center"/>
          </w:tcPr>
          <w:p w14:paraId="032C3A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仅用于开发环境，生产部署不使用开发服务承载访问。</w:t>
            </w:r>
          </w:p>
        </w:tc>
      </w:tr>
      <w:tr w14:paraId="3E79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89F8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npm run build</w:t>
            </w:r>
          </w:p>
        </w:tc>
        <w:tc>
          <w:tcPr>
            <w:tcW w:w="3211" w:type="dxa"/>
            <w:vAlign w:val="center"/>
          </w:tcPr>
          <w:p w14:paraId="0D7E9F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生产构建</w:t>
            </w:r>
          </w:p>
        </w:tc>
        <w:tc>
          <w:tcPr>
            <w:tcW w:w="3211" w:type="dxa"/>
            <w:vAlign w:val="center"/>
          </w:tcPr>
          <w:p w14:paraId="4C20D9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 tobacco 静态目录，推荐作为云服务器发布目录。</w:t>
            </w:r>
          </w:p>
        </w:tc>
      </w:tr>
      <w:tr w14:paraId="71705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6BBDF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npm run preview</w:t>
            </w:r>
          </w:p>
        </w:tc>
        <w:tc>
          <w:tcPr>
            <w:tcW w:w="3211" w:type="dxa"/>
            <w:vAlign w:val="center"/>
          </w:tcPr>
          <w:p w14:paraId="14627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构建产物预览</w:t>
            </w:r>
          </w:p>
        </w:tc>
        <w:tc>
          <w:tcPr>
            <w:tcW w:w="3211" w:type="dxa"/>
            <w:vAlign w:val="center"/>
          </w:tcPr>
          <w:p w14:paraId="221577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用于部署前预览检查，生产环境以 Web 服务托管静态目录。</w:t>
            </w:r>
          </w:p>
        </w:tc>
      </w:tr>
      <w:tr w14:paraId="24FB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D8F1D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npm run lint</w:t>
            </w:r>
          </w:p>
        </w:tc>
        <w:tc>
          <w:tcPr>
            <w:tcW w:w="3211" w:type="dxa"/>
            <w:vAlign w:val="center"/>
          </w:tcPr>
          <w:p w14:paraId="33ED6D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代码规范检查</w:t>
            </w:r>
          </w:p>
        </w:tc>
        <w:tc>
          <w:tcPr>
            <w:tcW w:w="3211" w:type="dxa"/>
            <w:vAlign w:val="center"/>
          </w:tcPr>
          <w:p w14:paraId="263C7A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发布前建议执行；当前配置忽略 assets、portalSite/assets、tobacco。</w:t>
            </w:r>
          </w:p>
        </w:tc>
      </w:tr>
    </w:tbl>
    <w:p w14:paraId="2BCF456A"/>
    <w:p w14:paraId="417B184B">
      <w:pPr>
        <w:pStyle w:val="3"/>
      </w:pPr>
      <w:r>
        <w:t>3. 总体架构设计</w:t>
      </w:r>
    </w:p>
    <w:p w14:paraId="3CD1B3C3">
      <w:r>
        <w:rPr>
          <w:rFonts w:ascii="微软雅黑" w:hAnsi="微软雅黑" w:eastAsia="微软雅黑"/>
          <w:sz w:val="21"/>
        </w:rPr>
        <w:t>系统采用前端分层架构：入口层负责应用初始化；路由层负责页面切换；页面层承载业务视图；公共组件层提供页眉、页脚、语言切换、搜索和快捷导航；数据层封装 API 与静态内容；工具层提供语言、HTTP、懒加载和键盘导航能力。</w:t>
      </w:r>
    </w:p>
    <w:p w14:paraId="64F6F1D4">
      <w:r>
        <w:rPr>
          <w:rFonts w:ascii="Consolas" w:hAnsi="Consolas"/>
          <w:sz w:val="18"/>
        </w:rPr>
        <w:t>用户浏览器 -&gt; 云服务器 Web 服务 -&gt; 静态资源 index.html/assets -&gt; Vue 应用初始化 -&gt; Router 页面匹配 -&gt; views 页面组件 -&gt; i18n 静态内容或 /api 接口 -&gt; 后端服务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2A6B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54F74B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429DE1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主要文件/目录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583EAD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 w14:paraId="146B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755AB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入口层</w:t>
            </w:r>
          </w:p>
        </w:tc>
        <w:tc>
          <w:tcPr>
            <w:tcW w:w="3211" w:type="dxa"/>
            <w:vAlign w:val="center"/>
          </w:tcPr>
          <w:p w14:paraId="18DD8A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src/main.js、src/App.vue</w:t>
            </w:r>
          </w:p>
        </w:tc>
        <w:tc>
          <w:tcPr>
            <w:tcW w:w="3211" w:type="dxa"/>
            <w:vAlign w:val="center"/>
          </w:tcPr>
          <w:p w14:paraId="1D4E62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初始化 Vue、插件、全局样式；提供年龄声明弹窗与 RouterView。</w:t>
            </w:r>
          </w:p>
        </w:tc>
      </w:tr>
      <w:tr w14:paraId="17828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DF5D5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路由层</w:t>
            </w:r>
          </w:p>
        </w:tc>
        <w:tc>
          <w:tcPr>
            <w:tcW w:w="3211" w:type="dxa"/>
            <w:vAlign w:val="center"/>
          </w:tcPr>
          <w:p w14:paraId="6AF5AB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src/router/index.js</w:t>
            </w:r>
          </w:p>
        </w:tc>
        <w:tc>
          <w:tcPr>
            <w:tcW w:w="3211" w:type="dxa"/>
            <w:vAlign w:val="center"/>
          </w:tcPr>
          <w:p w14:paraId="520606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配置 history 路由；路由跳转时同步语言状态。</w:t>
            </w:r>
          </w:p>
        </w:tc>
      </w:tr>
      <w:tr w14:paraId="16C07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D0BF2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页面层</w:t>
            </w:r>
          </w:p>
        </w:tc>
        <w:tc>
          <w:tcPr>
            <w:tcW w:w="3211" w:type="dxa"/>
            <w:vAlign w:val="center"/>
          </w:tcPr>
          <w:p w14:paraId="4816DD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src/views/*.vue</w:t>
            </w:r>
          </w:p>
        </w:tc>
        <w:tc>
          <w:tcPr>
            <w:tcW w:w="3211" w:type="dxa"/>
            <w:vAlign w:val="center"/>
          </w:tcPr>
          <w:p w14:paraId="11D0C2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首页、新闻、业务、招聘、联系、详情等页面。</w:t>
            </w:r>
          </w:p>
        </w:tc>
      </w:tr>
      <w:tr w14:paraId="22A85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ABCD6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组件层</w:t>
            </w:r>
          </w:p>
        </w:tc>
        <w:tc>
          <w:tcPr>
            <w:tcW w:w="3211" w:type="dxa"/>
            <w:vAlign w:val="center"/>
          </w:tcPr>
          <w:p w14:paraId="413385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src/components/common、src/views/components</w:t>
            </w:r>
          </w:p>
        </w:tc>
        <w:tc>
          <w:tcPr>
            <w:tcW w:w="3211" w:type="dxa"/>
            <w:vAlign w:val="center"/>
          </w:tcPr>
          <w:p w14:paraId="4FD0EE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Header、Footer、LanguageSwitcher、SiteSearch、用户指南等复用组件。</w:t>
            </w:r>
          </w:p>
        </w:tc>
      </w:tr>
      <w:tr w14:paraId="5CD78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DE05B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数据层</w:t>
            </w:r>
          </w:p>
        </w:tc>
        <w:tc>
          <w:tcPr>
            <w:tcW w:w="3211" w:type="dxa"/>
            <w:vAlign w:val="center"/>
          </w:tcPr>
          <w:p w14:paraId="27DD54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i18n/locales、src/apis、src/utils/http.js</w:t>
            </w:r>
          </w:p>
        </w:tc>
        <w:tc>
          <w:tcPr>
            <w:tcW w:w="3211" w:type="dxa"/>
            <w:vAlign w:val="center"/>
          </w:tcPr>
          <w:p w14:paraId="2DE06E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静态文案、新闻数据、接口封装和统一请求。</w:t>
            </w:r>
          </w:p>
        </w:tc>
      </w:tr>
      <w:tr w14:paraId="5E075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70A95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工具层</w:t>
            </w:r>
          </w:p>
        </w:tc>
        <w:tc>
          <w:tcPr>
            <w:tcW w:w="3211" w:type="dxa"/>
            <w:vAlign w:val="center"/>
          </w:tcPr>
          <w:p w14:paraId="50C23F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src/utils、src/directives、src/composables</w:t>
            </w:r>
          </w:p>
        </w:tc>
        <w:tc>
          <w:tcPr>
            <w:tcW w:w="3211" w:type="dxa"/>
            <w:vAlign w:val="center"/>
          </w:tcPr>
          <w:p w14:paraId="76B2ED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语言管理、懒加载、键盘导航和 DOM 辅助能力。</w:t>
            </w:r>
          </w:p>
        </w:tc>
      </w:tr>
    </w:tbl>
    <w:p w14:paraId="7C706F2B"/>
    <w:p w14:paraId="4DDBC3C8">
      <w:pPr>
        <w:pStyle w:val="3"/>
      </w:pPr>
      <w:r>
        <w:t>4. 目录结构设计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05C07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78DF23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目录/文件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78E61A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45C34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70A10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src/main.js</w:t>
            </w:r>
          </w:p>
        </w:tc>
        <w:tc>
          <w:tcPr>
            <w:tcW w:w="4816" w:type="dxa"/>
            <w:vAlign w:val="center"/>
          </w:tcPr>
          <w:p w14:paraId="65B925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应用入口，注册 Router、Pinia、Element Plus、i18n、懒加载指令和全局样式。</w:t>
            </w:r>
          </w:p>
        </w:tc>
      </w:tr>
      <w:tr w14:paraId="588B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4C211D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src/App.vue</w:t>
            </w:r>
          </w:p>
        </w:tc>
        <w:tc>
          <w:tcPr>
            <w:tcW w:w="4816" w:type="dxa"/>
            <w:vAlign w:val="center"/>
          </w:tcPr>
          <w:p w14:paraId="6F51A5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根组件，展示成年人访问声明弹窗。</w:t>
            </w:r>
          </w:p>
        </w:tc>
      </w:tr>
      <w:tr w14:paraId="32502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F1D65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src/router</w:t>
            </w:r>
          </w:p>
        </w:tc>
        <w:tc>
          <w:tcPr>
            <w:tcW w:w="4816" w:type="dxa"/>
            <w:vAlign w:val="center"/>
          </w:tcPr>
          <w:p w14:paraId="1538AF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路由配置与语言同步守卫。</w:t>
            </w:r>
          </w:p>
        </w:tc>
      </w:tr>
      <w:tr w14:paraId="78E52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7A97A1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src/views</w:t>
            </w:r>
          </w:p>
        </w:tc>
        <w:tc>
          <w:tcPr>
            <w:tcW w:w="4816" w:type="dxa"/>
            <w:vAlign w:val="center"/>
          </w:tcPr>
          <w:p w14:paraId="4AE952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页面级业务组件。</w:t>
            </w:r>
          </w:p>
        </w:tc>
      </w:tr>
      <w:tr w14:paraId="7E4AA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0839F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src/components/common</w:t>
            </w:r>
          </w:p>
        </w:tc>
        <w:tc>
          <w:tcPr>
            <w:tcW w:w="4816" w:type="dxa"/>
            <w:vAlign w:val="center"/>
          </w:tcPr>
          <w:p w14:paraId="20813A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公共布局、页眉、页脚。</w:t>
            </w:r>
          </w:p>
        </w:tc>
      </w:tr>
      <w:tr w14:paraId="3E9BA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DFFF5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src/views/components</w:t>
            </w:r>
          </w:p>
        </w:tc>
        <w:tc>
          <w:tcPr>
            <w:tcW w:w="4816" w:type="dxa"/>
            <w:vAlign w:val="center"/>
          </w:tcPr>
          <w:p w14:paraId="58F8C0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语言切换、站内搜索、用户指南等页面复用组件。</w:t>
            </w:r>
          </w:p>
        </w:tc>
      </w:tr>
      <w:tr w14:paraId="062E1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471C2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src/apis</w:t>
            </w:r>
          </w:p>
        </w:tc>
        <w:tc>
          <w:tcPr>
            <w:tcW w:w="4816" w:type="dxa"/>
            <w:vAlign w:val="center"/>
          </w:tcPr>
          <w:p w14:paraId="08897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远端接口函数，按业务模块拆分。</w:t>
            </w:r>
          </w:p>
        </w:tc>
      </w:tr>
      <w:tr w14:paraId="105D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E651B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src/utils</w:t>
            </w:r>
          </w:p>
        </w:tc>
        <w:tc>
          <w:tcPr>
            <w:tcW w:w="4816" w:type="dxa"/>
            <w:vAlign w:val="center"/>
          </w:tcPr>
          <w:p w14:paraId="7AD267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HTTP 封装、语言管理、DOM 工具。</w:t>
            </w:r>
          </w:p>
        </w:tc>
      </w:tr>
      <w:tr w14:paraId="30FBB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28BC8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src/stores</w:t>
            </w:r>
          </w:p>
        </w:tc>
        <w:tc>
          <w:tcPr>
            <w:tcW w:w="4816" w:type="dxa"/>
            <w:vAlign w:val="center"/>
          </w:tcPr>
          <w:p w14:paraId="1999C6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Pinia store。</w:t>
            </w:r>
          </w:p>
        </w:tc>
      </w:tr>
      <w:tr w14:paraId="542D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92EFD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src/styles</w:t>
            </w:r>
          </w:p>
        </w:tc>
        <w:tc>
          <w:tcPr>
            <w:tcW w:w="4816" w:type="dxa"/>
            <w:vAlign w:val="center"/>
          </w:tcPr>
          <w:p w14:paraId="3193BE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响应式断点、工具类和主样式。</w:t>
            </w:r>
          </w:p>
        </w:tc>
      </w:tr>
      <w:tr w14:paraId="5723A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369C55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src/assets</w:t>
            </w:r>
          </w:p>
        </w:tc>
        <w:tc>
          <w:tcPr>
            <w:tcW w:w="4816" w:type="dxa"/>
            <w:vAlign w:val="center"/>
          </w:tcPr>
          <w:p w14:paraId="44F998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图片、字体、CSS 等源资源。</w:t>
            </w:r>
          </w:p>
        </w:tc>
      </w:tr>
      <w:tr w14:paraId="60C4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5C3B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i18n/locales</w:t>
            </w:r>
          </w:p>
        </w:tc>
        <w:tc>
          <w:tcPr>
            <w:tcW w:w="4816" w:type="dxa"/>
            <w:vAlign w:val="center"/>
          </w:tcPr>
          <w:p w14:paraId="5EDD45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简体、繁体、英文语言包和静态新闻数据。</w:t>
            </w:r>
          </w:p>
        </w:tc>
      </w:tr>
      <w:tr w14:paraId="50EF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E9D9C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tobacco</w:t>
            </w:r>
          </w:p>
        </w:tc>
        <w:tc>
          <w:tcPr>
            <w:tcW w:w="4816" w:type="dxa"/>
            <w:vAlign w:val="center"/>
          </w:tcPr>
          <w:p w14:paraId="4A9062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Vite 生产构建输出目录，云服务器部署时发布该目录内容。</w:t>
            </w:r>
          </w:p>
        </w:tc>
      </w:tr>
      <w:tr w14:paraId="3E821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4F64C5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portalSite</w:t>
            </w:r>
          </w:p>
        </w:tc>
        <w:tc>
          <w:tcPr>
            <w:tcW w:w="4816" w:type="dxa"/>
            <w:vAlign w:val="center"/>
          </w:tcPr>
          <w:p w14:paraId="343CC3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历史/归档门户静态产物目录，非当前主构建入口。</w:t>
            </w:r>
          </w:p>
        </w:tc>
      </w:tr>
    </w:tbl>
    <w:p w14:paraId="371E2600"/>
    <w:p w14:paraId="61D6C90F">
      <w:pPr>
        <w:pStyle w:val="3"/>
      </w:pPr>
      <w:r>
        <w:t>5. 路由与页面设计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27AC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687BD7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路由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51BC47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组件/行为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28C9E4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页面职责</w:t>
            </w:r>
          </w:p>
        </w:tc>
      </w:tr>
      <w:tr w14:paraId="0217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E4F5A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</w:p>
        </w:tc>
        <w:tc>
          <w:tcPr>
            <w:tcW w:w="3211" w:type="dxa"/>
            <w:vAlign w:val="center"/>
          </w:tcPr>
          <w:p w14:paraId="26C801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重定向到 /index</w:t>
            </w:r>
          </w:p>
        </w:tc>
        <w:tc>
          <w:tcPr>
            <w:tcW w:w="3211" w:type="dxa"/>
            <w:vAlign w:val="center"/>
          </w:tcPr>
          <w:p w14:paraId="32EA9B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站点入口</w:t>
            </w:r>
          </w:p>
        </w:tc>
      </w:tr>
      <w:tr w14:paraId="4BE5A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9A480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/index</w:t>
            </w:r>
          </w:p>
        </w:tc>
        <w:tc>
          <w:tcPr>
            <w:tcW w:w="3211" w:type="dxa"/>
            <w:vAlign w:val="center"/>
          </w:tcPr>
          <w:p w14:paraId="432824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IndexView.vue</w:t>
            </w:r>
          </w:p>
        </w:tc>
        <w:tc>
          <w:tcPr>
            <w:tcW w:w="3211" w:type="dxa"/>
            <w:vAlign w:val="center"/>
          </w:tcPr>
          <w:p w14:paraId="491930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首页：主视觉轮播、新闻动态、业务介绍、集团入口、页眉页脚</w:t>
            </w:r>
          </w:p>
        </w:tc>
      </w:tr>
      <w:tr w14:paraId="7DBEB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1FB21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/overview</w:t>
            </w:r>
          </w:p>
        </w:tc>
        <w:tc>
          <w:tcPr>
            <w:tcW w:w="3211" w:type="dxa"/>
            <w:vAlign w:val="center"/>
          </w:tcPr>
          <w:p w14:paraId="6A1586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Solution.vue</w:t>
            </w:r>
          </w:p>
        </w:tc>
        <w:tc>
          <w:tcPr>
            <w:tcW w:w="3211" w:type="dxa"/>
            <w:vAlign w:val="center"/>
          </w:tcPr>
          <w:p w14:paraId="50410D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集团概况/公司概况展示</w:t>
            </w:r>
          </w:p>
        </w:tc>
      </w:tr>
      <w:tr w14:paraId="120CA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6D68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/news</w:t>
            </w:r>
          </w:p>
        </w:tc>
        <w:tc>
          <w:tcPr>
            <w:tcW w:w="3211" w:type="dxa"/>
            <w:vAlign w:val="center"/>
          </w:tcPr>
          <w:p w14:paraId="7323DF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news.vue</w:t>
            </w:r>
          </w:p>
        </w:tc>
        <w:tc>
          <w:tcPr>
            <w:tcW w:w="3211" w:type="dxa"/>
            <w:vAlign w:val="center"/>
          </w:tcPr>
          <w:p w14:paraId="366269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新闻列表，数据来自 i18n newsList</w:t>
            </w:r>
          </w:p>
        </w:tc>
      </w:tr>
      <w:tr w14:paraId="4BC6E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23989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/newsDetail/:id?</w:t>
            </w:r>
          </w:p>
        </w:tc>
        <w:tc>
          <w:tcPr>
            <w:tcW w:w="3211" w:type="dxa"/>
            <w:vAlign w:val="center"/>
          </w:tcPr>
          <w:p w14:paraId="4B8C61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newsDetail.vue</w:t>
            </w:r>
          </w:p>
        </w:tc>
        <w:tc>
          <w:tcPr>
            <w:tcW w:w="3211" w:type="dxa"/>
            <w:vAlign w:val="center"/>
          </w:tcPr>
          <w:p w14:paraId="604A51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新闻详情，按新闻 id 展示标题、日期、图片、正文</w:t>
            </w:r>
          </w:p>
        </w:tc>
      </w:tr>
      <w:tr w14:paraId="43B7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5A220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/MainBusiness</w:t>
            </w:r>
          </w:p>
        </w:tc>
        <w:tc>
          <w:tcPr>
            <w:tcW w:w="3211" w:type="dxa"/>
            <w:vAlign w:val="center"/>
          </w:tcPr>
          <w:p w14:paraId="483F2C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MainBusiness.vue</w:t>
            </w:r>
          </w:p>
        </w:tc>
        <w:tc>
          <w:tcPr>
            <w:tcW w:w="3211" w:type="dxa"/>
            <w:vAlign w:val="center"/>
          </w:tcPr>
          <w:p w14:paraId="5369AC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主营业务页面</w:t>
            </w:r>
          </w:p>
        </w:tc>
      </w:tr>
      <w:tr w14:paraId="64D36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8497B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/JoinUs</w:t>
            </w:r>
          </w:p>
        </w:tc>
        <w:tc>
          <w:tcPr>
            <w:tcW w:w="3211" w:type="dxa"/>
            <w:vAlign w:val="center"/>
          </w:tcPr>
          <w:p w14:paraId="26E4B8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JoinUs.vue</w:t>
            </w:r>
          </w:p>
        </w:tc>
        <w:tc>
          <w:tcPr>
            <w:tcW w:w="3211" w:type="dxa"/>
            <w:vAlign w:val="center"/>
          </w:tcPr>
          <w:p w14:paraId="527A7A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人才招聘页面</w:t>
            </w:r>
          </w:p>
        </w:tc>
      </w:tr>
      <w:tr w14:paraId="6D4A8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DC9F9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/ContactInformation</w:t>
            </w:r>
          </w:p>
        </w:tc>
        <w:tc>
          <w:tcPr>
            <w:tcW w:w="3211" w:type="dxa"/>
            <w:vAlign w:val="center"/>
          </w:tcPr>
          <w:p w14:paraId="2AFAB3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ContactInformation.vue</w:t>
            </w:r>
          </w:p>
        </w:tc>
        <w:tc>
          <w:tcPr>
            <w:tcW w:w="3211" w:type="dxa"/>
            <w:vAlign w:val="center"/>
          </w:tcPr>
          <w:p w14:paraId="07C758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联系我们页面</w:t>
            </w:r>
          </w:p>
        </w:tc>
      </w:tr>
      <w:tr w14:paraId="0D907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A5ED8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/subGroup/:id?</w:t>
            </w:r>
          </w:p>
        </w:tc>
        <w:tc>
          <w:tcPr>
            <w:tcW w:w="3211" w:type="dxa"/>
            <w:vAlign w:val="center"/>
          </w:tcPr>
          <w:p w14:paraId="14810B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SubGroup.vue</w:t>
            </w:r>
          </w:p>
        </w:tc>
        <w:tc>
          <w:tcPr>
            <w:tcW w:w="3211" w:type="dxa"/>
            <w:vAlign w:val="center"/>
          </w:tcPr>
          <w:p w14:paraId="11EA5A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参控股企业/子栏目详情</w:t>
            </w:r>
          </w:p>
        </w:tc>
      </w:tr>
      <w:tr w14:paraId="0532D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F0688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</w:t>
            </w:r>
          </w:p>
        </w:tc>
        <w:tc>
          <w:tcPr>
            <w:tcW w:w="3211" w:type="dxa"/>
            <w:vAlign w:val="center"/>
          </w:tcPr>
          <w:p w14:paraId="638EFB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ProductView.vue</w:t>
            </w:r>
          </w:p>
        </w:tc>
        <w:tc>
          <w:tcPr>
            <w:tcW w:w="3211" w:type="dxa"/>
            <w:vAlign w:val="center"/>
          </w:tcPr>
          <w:p w14:paraId="74EBF2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产品/业务分类展示，当前保留路由</w:t>
            </w:r>
          </w:p>
        </w:tc>
      </w:tr>
      <w:tr w14:paraId="1D67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E29C9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/product/productId</w:t>
            </w:r>
          </w:p>
        </w:tc>
        <w:tc>
          <w:tcPr>
            <w:tcW w:w="3211" w:type="dxa"/>
            <w:vAlign w:val="center"/>
          </w:tcPr>
          <w:p w14:paraId="26678E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ProductDetailsView.vue</w:t>
            </w:r>
          </w:p>
        </w:tc>
        <w:tc>
          <w:tcPr>
            <w:tcW w:w="3211" w:type="dxa"/>
            <w:vAlign w:val="center"/>
          </w:tcPr>
          <w:p w14:paraId="4929B4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产品详情，当前保留路由</w:t>
            </w:r>
          </w:p>
        </w:tc>
      </w:tr>
      <w:tr w14:paraId="2E197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5A2F3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/example</w:t>
            </w:r>
          </w:p>
        </w:tc>
        <w:tc>
          <w:tcPr>
            <w:tcW w:w="3211" w:type="dxa"/>
            <w:vAlign w:val="center"/>
          </w:tcPr>
          <w:p w14:paraId="01F563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ExampleView.vue</w:t>
            </w:r>
          </w:p>
        </w:tc>
        <w:tc>
          <w:tcPr>
            <w:tcW w:w="3211" w:type="dxa"/>
            <w:vAlign w:val="center"/>
          </w:tcPr>
          <w:p w14:paraId="3FE18C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案例展示，当前保留路由</w:t>
            </w:r>
          </w:p>
        </w:tc>
      </w:tr>
      <w:tr w14:paraId="222A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3261F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/about</w:t>
            </w:r>
          </w:p>
        </w:tc>
        <w:tc>
          <w:tcPr>
            <w:tcW w:w="3211" w:type="dxa"/>
            <w:vAlign w:val="center"/>
          </w:tcPr>
          <w:p w14:paraId="63AC3D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AboutView.vue</w:t>
            </w:r>
          </w:p>
        </w:tc>
        <w:tc>
          <w:tcPr>
            <w:tcW w:w="3211" w:type="dxa"/>
            <w:vAlign w:val="center"/>
          </w:tcPr>
          <w:p w14:paraId="40BDB5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关于页面，当前保留路由</w:t>
            </w:r>
          </w:p>
        </w:tc>
      </w:tr>
      <w:tr w14:paraId="0C0BC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02965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/news/newsId</w:t>
            </w:r>
          </w:p>
        </w:tc>
        <w:tc>
          <w:tcPr>
            <w:tcW w:w="3211" w:type="dxa"/>
            <w:vAlign w:val="center"/>
          </w:tcPr>
          <w:p w14:paraId="23C8C2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NewsDetailsView.vue</w:t>
            </w:r>
          </w:p>
        </w:tc>
        <w:tc>
          <w:tcPr>
            <w:tcW w:w="3211" w:type="dxa"/>
            <w:vAlign w:val="center"/>
          </w:tcPr>
          <w:p w14:paraId="647ECA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旧版新闻详情，当前保留路由</w:t>
            </w:r>
          </w:p>
        </w:tc>
      </w:tr>
    </w:tbl>
    <w:p w14:paraId="286AB283"/>
    <w:p w14:paraId="11193BAB">
      <w:r>
        <w:rPr>
          <w:rFonts w:ascii="微软雅黑" w:hAnsi="微软雅黑" w:eastAsia="微软雅黑"/>
          <w:sz w:val="21"/>
        </w:rPr>
        <w:t>项目使用 createWebHistory。部署到云服务器时，Web 服务必须配置 SPA 路由回退，把非真实文件路径回退到 index.html，否则刷新新闻详情、主营业务等深层路由可能返回服务器 404。</w:t>
      </w:r>
    </w:p>
    <w:p w14:paraId="2412CBB8">
      <w:pPr>
        <w:pStyle w:val="3"/>
      </w:pPr>
      <w:r>
        <w:t>6. 组件设计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8"/>
        <w:gridCol w:w="2917"/>
        <w:gridCol w:w="3063"/>
      </w:tblGrid>
      <w:tr w14:paraId="12F5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7D26E9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23904B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7134F1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设计说明</w:t>
            </w:r>
          </w:p>
        </w:tc>
      </w:tr>
      <w:tr w14:paraId="7146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C7FA1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App.vue</w:t>
            </w:r>
          </w:p>
        </w:tc>
        <w:tc>
          <w:tcPr>
            <w:tcW w:w="3211" w:type="dxa"/>
            <w:vAlign w:val="center"/>
          </w:tcPr>
          <w:p w14:paraId="63397C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根组件</w:t>
            </w:r>
          </w:p>
        </w:tc>
        <w:tc>
          <w:tcPr>
            <w:tcW w:w="3211" w:type="dxa"/>
            <w:vAlign w:val="center"/>
          </w:tcPr>
          <w:p w14:paraId="795737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 18 岁以上访问声明弹窗；支持 Tab、方向键、Enter 的基础键盘操作。</w:t>
            </w:r>
          </w:p>
        </w:tc>
      </w:tr>
      <w:tr w14:paraId="6306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631A2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main.js</w:t>
            </w:r>
          </w:p>
        </w:tc>
        <w:tc>
          <w:tcPr>
            <w:tcW w:w="3211" w:type="dxa"/>
            <w:vAlign w:val="center"/>
          </w:tcPr>
          <w:p w14:paraId="5E6B35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应用入口</w:t>
            </w:r>
          </w:p>
        </w:tc>
        <w:tc>
          <w:tcPr>
            <w:tcW w:w="3211" w:type="dxa"/>
            <w:vAlign w:val="center"/>
          </w:tcPr>
          <w:p w14:paraId="4B3164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注册 Vue Router、Pinia、Element Plus、i18n、懒加载指令、全局样式。</w:t>
            </w:r>
          </w:p>
        </w:tc>
      </w:tr>
      <w:tr w14:paraId="28587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43A3F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components/common/Layout.vue</w:t>
            </w:r>
          </w:p>
        </w:tc>
        <w:tc>
          <w:tcPr>
            <w:tcW w:w="3211" w:type="dxa"/>
            <w:vAlign w:val="center"/>
          </w:tcPr>
          <w:p w14:paraId="3D51D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公共布局</w:t>
            </w:r>
          </w:p>
        </w:tc>
        <w:tc>
          <w:tcPr>
            <w:tcW w:w="3211" w:type="dxa"/>
            <w:vAlign w:val="center"/>
          </w:tcPr>
          <w:p w14:paraId="3446DE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 Header、页面内容插槽、FooterNew，并启用全局键盘导航。</w:t>
            </w:r>
          </w:p>
        </w:tc>
      </w:tr>
      <w:tr w14:paraId="1FED6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D7647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components/common/header/Header.vue</w:t>
            </w:r>
          </w:p>
        </w:tc>
        <w:tc>
          <w:tcPr>
            <w:tcW w:w="3211" w:type="dxa"/>
            <w:vAlign w:val="center"/>
          </w:tcPr>
          <w:p w14:paraId="15CA56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页眉导航</w:t>
            </w:r>
          </w:p>
        </w:tc>
        <w:tc>
          <w:tcPr>
            <w:tcW w:w="3211" w:type="dxa"/>
            <w:vAlign w:val="center"/>
          </w:tcPr>
          <w:p w14:paraId="7D98E9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Logo、桌面导航、移动端抽屉菜单、语言切换、站内搜索入口。英文模式下隐藏新闻栏目。</w:t>
            </w:r>
          </w:p>
        </w:tc>
      </w:tr>
      <w:tr w14:paraId="5BFF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CDD03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components/common/footer/Footer.vue / FooterNew.vue</w:t>
            </w:r>
          </w:p>
        </w:tc>
        <w:tc>
          <w:tcPr>
            <w:tcW w:w="3211" w:type="dxa"/>
            <w:vAlign w:val="center"/>
          </w:tcPr>
          <w:p w14:paraId="68215A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页脚</w:t>
            </w:r>
          </w:p>
        </w:tc>
        <w:tc>
          <w:tcPr>
            <w:tcW w:w="3211" w:type="dxa"/>
            <w:vAlign w:val="center"/>
          </w:tcPr>
          <w:p w14:paraId="0322B0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免责声明、隐私政策、版权、健康提示、站内搜索等入口。</w:t>
            </w:r>
          </w:p>
        </w:tc>
      </w:tr>
      <w:tr w14:paraId="3962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E8045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views/components/LanguageSwitcher.vue</w:t>
            </w:r>
          </w:p>
        </w:tc>
        <w:tc>
          <w:tcPr>
            <w:tcW w:w="3211" w:type="dxa"/>
            <w:vAlign w:val="center"/>
          </w:tcPr>
          <w:p w14:paraId="592513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语言切换</w:t>
            </w:r>
          </w:p>
        </w:tc>
        <w:tc>
          <w:tcPr>
            <w:tcW w:w="3211" w:type="dxa"/>
            <w:vAlign w:val="center"/>
          </w:tcPr>
          <w:p w14:paraId="1CD39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简体中文、繁体中文、英文切换，使用 localStorage 持久化并触发 languageChanged 事件。</w:t>
            </w:r>
          </w:p>
        </w:tc>
      </w:tr>
      <w:tr w14:paraId="508A9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679E0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views/components/SiteSearch.vue</w:t>
            </w:r>
          </w:p>
        </w:tc>
        <w:tc>
          <w:tcPr>
            <w:tcW w:w="3211" w:type="dxa"/>
            <w:vAlign w:val="center"/>
          </w:tcPr>
          <w:p w14:paraId="4247A7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站内搜索</w:t>
            </w:r>
          </w:p>
        </w:tc>
        <w:tc>
          <w:tcPr>
            <w:tcW w:w="3211" w:type="dxa"/>
            <w:vAlign w:val="center"/>
          </w:tcPr>
          <w:p w14:paraId="38C40B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提供前端站内检索入口。</w:t>
            </w:r>
          </w:p>
        </w:tc>
      </w:tr>
      <w:tr w14:paraId="5255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2F7CE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views/components/myNavigation.vue</w:t>
            </w:r>
          </w:p>
        </w:tc>
        <w:tc>
          <w:tcPr>
            <w:tcW w:w="3211" w:type="dxa"/>
            <w:vAlign w:val="center"/>
          </w:tcPr>
          <w:p w14:paraId="053689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用户指南</w:t>
            </w:r>
          </w:p>
        </w:tc>
        <w:tc>
          <w:tcPr>
            <w:tcW w:w="3211" w:type="dxa"/>
            <w:vAlign w:val="center"/>
          </w:tcPr>
          <w:p w14:paraId="0128AD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快捷导航弹层，支持键盘导航和关闭操作。</w:t>
            </w:r>
          </w:p>
        </w:tc>
      </w:tr>
    </w:tbl>
    <w:p w14:paraId="7C831124"/>
    <w:p w14:paraId="0C136077">
      <w:r>
        <w:rPr>
          <w:rFonts w:ascii="微软雅黑" w:hAnsi="微软雅黑" w:eastAsia="微软雅黑"/>
          <w:sz w:val="21"/>
        </w:rPr>
        <w:t>Header 根据屏幕宽度切换桌面导航与移动端抽屉菜单；LanguageSwitcher 通过 localStorage 持久化语言，并通过自定义 languageChanged 事件通知 Header、首页、用户指南等组件同步状态。</w:t>
      </w:r>
    </w:p>
    <w:p w14:paraId="6DAB4E54">
      <w:pPr>
        <w:pStyle w:val="3"/>
      </w:pPr>
      <w:r>
        <w:t>7. 新闻内容设计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5D930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514B98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07A0D3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3F0CC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44CA8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新闻来源</w:t>
            </w:r>
          </w:p>
        </w:tc>
        <w:tc>
          <w:tcPr>
            <w:tcW w:w="4816" w:type="dxa"/>
            <w:vAlign w:val="center"/>
          </w:tcPr>
          <w:p w14:paraId="567C61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i18n/locales/zh-CN.json、zh-TW.json 中的 newsList 和 newsListIndex</w:t>
            </w:r>
          </w:p>
        </w:tc>
      </w:tr>
      <w:tr w14:paraId="5286B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F8A21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列表页数量</w:t>
            </w:r>
          </w:p>
        </w:tc>
        <w:tc>
          <w:tcPr>
            <w:tcW w:w="4816" w:type="dxa"/>
            <w:vAlign w:val="center"/>
          </w:tcPr>
          <w:p w14:paraId="5245B5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当前简体中文 newsList 共 17 条</w:t>
            </w:r>
          </w:p>
        </w:tc>
      </w:tr>
      <w:tr w14:paraId="30E6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37A9AC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首页展示</w:t>
            </w:r>
          </w:p>
        </w:tc>
        <w:tc>
          <w:tcPr>
            <w:tcW w:w="4816" w:type="dxa"/>
            <w:vAlign w:val="center"/>
          </w:tcPr>
          <w:p w14:paraId="64750D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 newsListIndex 共 3 条，首页只展示最近 3 条</w:t>
            </w:r>
          </w:p>
        </w:tc>
      </w:tr>
      <w:tr w14:paraId="08A7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3DB80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详情页</w:t>
            </w:r>
          </w:p>
        </w:tc>
        <w:tc>
          <w:tcPr>
            <w:tcW w:w="4816" w:type="dxa"/>
            <w:vAlign w:val="center"/>
          </w:tcPr>
          <w:p w14:paraId="2DECB5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src/views/newsDetail.vue 通过 id 分支展示标题、日期、图片和正文</w:t>
            </w:r>
          </w:p>
        </w:tc>
      </w:tr>
      <w:tr w14:paraId="4118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24987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英文策略</w:t>
            </w:r>
          </w:p>
        </w:tc>
        <w:tc>
          <w:tcPr>
            <w:tcW w:w="4816" w:type="dxa"/>
            <w:vAlign w:val="center"/>
          </w:tcPr>
          <w:p w14:paraId="43FE8A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英文语言包未配置 newsList，导航和首页会隐藏新闻模块</w:t>
            </w:r>
          </w:p>
        </w:tc>
      </w:tr>
    </w:tbl>
    <w:p w14:paraId="1C9A19B5"/>
    <w:p w14:paraId="71975AF1">
      <w:r>
        <w:rPr>
          <w:rFonts w:ascii="微软雅黑" w:hAnsi="微软雅黑" w:eastAsia="微软雅黑"/>
          <w:sz w:val="21"/>
        </w:rPr>
        <w:t>新增新闻时需同时维护：newsList 列表数据、newsListIndex 首页数据、newsDetail.vue 中对应 id 的标题/日期/图片/正文分支，以及新闻图片资源。当前首页只展示最近 3 条新闻，完整列表页展示 newsList 中全部新闻。</w:t>
      </w:r>
    </w:p>
    <w:p w14:paraId="65388CA5">
      <w:pPr>
        <w:pStyle w:val="3"/>
      </w:pPr>
      <w:r>
        <w:t>8. 接口与数据设计</w:t>
      </w:r>
    </w:p>
    <w:p w14:paraId="24A906AA">
      <w:r>
        <w:rPr>
          <w:rFonts w:ascii="微软雅黑" w:hAnsi="微软雅黑" w:eastAsia="微软雅黑"/>
          <w:sz w:val="21"/>
        </w:rPr>
        <w:t>HTTP 统一封装位于 src/utils/http.js，baseURL 为 /api，超时时间 5000ms。开发配置中 /api 会被代理到远端接口；生产环境建议由云服务器 Nginx/IIS/网关配置 /api 反向代理，避免前端代码写死生产接口域名。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2882"/>
        <w:gridCol w:w="4740"/>
        <w:gridCol w:w="833"/>
      </w:tblGrid>
      <w:tr w14:paraId="7355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9EAF7"/>
            <w:vAlign w:val="center"/>
          </w:tcPr>
          <w:p w14:paraId="492240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2408" w:type="dxa"/>
            <w:shd w:val="clear" w:color="auto" w:fill="D9EAF7"/>
            <w:vAlign w:val="center"/>
          </w:tcPr>
          <w:p w14:paraId="500C97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函数/配置</w:t>
            </w:r>
          </w:p>
        </w:tc>
        <w:tc>
          <w:tcPr>
            <w:tcW w:w="2408" w:type="dxa"/>
            <w:shd w:val="clear" w:color="auto" w:fill="D9EAF7"/>
            <w:vAlign w:val="center"/>
          </w:tcPr>
          <w:p w14:paraId="3A1C3E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接口路径</w:t>
            </w:r>
          </w:p>
        </w:tc>
        <w:tc>
          <w:tcPr>
            <w:tcW w:w="2408" w:type="dxa"/>
            <w:shd w:val="clear" w:color="auto" w:fill="D9EAF7"/>
            <w:vAlign w:val="center"/>
          </w:tcPr>
          <w:p w14:paraId="245C78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 w14:paraId="0B70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4500D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src/utils/http.js</w:t>
            </w:r>
          </w:p>
        </w:tc>
        <w:tc>
          <w:tcPr>
            <w:tcW w:w="2408" w:type="dxa"/>
            <w:vAlign w:val="center"/>
          </w:tcPr>
          <w:p w14:paraId="2C2ECC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axios 实例</w:t>
            </w:r>
          </w:p>
        </w:tc>
        <w:tc>
          <w:tcPr>
            <w:tcW w:w="2408" w:type="dxa"/>
            <w:vAlign w:val="center"/>
          </w:tcPr>
          <w:p w14:paraId="6A383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</w:t>
            </w:r>
          </w:p>
        </w:tc>
        <w:tc>
          <w:tcPr>
            <w:tcW w:w="2408" w:type="dxa"/>
            <w:vAlign w:val="center"/>
          </w:tcPr>
          <w:p w14:paraId="660E0D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统一基础路径、5000ms 超时、请求/响应拦截</w:t>
            </w:r>
          </w:p>
        </w:tc>
      </w:tr>
      <w:tr w14:paraId="0937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F045C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indexAPI.js</w:t>
            </w:r>
          </w:p>
        </w:tc>
        <w:tc>
          <w:tcPr>
            <w:tcW w:w="2408" w:type="dxa"/>
            <w:vAlign w:val="center"/>
          </w:tcPr>
          <w:p w14:paraId="51C000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getSlidephotoAPI</w:t>
            </w:r>
          </w:p>
        </w:tc>
        <w:tc>
          <w:tcPr>
            <w:tcW w:w="2408" w:type="dxa"/>
            <w:vAlign w:val="center"/>
          </w:tcPr>
          <w:p w14:paraId="3639DF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Web_BackgroundPic/findAllSlideshow</w:t>
            </w:r>
          </w:p>
        </w:tc>
        <w:tc>
          <w:tcPr>
            <w:tcW w:w="2408" w:type="dxa"/>
            <w:vAlign w:val="center"/>
          </w:tcPr>
          <w:p w14:paraId="79C9A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首页轮播图</w:t>
            </w:r>
          </w:p>
        </w:tc>
      </w:tr>
      <w:tr w14:paraId="43DE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082EC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indexAPI.js</w:t>
            </w:r>
          </w:p>
        </w:tc>
        <w:tc>
          <w:tcPr>
            <w:tcW w:w="2408" w:type="dxa"/>
            <w:vAlign w:val="center"/>
          </w:tcPr>
          <w:p w14:paraId="21F49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getAdvantageAPI</w:t>
            </w:r>
          </w:p>
        </w:tc>
        <w:tc>
          <w:tcPr>
            <w:tcW w:w="2408" w:type="dxa"/>
            <w:vAlign w:val="center"/>
          </w:tcPr>
          <w:p w14:paraId="3DF05E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Web_Advantage/GetAdvantagePic</w:t>
            </w:r>
          </w:p>
        </w:tc>
        <w:tc>
          <w:tcPr>
            <w:tcW w:w="2408" w:type="dxa"/>
            <w:vAlign w:val="center"/>
          </w:tcPr>
          <w:p w14:paraId="216E3C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首页优势展示</w:t>
            </w:r>
          </w:p>
        </w:tc>
      </w:tr>
      <w:tr w14:paraId="112B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815DA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indexAPI.js</w:t>
            </w:r>
          </w:p>
        </w:tc>
        <w:tc>
          <w:tcPr>
            <w:tcW w:w="2408" w:type="dxa"/>
            <w:vAlign w:val="center"/>
          </w:tcPr>
          <w:p w14:paraId="6BEF52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getServiceAPI</w:t>
            </w:r>
          </w:p>
        </w:tc>
        <w:tc>
          <w:tcPr>
            <w:tcW w:w="2408" w:type="dxa"/>
            <w:vAlign w:val="center"/>
          </w:tcPr>
          <w:p w14:paraId="07DB70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Web_Service/GetOurServiceData</w:t>
            </w:r>
          </w:p>
        </w:tc>
        <w:tc>
          <w:tcPr>
            <w:tcW w:w="2408" w:type="dxa"/>
            <w:vAlign w:val="center"/>
          </w:tcPr>
          <w:p w14:paraId="4C0FBA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首页服务/业务数据</w:t>
            </w:r>
          </w:p>
        </w:tc>
      </w:tr>
      <w:tr w14:paraId="6B94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18B7D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aboutourAPi.js</w:t>
            </w:r>
          </w:p>
        </w:tc>
        <w:tc>
          <w:tcPr>
            <w:tcW w:w="2408" w:type="dxa"/>
            <w:vAlign w:val="center"/>
          </w:tcPr>
          <w:p w14:paraId="552AAD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getCompanyInfoAPI</w:t>
            </w:r>
          </w:p>
        </w:tc>
        <w:tc>
          <w:tcPr>
            <w:tcW w:w="2408" w:type="dxa"/>
            <w:vAlign w:val="center"/>
          </w:tcPr>
          <w:p w14:paraId="2F8FA0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Web_CompanyInformation/GetCompanyInformationData</w:t>
            </w:r>
          </w:p>
        </w:tc>
        <w:tc>
          <w:tcPr>
            <w:tcW w:w="2408" w:type="dxa"/>
            <w:vAlign w:val="center"/>
          </w:tcPr>
          <w:p w14:paraId="1B620B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公司基础信息</w:t>
            </w:r>
          </w:p>
        </w:tc>
      </w:tr>
      <w:tr w14:paraId="236F4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83862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aboutourAPi.js</w:t>
            </w:r>
          </w:p>
        </w:tc>
        <w:tc>
          <w:tcPr>
            <w:tcW w:w="2408" w:type="dxa"/>
            <w:vAlign w:val="center"/>
          </w:tcPr>
          <w:p w14:paraId="6D5B6F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getDesignersAPI</w:t>
            </w:r>
          </w:p>
        </w:tc>
        <w:tc>
          <w:tcPr>
            <w:tcW w:w="2408" w:type="dxa"/>
            <w:vAlign w:val="center"/>
          </w:tcPr>
          <w:p w14:paraId="4636EA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Web_PeopleInformation/GetPeopleInformationPic</w:t>
            </w:r>
          </w:p>
        </w:tc>
        <w:tc>
          <w:tcPr>
            <w:tcW w:w="2408" w:type="dxa"/>
            <w:vAlign w:val="center"/>
          </w:tcPr>
          <w:p w14:paraId="6F3218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人员/团队图片信息</w:t>
            </w:r>
          </w:p>
        </w:tc>
      </w:tr>
      <w:tr w14:paraId="066F1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3B8C2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aboutourAPi.js</w:t>
            </w:r>
          </w:p>
        </w:tc>
        <w:tc>
          <w:tcPr>
            <w:tcW w:w="2408" w:type="dxa"/>
            <w:vAlign w:val="center"/>
          </w:tcPr>
          <w:p w14:paraId="5D8C0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getourfaithAPI</w:t>
            </w:r>
          </w:p>
        </w:tc>
        <w:tc>
          <w:tcPr>
            <w:tcW w:w="2408" w:type="dxa"/>
            <w:vAlign w:val="center"/>
          </w:tcPr>
          <w:p w14:paraId="725F0A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Web_OurAim/GetOurAimData</w:t>
            </w:r>
          </w:p>
        </w:tc>
        <w:tc>
          <w:tcPr>
            <w:tcW w:w="2408" w:type="dxa"/>
            <w:vAlign w:val="center"/>
          </w:tcPr>
          <w:p w14:paraId="2053FA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宗旨/愿景信息</w:t>
            </w:r>
          </w:p>
        </w:tc>
      </w:tr>
      <w:tr w14:paraId="3B73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0AE24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productAPI.js</w:t>
            </w:r>
          </w:p>
        </w:tc>
        <w:tc>
          <w:tcPr>
            <w:tcW w:w="2408" w:type="dxa"/>
            <w:vAlign w:val="center"/>
          </w:tcPr>
          <w:p w14:paraId="73228B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getTabListAPI</w:t>
            </w:r>
          </w:p>
        </w:tc>
        <w:tc>
          <w:tcPr>
            <w:tcW w:w="2408" w:type="dxa"/>
            <w:vAlign w:val="center"/>
          </w:tcPr>
          <w:p w14:paraId="4C727E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Web_ProductOpt/GetProductOptData</w:t>
            </w:r>
          </w:p>
        </w:tc>
        <w:tc>
          <w:tcPr>
            <w:tcW w:w="2408" w:type="dxa"/>
            <w:vAlign w:val="center"/>
          </w:tcPr>
          <w:p w14:paraId="351EB2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产品/业务分类</w:t>
            </w:r>
          </w:p>
        </w:tc>
      </w:tr>
      <w:tr w14:paraId="1D29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3AB78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productAPI.js</w:t>
            </w:r>
          </w:p>
        </w:tc>
        <w:tc>
          <w:tcPr>
            <w:tcW w:w="2408" w:type="dxa"/>
            <w:vAlign w:val="center"/>
          </w:tcPr>
          <w:p w14:paraId="2E3534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getGoodsListAPI(TypeId)</w:t>
            </w:r>
          </w:p>
        </w:tc>
        <w:tc>
          <w:tcPr>
            <w:tcW w:w="2408" w:type="dxa"/>
            <w:vAlign w:val="center"/>
          </w:tcPr>
          <w:p w14:paraId="66A09E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Web_ProductShow/GetProductShowPic</w:t>
            </w:r>
          </w:p>
        </w:tc>
        <w:tc>
          <w:tcPr>
            <w:tcW w:w="2408" w:type="dxa"/>
            <w:vAlign w:val="center"/>
          </w:tcPr>
          <w:p w14:paraId="5E4437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分类展示数据</w:t>
            </w:r>
          </w:p>
        </w:tc>
      </w:tr>
      <w:tr w14:paraId="78587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02D01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productAPI.js</w:t>
            </w:r>
          </w:p>
        </w:tc>
        <w:tc>
          <w:tcPr>
            <w:tcW w:w="2408" w:type="dxa"/>
            <w:vAlign w:val="center"/>
          </w:tcPr>
          <w:p w14:paraId="7A1F50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getProductByIdAPI(TypeDetailsId)</w:t>
            </w:r>
          </w:p>
        </w:tc>
        <w:tc>
          <w:tcPr>
            <w:tcW w:w="2408" w:type="dxa"/>
            <w:vAlign w:val="center"/>
          </w:tcPr>
          <w:p w14:paraId="55051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Web_ProductInformation/GetProductInformationPic</w:t>
            </w:r>
          </w:p>
        </w:tc>
        <w:tc>
          <w:tcPr>
            <w:tcW w:w="2408" w:type="dxa"/>
            <w:vAlign w:val="center"/>
          </w:tcPr>
          <w:p w14:paraId="10A694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产品/业务详情</w:t>
            </w:r>
          </w:p>
        </w:tc>
      </w:tr>
      <w:tr w14:paraId="40B4C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E3FE5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newAPI.js</w:t>
            </w:r>
          </w:p>
        </w:tc>
        <w:tc>
          <w:tcPr>
            <w:tcW w:w="2408" w:type="dxa"/>
            <w:vAlign w:val="center"/>
          </w:tcPr>
          <w:p w14:paraId="7B752B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getArticleAPI(PageIndex, PageSize)</w:t>
            </w:r>
          </w:p>
        </w:tc>
        <w:tc>
          <w:tcPr>
            <w:tcW w:w="2408" w:type="dxa"/>
            <w:vAlign w:val="center"/>
          </w:tcPr>
          <w:p w14:paraId="02386A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Web_ArticleData/GetArticle</w:t>
            </w:r>
          </w:p>
        </w:tc>
        <w:tc>
          <w:tcPr>
            <w:tcW w:w="2408" w:type="dxa"/>
            <w:vAlign w:val="center"/>
          </w:tcPr>
          <w:p w14:paraId="7F308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新闻分页列表接口，当前新闻页主要使用静态 i18n 数据</w:t>
            </w:r>
          </w:p>
        </w:tc>
      </w:tr>
      <w:tr w14:paraId="3454C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B4E81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newAPI.js</w:t>
            </w:r>
          </w:p>
        </w:tc>
        <w:tc>
          <w:tcPr>
            <w:tcW w:w="2408" w:type="dxa"/>
            <w:vAlign w:val="center"/>
          </w:tcPr>
          <w:p w14:paraId="74D6C3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getArticleByArticleIdAPI(ArticleId)</w:t>
            </w:r>
          </w:p>
        </w:tc>
        <w:tc>
          <w:tcPr>
            <w:tcW w:w="2408" w:type="dxa"/>
            <w:vAlign w:val="center"/>
          </w:tcPr>
          <w:p w14:paraId="651197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Web_ArticleData/GetArticleData</w:t>
            </w:r>
          </w:p>
        </w:tc>
        <w:tc>
          <w:tcPr>
            <w:tcW w:w="2408" w:type="dxa"/>
            <w:vAlign w:val="center"/>
          </w:tcPr>
          <w:p w14:paraId="2C84F9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新闻详情接口保留</w:t>
            </w:r>
          </w:p>
        </w:tc>
      </w:tr>
      <w:tr w14:paraId="07D57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AF453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newAPI.js</w:t>
            </w:r>
          </w:p>
        </w:tc>
        <w:tc>
          <w:tcPr>
            <w:tcW w:w="2408" w:type="dxa"/>
            <w:vAlign w:val="center"/>
          </w:tcPr>
          <w:p w14:paraId="54B23D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getRecentArticleAPI(ArticleId)</w:t>
            </w:r>
          </w:p>
        </w:tc>
        <w:tc>
          <w:tcPr>
            <w:tcW w:w="2408" w:type="dxa"/>
            <w:vAlign w:val="center"/>
          </w:tcPr>
          <w:p w14:paraId="7BE8BC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Web_ArticleData/GetOtherArticleData</w:t>
            </w:r>
          </w:p>
        </w:tc>
        <w:tc>
          <w:tcPr>
            <w:tcW w:w="2408" w:type="dxa"/>
            <w:vAlign w:val="center"/>
          </w:tcPr>
          <w:p w14:paraId="067D67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相关新闻接口保留</w:t>
            </w:r>
          </w:p>
        </w:tc>
      </w:tr>
      <w:tr w14:paraId="26BFC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B68D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newAPI.js</w:t>
            </w:r>
          </w:p>
        </w:tc>
        <w:tc>
          <w:tcPr>
            <w:tcW w:w="2408" w:type="dxa"/>
            <w:vAlign w:val="center"/>
          </w:tcPr>
          <w:p w14:paraId="1CBBD8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getNewsDetailAPI(newsId)</w:t>
            </w:r>
          </w:p>
        </w:tc>
        <w:tc>
          <w:tcPr>
            <w:tcW w:w="2408" w:type="dxa"/>
            <w:vAlign w:val="center"/>
          </w:tcPr>
          <w:p w14:paraId="169C63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/portal/banner/{newsId}</w:t>
            </w:r>
          </w:p>
        </w:tc>
        <w:tc>
          <w:tcPr>
            <w:tcW w:w="2408" w:type="dxa"/>
            <w:vAlign w:val="center"/>
          </w:tcPr>
          <w:p w14:paraId="3A51D7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兼容/历史新闻详情接口</w:t>
            </w:r>
          </w:p>
        </w:tc>
      </w:tr>
      <w:tr w14:paraId="3BFF5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2C36C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solutionAPI.js</w:t>
            </w:r>
          </w:p>
        </w:tc>
        <w:tc>
          <w:tcPr>
            <w:tcW w:w="2408" w:type="dxa"/>
            <w:vAlign w:val="center"/>
          </w:tcPr>
          <w:p w14:paraId="78F878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getSolutionListAPI</w:t>
            </w:r>
          </w:p>
        </w:tc>
        <w:tc>
          <w:tcPr>
            <w:tcW w:w="2408" w:type="dxa"/>
            <w:vAlign w:val="center"/>
          </w:tcPr>
          <w:p w14:paraId="2B3D09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Web_Solution/GetSolutionList</w:t>
            </w:r>
          </w:p>
        </w:tc>
        <w:tc>
          <w:tcPr>
            <w:tcW w:w="2408" w:type="dxa"/>
            <w:vAlign w:val="center"/>
          </w:tcPr>
          <w:p w14:paraId="3EA16F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方案/概况列表</w:t>
            </w:r>
          </w:p>
        </w:tc>
      </w:tr>
      <w:tr w14:paraId="6D94C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756A0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solutionAPI.js</w:t>
            </w:r>
          </w:p>
        </w:tc>
        <w:tc>
          <w:tcPr>
            <w:tcW w:w="2408" w:type="dxa"/>
            <w:vAlign w:val="center"/>
          </w:tcPr>
          <w:p w14:paraId="23BF4B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getDetailListPI(PId)</w:t>
            </w:r>
          </w:p>
        </w:tc>
        <w:tc>
          <w:tcPr>
            <w:tcW w:w="2408" w:type="dxa"/>
            <w:vAlign w:val="center"/>
          </w:tcPr>
          <w:p w14:paraId="29A1E0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Web_Solution/GetDetailList</w:t>
            </w:r>
          </w:p>
        </w:tc>
        <w:tc>
          <w:tcPr>
            <w:tcW w:w="2408" w:type="dxa"/>
            <w:vAlign w:val="center"/>
          </w:tcPr>
          <w:p w14:paraId="638AAA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方案/概况详情</w:t>
            </w:r>
          </w:p>
        </w:tc>
      </w:tr>
      <w:tr w14:paraId="584A3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C8F4F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exempleAPI.js</w:t>
            </w:r>
          </w:p>
        </w:tc>
        <w:tc>
          <w:tcPr>
            <w:tcW w:w="2408" w:type="dxa"/>
            <w:vAlign w:val="center"/>
          </w:tcPr>
          <w:p w14:paraId="2B192F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findExampleAPI(ExampleType)</w:t>
            </w:r>
          </w:p>
        </w:tc>
        <w:tc>
          <w:tcPr>
            <w:tcW w:w="2408" w:type="dxa"/>
            <w:vAlign w:val="center"/>
          </w:tcPr>
          <w:p w14:paraId="5FF983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Web_Case/GetCaseData</w:t>
            </w:r>
          </w:p>
        </w:tc>
        <w:tc>
          <w:tcPr>
            <w:tcW w:w="2408" w:type="dxa"/>
            <w:vAlign w:val="center"/>
          </w:tcPr>
          <w:p w14:paraId="741BD3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案例列表</w:t>
            </w:r>
          </w:p>
        </w:tc>
      </w:tr>
      <w:tr w14:paraId="1171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5D8EE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exempleAPI.js</w:t>
            </w:r>
          </w:p>
        </w:tc>
        <w:tc>
          <w:tcPr>
            <w:tcW w:w="2408" w:type="dxa"/>
            <w:vAlign w:val="center"/>
          </w:tcPr>
          <w:p w14:paraId="013C11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getExempleTablistAPI</w:t>
            </w:r>
          </w:p>
        </w:tc>
        <w:tc>
          <w:tcPr>
            <w:tcW w:w="2408" w:type="dxa"/>
            <w:vAlign w:val="center"/>
          </w:tcPr>
          <w:p w14:paraId="21E1C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 Web_CaseOpt/GetCaseOptData</w:t>
            </w:r>
          </w:p>
        </w:tc>
        <w:tc>
          <w:tcPr>
            <w:tcW w:w="2408" w:type="dxa"/>
            <w:vAlign w:val="center"/>
          </w:tcPr>
          <w:p w14:paraId="3042F6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案例分类</w:t>
            </w:r>
          </w:p>
        </w:tc>
      </w:tr>
    </w:tbl>
    <w:p w14:paraId="4BD20DA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1FFB5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36690B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7E01FC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3B3D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6C910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请求入口</w:t>
            </w:r>
          </w:p>
        </w:tc>
        <w:tc>
          <w:tcPr>
            <w:tcW w:w="4816" w:type="dxa"/>
            <w:vAlign w:val="center"/>
          </w:tcPr>
          <w:p w14:paraId="0A3A78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前端统一请求 /api，由部署环境决定实际后端地址。</w:t>
            </w:r>
          </w:p>
        </w:tc>
      </w:tr>
      <w:tr w14:paraId="4885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A6503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响应处理</w:t>
            </w:r>
          </w:p>
        </w:tc>
        <w:tc>
          <w:tcPr>
            <w:tcW w:w="4816" w:type="dxa"/>
            <w:vAlign w:val="center"/>
          </w:tcPr>
          <w:p w14:paraId="6B920A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响应拦截器返回 response.data，页面代码需按接口实际结构读取。</w:t>
            </w:r>
          </w:p>
        </w:tc>
      </w:tr>
      <w:tr w14:paraId="05194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D958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错误处理</w:t>
            </w:r>
          </w:p>
        </w:tc>
        <w:tc>
          <w:tcPr>
            <w:tcW w:w="4816" w:type="dxa"/>
            <w:vAlign w:val="center"/>
          </w:tcPr>
          <w:p w14:paraId="5E558E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当前主要 Promise.reject，建议生产增强统一错误提示和日志。</w:t>
            </w:r>
          </w:p>
        </w:tc>
      </w:tr>
      <w:tr w14:paraId="2C1D6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C832E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认证授权</w:t>
            </w:r>
          </w:p>
        </w:tc>
        <w:tc>
          <w:tcPr>
            <w:tcW w:w="4816" w:type="dxa"/>
            <w:vAlign w:val="center"/>
          </w:tcPr>
          <w:p w14:paraId="101C15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当前未启用 token 注入，适合公开门户；如后台接口需要鉴权，应在请求拦截器统一处理。</w:t>
            </w:r>
          </w:p>
        </w:tc>
      </w:tr>
    </w:tbl>
    <w:p w14:paraId="1A8F34A3"/>
    <w:p w14:paraId="013982C4">
      <w:pPr>
        <w:pStyle w:val="3"/>
      </w:pPr>
      <w:r>
        <w:t>9. 国际化与状态管理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5EC90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361381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5AF75F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4F3164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0823F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00845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国际化实例</w:t>
            </w:r>
          </w:p>
        </w:tc>
        <w:tc>
          <w:tcPr>
            <w:tcW w:w="3211" w:type="dxa"/>
            <w:vAlign w:val="center"/>
          </w:tcPr>
          <w:p w14:paraId="0A732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i18n/index.js</w:t>
            </w:r>
          </w:p>
        </w:tc>
        <w:tc>
          <w:tcPr>
            <w:tcW w:w="3211" w:type="dxa"/>
            <w:vAlign w:val="center"/>
          </w:tcPr>
          <w:p w14:paraId="2E60D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createI18n，legacy=false，默认 zhCN，fallbackLocale=zhCN。</w:t>
            </w:r>
          </w:p>
        </w:tc>
      </w:tr>
      <w:tr w14:paraId="7D02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CA029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语言包</w:t>
            </w:r>
          </w:p>
        </w:tc>
        <w:tc>
          <w:tcPr>
            <w:tcW w:w="3211" w:type="dxa"/>
            <w:vAlign w:val="center"/>
          </w:tcPr>
          <w:p w14:paraId="3ECF26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i18n/locales/zh-CN.json、zh-TW.json、en.json</w:t>
            </w:r>
          </w:p>
        </w:tc>
        <w:tc>
          <w:tcPr>
            <w:tcW w:w="3211" w:type="dxa"/>
            <w:vAlign w:val="center"/>
          </w:tcPr>
          <w:p w14:paraId="129A03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维护导航、页面、页脚、新闻等文案。</w:t>
            </w:r>
          </w:p>
        </w:tc>
      </w:tr>
      <w:tr w14:paraId="0F52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E7DD2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语言状态</w:t>
            </w:r>
          </w:p>
        </w:tc>
        <w:tc>
          <w:tcPr>
            <w:tcW w:w="3211" w:type="dxa"/>
            <w:vAlign w:val="center"/>
          </w:tcPr>
          <w:p w14:paraId="27A157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src/utils/language.js</w:t>
            </w:r>
          </w:p>
        </w:tc>
        <w:tc>
          <w:tcPr>
            <w:tcW w:w="3211" w:type="dxa"/>
            <w:vAlign w:val="center"/>
          </w:tcPr>
          <w:p w14:paraId="53D456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读取/设置 localStorage.language，并触发 languageChanged 事件。</w:t>
            </w:r>
          </w:p>
        </w:tc>
      </w:tr>
      <w:tr w14:paraId="04736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1AD59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路由同步</w:t>
            </w:r>
          </w:p>
        </w:tc>
        <w:tc>
          <w:tcPr>
            <w:tcW w:w="3211" w:type="dxa"/>
            <w:vAlign w:val="center"/>
          </w:tcPr>
          <w:p w14:paraId="4E9758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src/router/index.js</w:t>
            </w:r>
          </w:p>
        </w:tc>
        <w:tc>
          <w:tcPr>
            <w:tcW w:w="3211" w:type="dxa"/>
            <w:vAlign w:val="center"/>
          </w:tcPr>
          <w:p w14:paraId="4C33FB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路由切换时确保 i18n locale 与 localStorage 一致。</w:t>
            </w:r>
          </w:p>
        </w:tc>
      </w:tr>
      <w:tr w14:paraId="1924D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8364A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状态管理</w:t>
            </w:r>
          </w:p>
        </w:tc>
        <w:tc>
          <w:tcPr>
            <w:tcW w:w="3211" w:type="dxa"/>
            <w:vAlign w:val="center"/>
          </w:tcPr>
          <w:p w14:paraId="4F8D92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src/stores/category.js</w:t>
            </w:r>
          </w:p>
        </w:tc>
        <w:tc>
          <w:tcPr>
            <w:tcW w:w="3211" w:type="dxa"/>
            <w:vAlign w:val="center"/>
          </w:tcPr>
          <w:p w14:paraId="09FCC9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 Pinia 保存分类数据和异步获取方法。</w:t>
            </w:r>
          </w:p>
        </w:tc>
      </w:tr>
    </w:tbl>
    <w:p w14:paraId="4340623D"/>
    <w:p w14:paraId="7141B290">
      <w:pPr>
        <w:pStyle w:val="3"/>
      </w:pPr>
      <w:r>
        <w:t>10. 响应式与无障碍设计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07000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226C41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6663C8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当前设计</w:t>
            </w:r>
          </w:p>
        </w:tc>
      </w:tr>
      <w:tr w14:paraId="34767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2CC46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断点</w:t>
            </w:r>
          </w:p>
        </w:tc>
        <w:tc>
          <w:tcPr>
            <w:tcW w:w="4816" w:type="dxa"/>
            <w:vAlign w:val="center"/>
          </w:tcPr>
          <w:p w14:paraId="03DAE1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移动端 320-767px；平板 768-1023px；桌面 1024-1440px；大屏 1441px+。</w:t>
            </w:r>
          </w:p>
        </w:tc>
      </w:tr>
      <w:tr w14:paraId="2C80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D74E1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样式文件</w:t>
            </w:r>
          </w:p>
        </w:tc>
        <w:tc>
          <w:tcPr>
            <w:tcW w:w="4816" w:type="dxa"/>
            <w:vAlign w:val="center"/>
          </w:tcPr>
          <w:p w14:paraId="73D90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src/styles/breakpoints.scss、responsive-utils.scss、responsive.css、main.scss。</w:t>
            </w:r>
          </w:p>
        </w:tc>
      </w:tr>
      <w:tr w14:paraId="0BCE1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52A56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布局策略</w:t>
            </w:r>
          </w:p>
        </w:tc>
        <w:tc>
          <w:tcPr>
            <w:tcW w:w="4816" w:type="dxa"/>
            <w:vAlign w:val="center"/>
          </w:tcPr>
          <w:p w14:paraId="0B52CB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移动端单列和抽屉导航；桌面端横向导航和多列布局；使用 Flex/Grid 与媒体查询。</w:t>
            </w:r>
          </w:p>
        </w:tc>
      </w:tr>
      <w:tr w14:paraId="487D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B00E2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图片策略</w:t>
            </w:r>
          </w:p>
        </w:tc>
        <w:tc>
          <w:tcPr>
            <w:tcW w:w="4816" w:type="dxa"/>
            <w:vAlign w:val="center"/>
          </w:tcPr>
          <w:p w14:paraId="2A4D74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源图片位于 src/assets/images，部分图片通过懒加载指令和响应式样式优化。</w:t>
            </w:r>
          </w:p>
        </w:tc>
      </w:tr>
      <w:tr w14:paraId="50FA7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707BA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键盘可用性</w:t>
            </w:r>
          </w:p>
        </w:tc>
        <w:tc>
          <w:tcPr>
            <w:tcW w:w="4816" w:type="dxa"/>
            <w:vAlign w:val="center"/>
          </w:tcPr>
          <w:p w14:paraId="3464C7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年龄声明弹窗、用户指南、返回按钮、字体大小按钮等提供键盘可操作能力。</w:t>
            </w:r>
          </w:p>
        </w:tc>
      </w:tr>
      <w:tr w14:paraId="75C1C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DE2CF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访问声明</w:t>
            </w:r>
          </w:p>
        </w:tc>
        <w:tc>
          <w:tcPr>
            <w:tcW w:w="4816" w:type="dxa"/>
            <w:vAlign w:val="center"/>
          </w:tcPr>
          <w:p w14:paraId="2B8D63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App.vue 首屏展示成年人声明，拒绝未满 18 岁访问。</w:t>
            </w:r>
          </w:p>
        </w:tc>
      </w:tr>
    </w:tbl>
    <w:p w14:paraId="2110D9B0"/>
    <w:p w14:paraId="3447DE67">
      <w:pPr>
        <w:pStyle w:val="3"/>
      </w:pPr>
      <w:r>
        <w:t>11. 构建与云服务器部署设计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6C572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5F42C6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46832D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当前值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41F57A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部署说明</w:t>
            </w:r>
          </w:p>
        </w:tc>
      </w:tr>
      <w:tr w14:paraId="23607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60FEF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base</w:t>
            </w:r>
          </w:p>
        </w:tc>
        <w:tc>
          <w:tcPr>
            <w:tcW w:w="3211" w:type="dxa"/>
            <w:vAlign w:val="center"/>
          </w:tcPr>
          <w:p w14:paraId="5991F3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./</w:t>
            </w:r>
          </w:p>
        </w:tc>
        <w:tc>
          <w:tcPr>
            <w:tcW w:w="3211" w:type="dxa"/>
            <w:vAlign w:val="center"/>
          </w:tcPr>
          <w:p w14:paraId="515C59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构建后资源使用相对路径，适合静态目录或子目录部署。</w:t>
            </w:r>
          </w:p>
        </w:tc>
      </w:tr>
      <w:tr w14:paraId="7979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4B325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build.outDir</w:t>
            </w:r>
          </w:p>
        </w:tc>
        <w:tc>
          <w:tcPr>
            <w:tcW w:w="3211" w:type="dxa"/>
            <w:vAlign w:val="center"/>
          </w:tcPr>
          <w:p w14:paraId="441948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tobacco</w:t>
            </w:r>
          </w:p>
        </w:tc>
        <w:tc>
          <w:tcPr>
            <w:tcW w:w="3211" w:type="dxa"/>
            <w:vAlign w:val="center"/>
          </w:tcPr>
          <w:p w14:paraId="0778DB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生产构建输出目录，云服务器发布该目录。</w:t>
            </w:r>
          </w:p>
        </w:tc>
      </w:tr>
      <w:tr w14:paraId="554D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68267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build.assetsDir</w:t>
            </w:r>
          </w:p>
        </w:tc>
        <w:tc>
          <w:tcPr>
            <w:tcW w:w="3211" w:type="dxa"/>
            <w:vAlign w:val="center"/>
          </w:tcPr>
          <w:p w14:paraId="00BCB6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assets</w:t>
            </w:r>
          </w:p>
        </w:tc>
        <w:tc>
          <w:tcPr>
            <w:tcW w:w="3211" w:type="dxa"/>
            <w:vAlign w:val="center"/>
          </w:tcPr>
          <w:p w14:paraId="4A464C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JS、CSS、图片、字体等静态资源目录。</w:t>
            </w:r>
          </w:p>
        </w:tc>
      </w:tr>
      <w:tr w14:paraId="17D7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702EF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sourcemap</w:t>
            </w:r>
          </w:p>
        </w:tc>
        <w:tc>
          <w:tcPr>
            <w:tcW w:w="3211" w:type="dxa"/>
            <w:vAlign w:val="center"/>
          </w:tcPr>
          <w:p w14:paraId="55DD61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w="3211" w:type="dxa"/>
            <w:vAlign w:val="center"/>
          </w:tcPr>
          <w:p w14:paraId="33E58C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生产环境不输出 sourcemap。</w:t>
            </w:r>
          </w:p>
        </w:tc>
      </w:tr>
      <w:tr w14:paraId="4004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885E3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server.port</w:t>
            </w:r>
          </w:p>
        </w:tc>
        <w:tc>
          <w:tcPr>
            <w:tcW w:w="3211" w:type="dxa"/>
            <w:vAlign w:val="center"/>
          </w:tcPr>
          <w:p w14:paraId="620B72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10087（开发配置）</w:t>
            </w:r>
          </w:p>
        </w:tc>
        <w:tc>
          <w:tcPr>
            <w:tcW w:w="3211" w:type="dxa"/>
            <w:vAlign w:val="center"/>
          </w:tcPr>
          <w:p w14:paraId="0017E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仅开发调试使用；生产端口由 Web 服务、负载均衡或反向代理决定。</w:t>
            </w:r>
          </w:p>
        </w:tc>
      </w:tr>
      <w:tr w14:paraId="012F1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4605D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server.proxy./api</w:t>
            </w:r>
          </w:p>
        </w:tc>
        <w:tc>
          <w:tcPr>
            <w:tcW w:w="3211" w:type="dxa"/>
            <w:vAlign w:val="center"/>
          </w:tcPr>
          <w:p w14:paraId="57BC12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开发代理配置</w:t>
            </w:r>
          </w:p>
        </w:tc>
        <w:tc>
          <w:tcPr>
            <w:tcW w:w="3211" w:type="dxa"/>
            <w:vAlign w:val="center"/>
          </w:tcPr>
          <w:p w14:paraId="4FA5B7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生产环境建议在云服务器上配置 /api 反向代理。</w:t>
            </w:r>
          </w:p>
        </w:tc>
      </w:tr>
    </w:tbl>
    <w:p w14:paraId="644C294F"/>
    <w:p w14:paraId="78ECDB99">
      <w:r>
        <w:rPr>
          <w:rFonts w:ascii="微软雅黑" w:hAnsi="微软雅黑" w:eastAsia="微软雅黑"/>
          <w:sz w:val="21"/>
        </w:rPr>
        <w:t>推荐部署流程：</w:t>
      </w:r>
    </w:p>
    <w:p w14:paraId="75ADD485">
      <w:r>
        <w:rPr>
          <w:rFonts w:ascii="微软雅黑" w:hAnsi="微软雅黑" w:eastAsia="微软雅黑"/>
          <w:sz w:val="21"/>
        </w:rPr>
        <w:t>1. 在构建环境安装 Node.js 与 npm。</w:t>
      </w:r>
    </w:p>
    <w:p w14:paraId="247464D1">
      <w:r>
        <w:rPr>
          <w:rFonts w:ascii="微软雅黑" w:hAnsi="微软雅黑" w:eastAsia="微软雅黑"/>
          <w:sz w:val="21"/>
        </w:rPr>
        <w:t>2. 执行 npm install 安装依赖。</w:t>
      </w:r>
    </w:p>
    <w:p w14:paraId="55F035BE">
      <w:r>
        <w:rPr>
          <w:rFonts w:ascii="微软雅黑" w:hAnsi="微软雅黑" w:eastAsia="微软雅黑"/>
          <w:sz w:val="21"/>
        </w:rPr>
        <w:t>3. 执行 npm run build 生成 tobacco 静态目录。</w:t>
      </w:r>
    </w:p>
    <w:p w14:paraId="7BEF2C42">
      <w:r>
        <w:rPr>
          <w:rFonts w:ascii="微软雅黑" w:hAnsi="微软雅黑" w:eastAsia="微软雅黑"/>
          <w:sz w:val="21"/>
        </w:rPr>
        <w:t>4. 将 tobacco 目录作为站点根目录发布到 Nginx、IIS、Apache 或对象存储静态站点。</w:t>
      </w:r>
    </w:p>
    <w:p w14:paraId="66161D20">
      <w:r>
        <w:rPr>
          <w:rFonts w:ascii="微软雅黑" w:hAnsi="微软雅黑" w:eastAsia="微软雅黑"/>
          <w:sz w:val="21"/>
        </w:rPr>
        <w:t>5. 配置 history 路由回退，所有非真实文件请求回退到 index.html。</w:t>
      </w:r>
    </w:p>
    <w:p w14:paraId="2BD856DA">
      <w:r>
        <w:rPr>
          <w:rFonts w:ascii="微软雅黑" w:hAnsi="微软雅黑" w:eastAsia="微软雅黑"/>
          <w:sz w:val="21"/>
        </w:rPr>
        <w:t>6. 配置 /api 反向代理到后端服务，并启用 HTTPS 证书、缓存、压缩和安全响应头。</w:t>
      </w:r>
    </w:p>
    <w:p w14:paraId="607B6815">
      <w:pPr>
        <w:pStyle w:val="4"/>
      </w:pPr>
      <w:r>
        <w:t>11.1 Nginx 参考配置</w:t>
      </w:r>
    </w:p>
    <w:p w14:paraId="6DD4932E">
      <w:r>
        <w:rPr>
          <w:rFonts w:ascii="Consolas" w:hAnsi="Consolas"/>
          <w:sz w:val="18"/>
        </w:rPr>
        <w:t>server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listen 443 ssl http2;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server_name your-domain.example;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root /path/to/tobacco;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index index.html;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location /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try_files $uri $uri/ /index.html;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location /api/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proxy_pass https://backend-service.example/;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proxy_set_header Host $host;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proxy_set_header X-Real-IP $remote_addr;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proxy_set_header X-Forwarded-For $proxy_add_x_forwarded_for;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proxy_set_header X-Forwarded-Proto $scheme;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location ~* \.(js|css|png|jpg|jpeg|gif|svg|woff|woff2|ttf|eot)$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expires 30d;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add_header Cache-Control "public, immutable";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try_files $uri =404;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93198D1">
      <w:r>
        <w:rPr>
          <w:rFonts w:ascii="微软雅黑" w:hAnsi="微软雅黑" w:eastAsia="微软雅黑"/>
          <w:sz w:val="21"/>
        </w:rPr>
        <w:t>以上配置为示例，域名、证书、站点目录和后端服务地址需按云服务器实际环境调整。</w:t>
      </w:r>
    </w:p>
    <w:p w14:paraId="10C389F8">
      <w:pPr>
        <w:pStyle w:val="3"/>
      </w:pPr>
      <w:r>
        <w:t>12. 测试验收方案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0A2E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4940F2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测试类型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1C5A57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验收重点</w:t>
            </w:r>
          </w:p>
        </w:tc>
      </w:tr>
      <w:tr w14:paraId="5EF8A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19604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代码一致性</w:t>
            </w:r>
          </w:p>
        </w:tc>
        <w:tc>
          <w:tcPr>
            <w:tcW w:w="4816" w:type="dxa"/>
            <w:vAlign w:val="center"/>
          </w:tcPr>
          <w:p w14:paraId="38406E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发布前确认分支和远程主分支一致，源码工作区无非预期改动。</w:t>
            </w:r>
          </w:p>
        </w:tc>
      </w:tr>
      <w:tr w14:paraId="5C8B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4AC835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构建测试</w:t>
            </w:r>
          </w:p>
        </w:tc>
        <w:tc>
          <w:tcPr>
            <w:tcW w:w="4816" w:type="dxa"/>
            <w:vAlign w:val="center"/>
          </w:tcPr>
          <w:p w14:paraId="140184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npm run build 成功，tobacco 目录生成完整静态资源。</w:t>
            </w:r>
          </w:p>
        </w:tc>
      </w:tr>
      <w:tr w14:paraId="5A6D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F4B3F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访问测试</w:t>
            </w:r>
          </w:p>
        </w:tc>
        <w:tc>
          <w:tcPr>
            <w:tcW w:w="4816" w:type="dxa"/>
            <w:vAlign w:val="center"/>
          </w:tcPr>
          <w:p w14:paraId="771C0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通过生产域名或公网 IP 打开首页、新闻列表、新闻详情、主营业务、人才招聘、联系我们。</w:t>
            </w:r>
          </w:p>
        </w:tc>
      </w:tr>
      <w:tr w14:paraId="2FB4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B0C8B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路由回退</w:t>
            </w:r>
          </w:p>
        </w:tc>
        <w:tc>
          <w:tcPr>
            <w:tcW w:w="4816" w:type="dxa"/>
            <w:vAlign w:val="center"/>
          </w:tcPr>
          <w:p w14:paraId="16673B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刷新深层路由不返回服务器 404。</w:t>
            </w:r>
          </w:p>
        </w:tc>
      </w:tr>
      <w:tr w14:paraId="6883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5D52E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静态资源</w:t>
            </w:r>
          </w:p>
        </w:tc>
        <w:tc>
          <w:tcPr>
            <w:tcW w:w="4816" w:type="dxa"/>
            <w:vAlign w:val="center"/>
          </w:tcPr>
          <w:p w14:paraId="152DF5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JS、CSS、图片、字体加载成功，无 404 和 MIME 类型错误。</w:t>
            </w:r>
          </w:p>
        </w:tc>
      </w:tr>
      <w:tr w14:paraId="6307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4927CA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接口联通</w:t>
            </w:r>
          </w:p>
        </w:tc>
        <w:tc>
          <w:tcPr>
            <w:tcW w:w="4816" w:type="dxa"/>
            <w:vAlign w:val="center"/>
          </w:tcPr>
          <w:p w14:paraId="497F34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 代理可访问，接口超时、错误场景可观测。</w:t>
            </w:r>
          </w:p>
        </w:tc>
      </w:tr>
      <w:tr w14:paraId="43577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007F4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国际化</w:t>
            </w:r>
          </w:p>
        </w:tc>
        <w:tc>
          <w:tcPr>
            <w:tcW w:w="4816" w:type="dxa"/>
            <w:vAlign w:val="center"/>
          </w:tcPr>
          <w:p w14:paraId="603A4B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简体、繁体、英文切换后文案和导航策略正确。</w:t>
            </w:r>
          </w:p>
        </w:tc>
      </w:tr>
      <w:tr w14:paraId="0FC2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4ADE42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响应式</w:t>
            </w:r>
          </w:p>
        </w:tc>
        <w:tc>
          <w:tcPr>
            <w:tcW w:w="4816" w:type="dxa"/>
            <w:vAlign w:val="center"/>
          </w:tcPr>
          <w:p w14:paraId="192885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移动端、平板、桌面、大屏布局无错位、遮挡、文本溢出。</w:t>
            </w:r>
          </w:p>
        </w:tc>
      </w:tr>
      <w:tr w14:paraId="3C89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BB532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无障碍</w:t>
            </w:r>
          </w:p>
        </w:tc>
        <w:tc>
          <w:tcPr>
            <w:tcW w:w="4816" w:type="dxa"/>
            <w:vAlign w:val="center"/>
          </w:tcPr>
          <w:p w14:paraId="6358DA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年龄弹窗、导航、用户指南、字体大小控制等可使用键盘操作。</w:t>
            </w:r>
          </w:p>
        </w:tc>
      </w:tr>
      <w:tr w14:paraId="3379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C754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w="4816" w:type="dxa"/>
            <w:vAlign w:val="center"/>
          </w:tcPr>
          <w:p w14:paraId="00B113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HTTPS、缓存、压缩、安全响应头、访问日志和错误日志配置完成。</w:t>
            </w:r>
          </w:p>
        </w:tc>
      </w:tr>
    </w:tbl>
    <w:p w14:paraId="7DD10B3A"/>
    <w:p w14:paraId="789DB4D4">
      <w:pPr>
        <w:pStyle w:val="3"/>
      </w:pPr>
      <w:r>
        <w:t>13. 风险与维护建议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2B735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0EB470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风险/问题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08C1D2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3BB914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 w14:paraId="22844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C7CF4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接口地址依赖环境配置</w:t>
            </w:r>
          </w:p>
        </w:tc>
        <w:tc>
          <w:tcPr>
            <w:tcW w:w="3211" w:type="dxa"/>
            <w:vAlign w:val="center"/>
          </w:tcPr>
          <w:p w14:paraId="701005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生产环境接口不可达会导致动态数据失败。</w:t>
            </w:r>
          </w:p>
        </w:tc>
        <w:tc>
          <w:tcPr>
            <w:tcW w:w="3211" w:type="dxa"/>
            <w:vAlign w:val="center"/>
          </w:tcPr>
          <w:p w14:paraId="47494F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在云服务器统一配置 /api 反向代理，并沉淀环境变量或部署文档。</w:t>
            </w:r>
          </w:p>
        </w:tc>
      </w:tr>
      <w:tr w14:paraId="533FA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0466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history 模式路由回退</w:t>
            </w:r>
          </w:p>
        </w:tc>
        <w:tc>
          <w:tcPr>
            <w:tcW w:w="3211" w:type="dxa"/>
            <w:vAlign w:val="center"/>
          </w:tcPr>
          <w:p w14:paraId="5EF25A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刷新深层路由可能 404。</w:t>
            </w:r>
          </w:p>
        </w:tc>
        <w:tc>
          <w:tcPr>
            <w:tcW w:w="3211" w:type="dxa"/>
            <w:vAlign w:val="center"/>
          </w:tcPr>
          <w:p w14:paraId="0A520F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Web 服务配置 try_files 或等效 rewrite。</w:t>
            </w:r>
          </w:p>
        </w:tc>
      </w:tr>
      <w:tr w14:paraId="5079F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C9B3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新闻内容静态维护</w:t>
            </w:r>
          </w:p>
        </w:tc>
        <w:tc>
          <w:tcPr>
            <w:tcW w:w="3211" w:type="dxa"/>
            <w:vAlign w:val="center"/>
          </w:tcPr>
          <w:p w14:paraId="7C883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新增新闻需要同步多处文件，存在漏改风险。</w:t>
            </w:r>
          </w:p>
        </w:tc>
        <w:tc>
          <w:tcPr>
            <w:tcW w:w="3211" w:type="dxa"/>
            <w:vAlign w:val="center"/>
          </w:tcPr>
          <w:p w14:paraId="64C119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建立新增新闻清单，或后续改为 CMS/后端接口驱动。</w:t>
            </w:r>
          </w:p>
        </w:tc>
      </w:tr>
      <w:tr w14:paraId="617AC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75B1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错误处理较弱</w:t>
            </w:r>
          </w:p>
        </w:tc>
        <w:tc>
          <w:tcPr>
            <w:tcW w:w="3211" w:type="dxa"/>
            <w:vAlign w:val="center"/>
          </w:tcPr>
          <w:p w14:paraId="36BC94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接口异常时用户提示不足。</w:t>
            </w:r>
          </w:p>
        </w:tc>
        <w:tc>
          <w:tcPr>
            <w:tcW w:w="3211" w:type="dxa"/>
            <w:vAlign w:val="center"/>
          </w:tcPr>
          <w:p w14:paraId="41035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增强 http.js 响应拦截器的错误提示、日志和监控。</w:t>
            </w:r>
          </w:p>
        </w:tc>
      </w:tr>
      <w:tr w14:paraId="48CF1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94C11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静态资源体积较大</w:t>
            </w:r>
          </w:p>
        </w:tc>
        <w:tc>
          <w:tcPr>
            <w:tcW w:w="3211" w:type="dxa"/>
            <w:vAlign w:val="center"/>
          </w:tcPr>
          <w:p w14:paraId="43D382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首屏加载和移动端体验受影响。</w:t>
            </w:r>
          </w:p>
        </w:tc>
        <w:tc>
          <w:tcPr>
            <w:tcW w:w="3211" w:type="dxa"/>
            <w:vAlign w:val="center"/>
          </w:tcPr>
          <w:p w14:paraId="0145C0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压缩图片、开启 Gzip/Brotli、合理设置缓存，必要时拆包。</w:t>
            </w:r>
          </w:p>
        </w:tc>
      </w:tr>
      <w:tr w14:paraId="6056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C61CF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CSS nesting 构建警告</w:t>
            </w:r>
          </w:p>
        </w:tc>
        <w:tc>
          <w:tcPr>
            <w:tcW w:w="3211" w:type="dxa"/>
            <w:vAlign w:val="center"/>
          </w:tcPr>
          <w:p w14:paraId="52F365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部分浏览器目标下可能存在样式兼容提示。</w:t>
            </w:r>
          </w:p>
        </w:tc>
        <w:tc>
          <w:tcPr>
            <w:tcW w:w="3211" w:type="dxa"/>
            <w:vAlign w:val="center"/>
          </w:tcPr>
          <w:p w14:paraId="1F5762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逐步将不规范嵌套样式改为 SCSS 合法写法或调整构建处理链。</w:t>
            </w:r>
          </w:p>
        </w:tc>
      </w:tr>
      <w:tr w14:paraId="2A348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5C2F7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构建产物纳入仓库</w:t>
            </w:r>
          </w:p>
        </w:tc>
        <w:tc>
          <w:tcPr>
            <w:tcW w:w="3211" w:type="dxa"/>
            <w:vAlign w:val="center"/>
          </w:tcPr>
          <w:p w14:paraId="4230D8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每次构建会产生 hash 文件变更。</w:t>
            </w:r>
          </w:p>
        </w:tc>
        <w:tc>
          <w:tcPr>
            <w:tcW w:w="3211" w:type="dxa"/>
            <w:vAlign w:val="center"/>
          </w:tcPr>
          <w:p w14:paraId="622361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明确团队流程：直接提交构建产物，或由 CI/CD 在服务器构建并部署。</w:t>
            </w:r>
          </w:p>
        </w:tc>
      </w:tr>
    </w:tbl>
    <w:p w14:paraId="1C0C1829"/>
    <w:p w14:paraId="6FABA2C7">
      <w:pPr>
        <w:pStyle w:val="3"/>
      </w:pPr>
      <w:r>
        <w:t>14. 附录</w:t>
      </w:r>
    </w:p>
    <w:p w14:paraId="7305AAC9">
      <w:pPr>
        <w:pStyle w:val="4"/>
      </w:pPr>
      <w:r>
        <w:t>14.1 依赖清单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2599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3D6BEB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34D73D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725001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</w:tr>
      <w:tr w14:paraId="502A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62B15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@fontsource/noto-sans-sc</w:t>
            </w:r>
          </w:p>
        </w:tc>
        <w:tc>
          <w:tcPr>
            <w:tcW w:w="3211" w:type="dxa"/>
            <w:vAlign w:val="center"/>
          </w:tcPr>
          <w:p w14:paraId="36DFEE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^5.2.6</w:t>
            </w:r>
          </w:p>
        </w:tc>
        <w:tc>
          <w:tcPr>
            <w:tcW w:w="3211" w:type="dxa"/>
            <w:vAlign w:val="center"/>
          </w:tcPr>
          <w:p w14:paraId="1FD0AE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3F6A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4722F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@fortawesome/fontawesome-svg-core</w:t>
            </w:r>
          </w:p>
        </w:tc>
        <w:tc>
          <w:tcPr>
            <w:tcW w:w="3211" w:type="dxa"/>
            <w:vAlign w:val="center"/>
          </w:tcPr>
          <w:p w14:paraId="0972C8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^6.4.2</w:t>
            </w:r>
          </w:p>
        </w:tc>
        <w:tc>
          <w:tcPr>
            <w:tcW w:w="3211" w:type="dxa"/>
            <w:vAlign w:val="center"/>
          </w:tcPr>
          <w:p w14:paraId="6F6A3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4FCE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1EF21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@fortawesome/free-solid-svg-icons</w:t>
            </w:r>
          </w:p>
        </w:tc>
        <w:tc>
          <w:tcPr>
            <w:tcW w:w="3211" w:type="dxa"/>
            <w:vAlign w:val="center"/>
          </w:tcPr>
          <w:p w14:paraId="1FDD5B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^6.4.2</w:t>
            </w:r>
          </w:p>
        </w:tc>
        <w:tc>
          <w:tcPr>
            <w:tcW w:w="3211" w:type="dxa"/>
            <w:vAlign w:val="center"/>
          </w:tcPr>
          <w:p w14:paraId="2E9DEB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6A419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2D9D6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@fortawesome/vue-fontawesome</w:t>
            </w:r>
          </w:p>
        </w:tc>
        <w:tc>
          <w:tcPr>
            <w:tcW w:w="3211" w:type="dxa"/>
            <w:vAlign w:val="center"/>
          </w:tcPr>
          <w:p w14:paraId="0C949F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^3.0.0-5</w:t>
            </w:r>
          </w:p>
        </w:tc>
        <w:tc>
          <w:tcPr>
            <w:tcW w:w="3211" w:type="dxa"/>
            <w:vAlign w:val="center"/>
          </w:tcPr>
          <w:p w14:paraId="0D0164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3104F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23EA8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@vueuse/core</w:t>
            </w:r>
          </w:p>
        </w:tc>
        <w:tc>
          <w:tcPr>
            <w:tcW w:w="3211" w:type="dxa"/>
            <w:vAlign w:val="center"/>
          </w:tcPr>
          <w:p w14:paraId="0551CF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^10.2.1</w:t>
            </w:r>
          </w:p>
        </w:tc>
        <w:tc>
          <w:tcPr>
            <w:tcW w:w="3211" w:type="dxa"/>
            <w:vAlign w:val="center"/>
          </w:tcPr>
          <w:p w14:paraId="282819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41510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3C822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animate.css</w:t>
            </w:r>
          </w:p>
        </w:tc>
        <w:tc>
          <w:tcPr>
            <w:tcW w:w="3211" w:type="dxa"/>
            <w:vAlign w:val="center"/>
          </w:tcPr>
          <w:p w14:paraId="4F9844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^4.1.1</w:t>
            </w:r>
          </w:p>
        </w:tc>
        <w:tc>
          <w:tcPr>
            <w:tcW w:w="3211" w:type="dxa"/>
            <w:vAlign w:val="center"/>
          </w:tcPr>
          <w:p w14:paraId="614606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40E3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F773D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axios</w:t>
            </w:r>
          </w:p>
        </w:tc>
        <w:tc>
          <w:tcPr>
            <w:tcW w:w="3211" w:type="dxa"/>
            <w:vAlign w:val="center"/>
          </w:tcPr>
          <w:p w14:paraId="285313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^1.4.0</w:t>
            </w:r>
          </w:p>
        </w:tc>
        <w:tc>
          <w:tcPr>
            <w:tcW w:w="3211" w:type="dxa"/>
            <w:vAlign w:val="center"/>
          </w:tcPr>
          <w:p w14:paraId="45A3FA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39E0B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3738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element</w:t>
            </w:r>
          </w:p>
        </w:tc>
        <w:tc>
          <w:tcPr>
            <w:tcW w:w="3211" w:type="dxa"/>
            <w:vAlign w:val="center"/>
          </w:tcPr>
          <w:p w14:paraId="6F876B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^0.1.4</w:t>
            </w:r>
          </w:p>
        </w:tc>
        <w:tc>
          <w:tcPr>
            <w:tcW w:w="3211" w:type="dxa"/>
            <w:vAlign w:val="center"/>
          </w:tcPr>
          <w:p w14:paraId="266091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1BB69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37AF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element-plus</w:t>
            </w:r>
          </w:p>
        </w:tc>
        <w:tc>
          <w:tcPr>
            <w:tcW w:w="3211" w:type="dxa"/>
            <w:vAlign w:val="center"/>
          </w:tcPr>
          <w:p w14:paraId="144030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^2.3.7</w:t>
            </w:r>
          </w:p>
        </w:tc>
        <w:tc>
          <w:tcPr>
            <w:tcW w:w="3211" w:type="dxa"/>
            <w:vAlign w:val="center"/>
          </w:tcPr>
          <w:p w14:paraId="63BDEE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28C2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4D83F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font-awesome</w:t>
            </w:r>
          </w:p>
        </w:tc>
        <w:tc>
          <w:tcPr>
            <w:tcW w:w="3211" w:type="dxa"/>
            <w:vAlign w:val="center"/>
          </w:tcPr>
          <w:p w14:paraId="44C65D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^4.7.0</w:t>
            </w:r>
          </w:p>
        </w:tc>
        <w:tc>
          <w:tcPr>
            <w:tcW w:w="3211" w:type="dxa"/>
            <w:vAlign w:val="center"/>
          </w:tcPr>
          <w:p w14:paraId="61C994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5DAC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35B25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pinia</w:t>
            </w:r>
          </w:p>
        </w:tc>
        <w:tc>
          <w:tcPr>
            <w:tcW w:w="3211" w:type="dxa"/>
            <w:vAlign w:val="center"/>
          </w:tcPr>
          <w:p w14:paraId="4FF486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^2.1.4</w:t>
            </w:r>
          </w:p>
        </w:tc>
        <w:tc>
          <w:tcPr>
            <w:tcW w:w="3211" w:type="dxa"/>
            <w:vAlign w:val="center"/>
          </w:tcPr>
          <w:p w14:paraId="78D7E0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00C6A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4C97E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swiper</w:t>
            </w:r>
          </w:p>
        </w:tc>
        <w:tc>
          <w:tcPr>
            <w:tcW w:w="3211" w:type="dxa"/>
            <w:vAlign w:val="center"/>
          </w:tcPr>
          <w:p w14:paraId="7E265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^11.1.14</w:t>
            </w:r>
          </w:p>
        </w:tc>
        <w:tc>
          <w:tcPr>
            <w:tcW w:w="3211" w:type="dxa"/>
            <w:vAlign w:val="center"/>
          </w:tcPr>
          <w:p w14:paraId="3601E3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5CB2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8B9B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</w:t>
            </w:r>
          </w:p>
        </w:tc>
        <w:tc>
          <w:tcPr>
            <w:tcW w:w="3211" w:type="dxa"/>
            <w:vAlign w:val="center"/>
          </w:tcPr>
          <w:p w14:paraId="1CF92B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^3.3.4</w:t>
            </w:r>
          </w:p>
        </w:tc>
        <w:tc>
          <w:tcPr>
            <w:tcW w:w="3211" w:type="dxa"/>
            <w:vAlign w:val="center"/>
          </w:tcPr>
          <w:p w14:paraId="34E384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47549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64057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vue-fontawesome</w:t>
            </w:r>
          </w:p>
        </w:tc>
        <w:tc>
          <w:tcPr>
            <w:tcW w:w="3211" w:type="dxa"/>
            <w:vAlign w:val="center"/>
          </w:tcPr>
          <w:p w14:paraId="0DC826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^0.0.2</w:t>
            </w:r>
          </w:p>
        </w:tc>
        <w:tc>
          <w:tcPr>
            <w:tcW w:w="3211" w:type="dxa"/>
            <w:vAlign w:val="center"/>
          </w:tcPr>
          <w:p w14:paraId="5704C3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1A46D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FFA4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vue-i18n</w:t>
            </w:r>
          </w:p>
        </w:tc>
        <w:tc>
          <w:tcPr>
            <w:tcW w:w="3211" w:type="dxa"/>
            <w:vAlign w:val="center"/>
          </w:tcPr>
          <w:p w14:paraId="4DA2AF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^10.0.0</w:t>
            </w:r>
          </w:p>
        </w:tc>
        <w:tc>
          <w:tcPr>
            <w:tcW w:w="3211" w:type="dxa"/>
            <w:vAlign w:val="center"/>
          </w:tcPr>
          <w:p w14:paraId="7D7C2D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22B3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5EFBB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vue-router</w:t>
            </w:r>
          </w:p>
        </w:tc>
        <w:tc>
          <w:tcPr>
            <w:tcW w:w="3211" w:type="dxa"/>
            <w:vAlign w:val="center"/>
          </w:tcPr>
          <w:p w14:paraId="7021A9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^4.2.2</w:t>
            </w:r>
          </w:p>
        </w:tc>
        <w:tc>
          <w:tcPr>
            <w:tcW w:w="3211" w:type="dxa"/>
            <w:vAlign w:val="center"/>
          </w:tcPr>
          <w:p w14:paraId="56FA9B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运行依赖</w:t>
            </w:r>
          </w:p>
        </w:tc>
      </w:tr>
      <w:tr w14:paraId="6E3C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3CB30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@babel/core</w:t>
            </w:r>
          </w:p>
        </w:tc>
        <w:tc>
          <w:tcPr>
            <w:tcW w:w="3211" w:type="dxa"/>
            <w:vAlign w:val="center"/>
          </w:tcPr>
          <w:p w14:paraId="055D04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^7.28.5</w:t>
            </w:r>
          </w:p>
        </w:tc>
        <w:tc>
          <w:tcPr>
            <w:tcW w:w="3211" w:type="dxa"/>
            <w:vAlign w:val="center"/>
          </w:tcPr>
          <w:p w14:paraId="0793E6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4CFD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82C32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@babel/eslint-parser</w:t>
            </w:r>
          </w:p>
        </w:tc>
        <w:tc>
          <w:tcPr>
            <w:tcW w:w="3211" w:type="dxa"/>
            <w:vAlign w:val="center"/>
          </w:tcPr>
          <w:p w14:paraId="55ACAE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^7.28.5</w:t>
            </w:r>
          </w:p>
        </w:tc>
        <w:tc>
          <w:tcPr>
            <w:tcW w:w="3211" w:type="dxa"/>
            <w:vAlign w:val="center"/>
          </w:tcPr>
          <w:p w14:paraId="239291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149BB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22E6B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@vitejs/plugin-vue</w:t>
            </w:r>
          </w:p>
        </w:tc>
        <w:tc>
          <w:tcPr>
            <w:tcW w:w="3211" w:type="dxa"/>
            <w:vAlign w:val="center"/>
          </w:tcPr>
          <w:p w14:paraId="2F03A6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^4.2.3</w:t>
            </w:r>
          </w:p>
        </w:tc>
        <w:tc>
          <w:tcPr>
            <w:tcW w:w="3211" w:type="dxa"/>
            <w:vAlign w:val="center"/>
          </w:tcPr>
          <w:p w14:paraId="30ED1F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04824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1088E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eslint</w:t>
            </w:r>
          </w:p>
        </w:tc>
        <w:tc>
          <w:tcPr>
            <w:tcW w:w="3211" w:type="dxa"/>
            <w:vAlign w:val="center"/>
          </w:tcPr>
          <w:p w14:paraId="3DF963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^8.57.1</w:t>
            </w:r>
          </w:p>
        </w:tc>
        <w:tc>
          <w:tcPr>
            <w:tcW w:w="3211" w:type="dxa"/>
            <w:vAlign w:val="center"/>
          </w:tcPr>
          <w:p w14:paraId="7930DF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2A95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B5D0A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eslint-config-prettier</w:t>
            </w:r>
          </w:p>
        </w:tc>
        <w:tc>
          <w:tcPr>
            <w:tcW w:w="3211" w:type="dxa"/>
            <w:vAlign w:val="center"/>
          </w:tcPr>
          <w:p w14:paraId="3C2FAF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^10.1.8</w:t>
            </w:r>
          </w:p>
        </w:tc>
        <w:tc>
          <w:tcPr>
            <w:tcW w:w="3211" w:type="dxa"/>
            <w:vAlign w:val="center"/>
          </w:tcPr>
          <w:p w14:paraId="4985CE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1BD0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79BE4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eslint-plugin-vue</w:t>
            </w:r>
          </w:p>
        </w:tc>
        <w:tc>
          <w:tcPr>
            <w:tcW w:w="3211" w:type="dxa"/>
            <w:vAlign w:val="center"/>
          </w:tcPr>
          <w:p w14:paraId="4EFC49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^10.5.1</w:t>
            </w:r>
          </w:p>
        </w:tc>
        <w:tc>
          <w:tcPr>
            <w:tcW w:w="3211" w:type="dxa"/>
            <w:vAlign w:val="center"/>
          </w:tcPr>
          <w:p w14:paraId="6B47D8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3299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E97F0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prettier</w:t>
            </w:r>
          </w:p>
        </w:tc>
        <w:tc>
          <w:tcPr>
            <w:tcW w:w="3211" w:type="dxa"/>
            <w:vAlign w:val="center"/>
          </w:tcPr>
          <w:p w14:paraId="2B81D4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^3.6.2</w:t>
            </w:r>
          </w:p>
        </w:tc>
        <w:tc>
          <w:tcPr>
            <w:tcW w:w="3211" w:type="dxa"/>
            <w:vAlign w:val="center"/>
          </w:tcPr>
          <w:p w14:paraId="06B8F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4210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52089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sass</w:t>
            </w:r>
          </w:p>
        </w:tc>
        <w:tc>
          <w:tcPr>
            <w:tcW w:w="3211" w:type="dxa"/>
            <w:vAlign w:val="center"/>
          </w:tcPr>
          <w:p w14:paraId="6EB483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^1.63.6</w:t>
            </w:r>
          </w:p>
        </w:tc>
        <w:tc>
          <w:tcPr>
            <w:tcW w:w="3211" w:type="dxa"/>
            <w:vAlign w:val="center"/>
          </w:tcPr>
          <w:p w14:paraId="198E50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7276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F28DD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unplugin-auto-import</w:t>
            </w:r>
          </w:p>
        </w:tc>
        <w:tc>
          <w:tcPr>
            <w:tcW w:w="3211" w:type="dxa"/>
            <w:vAlign w:val="center"/>
          </w:tcPr>
          <w:p w14:paraId="58CED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^0.16.6</w:t>
            </w:r>
          </w:p>
        </w:tc>
        <w:tc>
          <w:tcPr>
            <w:tcW w:w="3211" w:type="dxa"/>
            <w:vAlign w:val="center"/>
          </w:tcPr>
          <w:p w14:paraId="0A428B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45B0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EB62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unplugin-vue-components</w:t>
            </w:r>
          </w:p>
        </w:tc>
        <w:tc>
          <w:tcPr>
            <w:tcW w:w="3211" w:type="dxa"/>
            <w:vAlign w:val="center"/>
          </w:tcPr>
          <w:p w14:paraId="168BB6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^0.25.1</w:t>
            </w:r>
          </w:p>
        </w:tc>
        <w:tc>
          <w:tcPr>
            <w:tcW w:w="3211" w:type="dxa"/>
            <w:vAlign w:val="center"/>
          </w:tcPr>
          <w:p w14:paraId="6A010D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682B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247D1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vite</w:t>
            </w:r>
          </w:p>
        </w:tc>
        <w:tc>
          <w:tcPr>
            <w:tcW w:w="3211" w:type="dxa"/>
            <w:vAlign w:val="center"/>
          </w:tcPr>
          <w:p w14:paraId="547DE1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^4.3.9</w:t>
            </w:r>
          </w:p>
        </w:tc>
        <w:tc>
          <w:tcPr>
            <w:tcW w:w="3211" w:type="dxa"/>
            <w:vAlign w:val="center"/>
          </w:tcPr>
          <w:p w14:paraId="055C9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  <w:tr w14:paraId="14749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BB591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vue-eslint-parser</w:t>
            </w:r>
          </w:p>
        </w:tc>
        <w:tc>
          <w:tcPr>
            <w:tcW w:w="3211" w:type="dxa"/>
            <w:vAlign w:val="center"/>
          </w:tcPr>
          <w:p w14:paraId="03EAFE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^10.2.0</w:t>
            </w:r>
          </w:p>
        </w:tc>
        <w:tc>
          <w:tcPr>
            <w:tcW w:w="3211" w:type="dxa"/>
            <w:vAlign w:val="center"/>
          </w:tcPr>
          <w:p w14:paraId="6F1672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开发/构建依赖</w:t>
            </w:r>
          </w:p>
        </w:tc>
      </w:tr>
    </w:tbl>
    <w:p w14:paraId="745E19D3"/>
    <w:p w14:paraId="15C99AE8">
      <w:pPr>
        <w:pStyle w:val="4"/>
      </w:pPr>
      <w:r>
        <w:t>14.2 部署交付清单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3EE3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3BC0C8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交付项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4B76B8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6A9C8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B1DFD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源码</w:t>
            </w:r>
          </w:p>
        </w:tc>
        <w:tc>
          <w:tcPr>
            <w:tcW w:w="4816" w:type="dxa"/>
            <w:vAlign w:val="center"/>
          </w:tcPr>
          <w:p w14:paraId="7884C5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Vue/Vite 前端源码和配置。</w:t>
            </w:r>
          </w:p>
        </w:tc>
      </w:tr>
      <w:tr w14:paraId="7953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496DE4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构建产物</w:t>
            </w:r>
          </w:p>
        </w:tc>
        <w:tc>
          <w:tcPr>
            <w:tcW w:w="4816" w:type="dxa"/>
            <w:vAlign w:val="center"/>
          </w:tcPr>
          <w:p w14:paraId="51A854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npm run build 后的 tobacco 目录。</w:t>
            </w:r>
          </w:p>
        </w:tc>
      </w:tr>
      <w:tr w14:paraId="61EB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E5A69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Web 服务配置</w:t>
            </w:r>
          </w:p>
        </w:tc>
        <w:tc>
          <w:tcPr>
            <w:tcW w:w="4816" w:type="dxa"/>
            <w:vAlign w:val="center"/>
          </w:tcPr>
          <w:p w14:paraId="660B3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站点根目录、HTTPS、SPA 回退、静态缓存、压缩。</w:t>
            </w:r>
          </w:p>
        </w:tc>
      </w:tr>
      <w:tr w14:paraId="65822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27245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接口代理配置</w:t>
            </w:r>
          </w:p>
        </w:tc>
        <w:tc>
          <w:tcPr>
            <w:tcW w:w="4816" w:type="dxa"/>
            <w:vAlign w:val="center"/>
          </w:tcPr>
          <w:p w14:paraId="6FA6F7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 反向代理到后端服务。</w:t>
            </w:r>
          </w:p>
        </w:tc>
      </w:tr>
      <w:tr w14:paraId="7CED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15AD8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验收记录</w:t>
            </w:r>
          </w:p>
        </w:tc>
        <w:tc>
          <w:tcPr>
            <w:tcW w:w="4816" w:type="dxa"/>
            <w:vAlign w:val="center"/>
          </w:tcPr>
          <w:p w14:paraId="310052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路由、资源、接口、响应式、国际化、安全项检查结果。</w:t>
            </w:r>
          </w:p>
        </w:tc>
      </w:tr>
    </w:tbl>
    <w:p w14:paraId="048AB21A"/>
    <w:p w14:paraId="3DEF0764">
      <w:bookmarkStart w:id="0" w:name="_GoBack"/>
      <w:bookmarkEnd w:id="0"/>
      <w:r>
        <w:rPr>
          <w:rFonts w:ascii="微软雅黑" w:hAnsi="微软雅黑" w:eastAsia="微软雅黑"/>
          <w:sz w:val="21"/>
        </w:rPr>
        <w:t>。</w:t>
      </w:r>
    </w:p>
    <w:sectPr>
      <w:footerReference r:id="rId5" w:type="default"/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CF386">
    <w:pPr>
      <w:pStyle w:val="24"/>
      <w:jc w:val="center"/>
    </w:pPr>
    <w:r>
      <w:rPr>
        <w:rFonts w:ascii="微软雅黑" w:hAnsi="微软雅黑" w:eastAsia="微软雅黑"/>
        <w:sz w:val="18"/>
      </w:rPr>
      <w:t>中烟国际集团有限公司官网开发设计文档 | V1.0 | 2026-0</w:t>
    </w:r>
    <w:r>
      <w:rPr>
        <w:rFonts w:hint="eastAsia"/>
        <w:sz w:val="18"/>
        <w:lang w:val="en-US" w:eastAsia="zh-CN"/>
      </w:rPr>
      <w:t>3</w:t>
    </w:r>
    <w:r>
      <w:rPr>
        <w:rFonts w:ascii="微软雅黑" w:hAnsi="微软雅黑" w:eastAsia="微软雅黑"/>
        <w:sz w:val="18"/>
      </w:rPr>
      <w:t>-05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F600F1"/>
    <w:rsid w:val="5092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1185</Words>
  <Characters>1543</Characters>
  <Lines>0</Lines>
  <Paragraphs>0</Paragraphs>
  <TotalTime>1</TotalTime>
  <ScaleCrop>false</ScaleCrop>
  <LinksUpToDate>false</LinksUpToDate>
  <CharactersWithSpaces>1631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双艺</cp:lastModifiedBy>
  <dcterms:modified xsi:type="dcterms:W3CDTF">2026-06-05T06:42:20Z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eyJoZGlkIjoiOTY4ZjY4MTFlNzhmYzNkM2Q0NTMxMGMyMWI5NzMwNzIiLCJ1c2VySWQiOiI0NTA1MTI1ODgifQ==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34E5C199B84F4780A0EDD1A32D598304_12</vt:lpwstr>
  </property>
</Properties>
</file>